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space="4"/>
        </w:pBdr>
        <w:tabs>
          <w:tab w:val="right" w:pos="9706"/>
        </w:tabs>
        <w:spacing w:after="60"/>
      </w:pPr>
      <w:r>
        <w:rPr>
          <w:rFonts w:ascii="Calibri" w:cs="Calibri" w:eastAsia="Calibri" w:hAnsi="Calibri"/>
          <w:b/>
          <w:bCs/>
          <w:color w:val="2E74B5"/>
          <w:sz w:val="20"/>
          <w:szCs w:val="20"/>
        </w:rPr>
        <w:t xml:space="preserve">Lektion 15 · Bauern und Adlige	AB 16 · Lösung – nicht austeilen</w:t>
      </w:r>
    </w:p>
    <w:p>
      <w:pPr>
        <w:spacing w:after="30" w:before="100"/>
      </w:pPr>
      <w:r>
        <w:rPr>
          <w:rFonts w:ascii="Calibri" w:cs="Calibri" w:eastAsia="Calibri" w:hAnsi="Calibri"/>
          <w:b/>
          <w:bCs/>
          <w:color w:val="1F3D5C"/>
          <w:sz w:val="40"/>
          <w:szCs w:val="40"/>
        </w:rPr>
        <w:t xml:space="preserve">AB 16 · Lösung</w:t>
      </w:r>
    </w:p>
    <w:p>
      <w:pPr>
        <w:spacing w:after="130"/>
      </w:pPr>
      <w:r>
        <w:rPr>
          <w:rFonts w:ascii="Calibri" w:cs="Calibri" w:eastAsia="Calibri" w:hAnsi="Calibri"/>
          <w:color w:val="2E74B5"/>
          <w:sz w:val="20"/>
          <w:szCs w:val="20"/>
        </w:rPr>
        <w:t xml:space="preserve">Die Sachinfo-Stunde „Das Wort dazwischen“ · Team A, Team B, Team C</w:t>
      </w:r>
    </w:p>
    <w:p>
      <w:pPr>
        <w:keepNext/>
        <w:spacing w:after="60" w:before="60"/>
      </w:pPr>
      <w:r>
        <w:rPr>
          <w:rFonts w:ascii="Calibri" w:cs="Calibri" w:eastAsia="Calibri" w:hAnsi="Calibri"/>
          <w:b/>
          <w:bCs/>
          <w:color w:val="1F3D5C"/>
          <w:sz w:val="26"/>
          <w:szCs w:val="26"/>
        </w:rPr>
        <w:t xml:space="preserve">Team A · Die Kette</w:t>
      </w:r>
    </w:p>
    <w:p>
      <w:pPr>
        <w:spacing w:after="80" w:before="0"/>
      </w:pPr>
      <w:r>
        <w:rPr>
          <w:rFonts w:ascii="Calibri" w:cs="Calibri" w:eastAsia="Calibri" w:hAnsi="Calibri"/>
          <w:b w:val="false"/>
          <w:bCs w:val="false"/>
          <w:i w:val="false"/>
          <w:iCs w:val="false"/>
          <w:color w:val="000000"/>
          <w:sz w:val="21"/>
          <w:szCs w:val="21"/>
        </w:rPr>
        <w:t xml:space="preserve">Richtige Reihenfolge der Kartennummern:</w:t>
      </w:r>
    </w:p>
    <w:tbl>
      <w:tblPr>
        <w:tblW w:type="dxa" w:w="9580"/>
        <w:tblBorders>
          <w:top w:val="single" w:color="FFFFFF" w:sz="4"/>
          <w:left w:val="single" w:color="FFFFFF" w:sz="4"/>
          <w:bottom w:val="single" w:color="FFFFFF" w:sz="4"/>
          <w:right w:val="single" w:color="FFFFFF" w:sz="4"/>
          <w:insideH w:val="single" w:color="FFFFFF" w:sz="4"/>
          <w:insideV w:val="single" w:color="FFFFFF" w:sz="4"/>
        </w:tblBorders>
      </w:tblPr>
      <w:tblGrid>
        <w:gridCol w:w="760"/>
        <w:gridCol w:w="500"/>
        <w:gridCol w:w="760"/>
        <w:gridCol w:w="500"/>
        <w:gridCol w:w="760"/>
        <w:gridCol w:w="500"/>
        <w:gridCol w:w="760"/>
        <w:gridCol w:w="500"/>
        <w:gridCol w:w="760"/>
        <w:gridCol w:w="500"/>
        <w:gridCol w:w="760"/>
        <w:gridCol w:w="500"/>
        <w:gridCol w:w="760"/>
        <w:gridCol w:w="500"/>
        <w:gridCol w:w="760"/>
      </w:tblGrid>
      <w:tr>
        <w:tc>
          <w:tcPr>
            <w:shd w:fill="1F3D5C" w:color="auto" w:val="clear"/>
            <w:tcMar>
              <w:top w:type="dxa" w:w="70"/>
              <w:left w:type="dxa" w:w="110"/>
              <w:bottom w:type="dxa" w:w="70"/>
              <w:right w:type="dxa" w:w="110"/>
            </w:tcMar>
            <w:vAlign w:val="top"/>
          </w:tcPr>
          <w:p>
            <w:pPr>
              <w:spacing w:after="0" w:before="0"/>
              <w:jc w:val="center"/>
            </w:pPr>
            <w:r>
              <w:rPr>
                <w:rFonts w:ascii="Calibri" w:cs="Calibri" w:eastAsia="Calibri" w:hAnsi="Calibri"/>
                <w:b/>
                <w:bCs/>
                <w:i w:val="false"/>
                <w:iCs w:val="false"/>
                <w:color w:val="FFFFFF"/>
                <w:sz w:val="26"/>
                <w:szCs w:val="26"/>
              </w:rPr>
              <w:t xml:space="preserve">2</w:t>
            </w:r>
          </w:p>
        </w:tc>
        <w:tc>
          <w:tcPr>
            <w:tcMar>
              <w:top w:type="dxa" w:w="70"/>
              <w:left w:type="dxa" w:w="110"/>
              <w:bottom w:type="dxa" w:w="70"/>
              <w:right w:type="dxa" w:w="110"/>
            </w:tcMar>
            <w:vAlign w:val="top"/>
          </w:tcPr>
          <w:p>
            <w:pPr>
              <w:spacing w:after="0" w:before="0"/>
              <w:jc w:val="center"/>
            </w:pPr>
            <w:r>
              <w:rPr>
                <w:rFonts w:ascii="Calibri" w:cs="Calibri" w:eastAsia="Calibri" w:hAnsi="Calibri"/>
                <w:b w:val="false"/>
                <w:bCs w:val="false"/>
                <w:i w:val="false"/>
                <w:iCs w:val="false"/>
                <w:color w:val="777777"/>
                <w:sz w:val="22"/>
                <w:szCs w:val="22"/>
              </w:rPr>
              <w:t xml:space="preserve">→</w:t>
            </w:r>
          </w:p>
        </w:tc>
        <w:tc>
          <w:tcPr>
            <w:shd w:fill="1F3D5C" w:color="auto" w:val="clear"/>
            <w:tcMar>
              <w:top w:type="dxa" w:w="70"/>
              <w:left w:type="dxa" w:w="110"/>
              <w:bottom w:type="dxa" w:w="70"/>
              <w:right w:type="dxa" w:w="110"/>
            </w:tcMar>
            <w:vAlign w:val="top"/>
          </w:tcPr>
          <w:p>
            <w:pPr>
              <w:spacing w:after="0" w:before="0"/>
              <w:jc w:val="center"/>
            </w:pPr>
            <w:r>
              <w:rPr>
                <w:rFonts w:ascii="Calibri" w:cs="Calibri" w:eastAsia="Calibri" w:hAnsi="Calibri"/>
                <w:b/>
                <w:bCs/>
                <w:i w:val="false"/>
                <w:iCs w:val="false"/>
                <w:color w:val="FFFFFF"/>
                <w:sz w:val="26"/>
                <w:szCs w:val="26"/>
              </w:rPr>
              <w:t xml:space="preserve">6</w:t>
            </w:r>
          </w:p>
        </w:tc>
        <w:tc>
          <w:tcPr>
            <w:tcMar>
              <w:top w:type="dxa" w:w="70"/>
              <w:left w:type="dxa" w:w="110"/>
              <w:bottom w:type="dxa" w:w="70"/>
              <w:right w:type="dxa" w:w="110"/>
            </w:tcMar>
            <w:vAlign w:val="top"/>
          </w:tcPr>
          <w:p>
            <w:pPr>
              <w:spacing w:after="0" w:before="0"/>
              <w:jc w:val="center"/>
            </w:pPr>
            <w:r>
              <w:rPr>
                <w:rFonts w:ascii="Calibri" w:cs="Calibri" w:eastAsia="Calibri" w:hAnsi="Calibri"/>
                <w:b w:val="false"/>
                <w:bCs w:val="false"/>
                <w:i w:val="false"/>
                <w:iCs w:val="false"/>
                <w:color w:val="777777"/>
                <w:sz w:val="22"/>
                <w:szCs w:val="22"/>
              </w:rPr>
              <w:t xml:space="preserve">→</w:t>
            </w:r>
          </w:p>
        </w:tc>
        <w:tc>
          <w:tcPr>
            <w:shd w:fill="1F3D5C" w:color="auto" w:val="clear"/>
            <w:tcMar>
              <w:top w:type="dxa" w:w="70"/>
              <w:left w:type="dxa" w:w="110"/>
              <w:bottom w:type="dxa" w:w="70"/>
              <w:right w:type="dxa" w:w="110"/>
            </w:tcMar>
            <w:vAlign w:val="top"/>
          </w:tcPr>
          <w:p>
            <w:pPr>
              <w:spacing w:after="0" w:before="0"/>
              <w:jc w:val="center"/>
            </w:pPr>
            <w:r>
              <w:rPr>
                <w:rFonts w:ascii="Calibri" w:cs="Calibri" w:eastAsia="Calibri" w:hAnsi="Calibri"/>
                <w:b/>
                <w:bCs/>
                <w:i w:val="false"/>
                <w:iCs w:val="false"/>
                <w:color w:val="FFFFFF"/>
                <w:sz w:val="26"/>
                <w:szCs w:val="26"/>
              </w:rPr>
              <w:t xml:space="preserve">5</w:t>
            </w:r>
          </w:p>
        </w:tc>
        <w:tc>
          <w:tcPr>
            <w:tcMar>
              <w:top w:type="dxa" w:w="70"/>
              <w:left w:type="dxa" w:w="110"/>
              <w:bottom w:type="dxa" w:w="70"/>
              <w:right w:type="dxa" w:w="110"/>
            </w:tcMar>
            <w:vAlign w:val="top"/>
          </w:tcPr>
          <w:p>
            <w:pPr>
              <w:spacing w:after="0" w:before="0"/>
              <w:jc w:val="center"/>
            </w:pPr>
            <w:r>
              <w:rPr>
                <w:rFonts w:ascii="Calibri" w:cs="Calibri" w:eastAsia="Calibri" w:hAnsi="Calibri"/>
                <w:b w:val="false"/>
                <w:bCs w:val="false"/>
                <w:i w:val="false"/>
                <w:iCs w:val="false"/>
                <w:color w:val="777777"/>
                <w:sz w:val="22"/>
                <w:szCs w:val="22"/>
              </w:rPr>
              <w:t xml:space="preserve">→</w:t>
            </w:r>
          </w:p>
        </w:tc>
        <w:tc>
          <w:tcPr>
            <w:shd w:fill="1F3D5C" w:color="auto" w:val="clear"/>
            <w:tcMar>
              <w:top w:type="dxa" w:w="70"/>
              <w:left w:type="dxa" w:w="110"/>
              <w:bottom w:type="dxa" w:w="70"/>
              <w:right w:type="dxa" w:w="110"/>
            </w:tcMar>
            <w:vAlign w:val="top"/>
          </w:tcPr>
          <w:p>
            <w:pPr>
              <w:spacing w:after="0" w:before="0"/>
              <w:jc w:val="center"/>
            </w:pPr>
            <w:r>
              <w:rPr>
                <w:rFonts w:ascii="Calibri" w:cs="Calibri" w:eastAsia="Calibri" w:hAnsi="Calibri"/>
                <w:b/>
                <w:bCs/>
                <w:i w:val="false"/>
                <w:iCs w:val="false"/>
                <w:color w:val="FFFFFF"/>
                <w:sz w:val="26"/>
                <w:szCs w:val="26"/>
              </w:rPr>
              <w:t xml:space="preserve">8</w:t>
            </w:r>
          </w:p>
        </w:tc>
        <w:tc>
          <w:tcPr>
            <w:tcMar>
              <w:top w:type="dxa" w:w="70"/>
              <w:left w:type="dxa" w:w="110"/>
              <w:bottom w:type="dxa" w:w="70"/>
              <w:right w:type="dxa" w:w="110"/>
            </w:tcMar>
            <w:vAlign w:val="top"/>
          </w:tcPr>
          <w:p>
            <w:pPr>
              <w:spacing w:after="0" w:before="0"/>
              <w:jc w:val="center"/>
            </w:pPr>
            <w:r>
              <w:rPr>
                <w:rFonts w:ascii="Calibri" w:cs="Calibri" w:eastAsia="Calibri" w:hAnsi="Calibri"/>
                <w:b w:val="false"/>
                <w:bCs w:val="false"/>
                <w:i w:val="false"/>
                <w:iCs w:val="false"/>
                <w:color w:val="777777"/>
                <w:sz w:val="22"/>
                <w:szCs w:val="22"/>
              </w:rPr>
              <w:t xml:space="preserve">→</w:t>
            </w:r>
          </w:p>
        </w:tc>
        <w:tc>
          <w:tcPr>
            <w:shd w:fill="1F3D5C" w:color="auto" w:val="clear"/>
            <w:tcMar>
              <w:top w:type="dxa" w:w="70"/>
              <w:left w:type="dxa" w:w="110"/>
              <w:bottom w:type="dxa" w:w="70"/>
              <w:right w:type="dxa" w:w="110"/>
            </w:tcMar>
            <w:vAlign w:val="top"/>
          </w:tcPr>
          <w:p>
            <w:pPr>
              <w:spacing w:after="0" w:before="0"/>
              <w:jc w:val="center"/>
            </w:pPr>
            <w:r>
              <w:rPr>
                <w:rFonts w:ascii="Calibri" w:cs="Calibri" w:eastAsia="Calibri" w:hAnsi="Calibri"/>
                <w:b/>
                <w:bCs/>
                <w:i w:val="false"/>
                <w:iCs w:val="false"/>
                <w:color w:val="FFFFFF"/>
                <w:sz w:val="26"/>
                <w:szCs w:val="26"/>
              </w:rPr>
              <w:t xml:space="preserve">3</w:t>
            </w:r>
          </w:p>
        </w:tc>
        <w:tc>
          <w:tcPr>
            <w:tcMar>
              <w:top w:type="dxa" w:w="70"/>
              <w:left w:type="dxa" w:w="110"/>
              <w:bottom w:type="dxa" w:w="70"/>
              <w:right w:type="dxa" w:w="110"/>
            </w:tcMar>
            <w:vAlign w:val="top"/>
          </w:tcPr>
          <w:p>
            <w:pPr>
              <w:spacing w:after="0" w:before="0"/>
              <w:jc w:val="center"/>
            </w:pPr>
            <w:r>
              <w:rPr>
                <w:rFonts w:ascii="Calibri" w:cs="Calibri" w:eastAsia="Calibri" w:hAnsi="Calibri"/>
                <w:b w:val="false"/>
                <w:bCs w:val="false"/>
                <w:i w:val="false"/>
                <w:iCs w:val="false"/>
                <w:color w:val="777777"/>
                <w:sz w:val="22"/>
                <w:szCs w:val="22"/>
              </w:rPr>
              <w:t xml:space="preserve">→</w:t>
            </w:r>
          </w:p>
        </w:tc>
        <w:tc>
          <w:tcPr>
            <w:shd w:fill="1F3D5C" w:color="auto" w:val="clear"/>
            <w:tcMar>
              <w:top w:type="dxa" w:w="70"/>
              <w:left w:type="dxa" w:w="110"/>
              <w:bottom w:type="dxa" w:w="70"/>
              <w:right w:type="dxa" w:w="110"/>
            </w:tcMar>
            <w:vAlign w:val="top"/>
          </w:tcPr>
          <w:p>
            <w:pPr>
              <w:spacing w:after="0" w:before="0"/>
              <w:jc w:val="center"/>
            </w:pPr>
            <w:r>
              <w:rPr>
                <w:rFonts w:ascii="Calibri" w:cs="Calibri" w:eastAsia="Calibri" w:hAnsi="Calibri"/>
                <w:b/>
                <w:bCs/>
                <w:i w:val="false"/>
                <w:iCs w:val="false"/>
                <w:color w:val="FFFFFF"/>
                <w:sz w:val="26"/>
                <w:szCs w:val="26"/>
              </w:rPr>
              <w:t xml:space="preserve">7</w:t>
            </w:r>
          </w:p>
        </w:tc>
        <w:tc>
          <w:tcPr>
            <w:tcMar>
              <w:top w:type="dxa" w:w="70"/>
              <w:left w:type="dxa" w:w="110"/>
              <w:bottom w:type="dxa" w:w="70"/>
              <w:right w:type="dxa" w:w="110"/>
            </w:tcMar>
            <w:vAlign w:val="top"/>
          </w:tcPr>
          <w:p>
            <w:pPr>
              <w:spacing w:after="0" w:before="0"/>
              <w:jc w:val="center"/>
            </w:pPr>
            <w:r>
              <w:rPr>
                <w:rFonts w:ascii="Calibri" w:cs="Calibri" w:eastAsia="Calibri" w:hAnsi="Calibri"/>
                <w:b w:val="false"/>
                <w:bCs w:val="false"/>
                <w:i w:val="false"/>
                <w:iCs w:val="false"/>
                <w:color w:val="777777"/>
                <w:sz w:val="22"/>
                <w:szCs w:val="22"/>
              </w:rPr>
              <w:t xml:space="preserve">→</w:t>
            </w:r>
          </w:p>
        </w:tc>
        <w:tc>
          <w:tcPr>
            <w:shd w:fill="1F3D5C" w:color="auto" w:val="clear"/>
            <w:tcMar>
              <w:top w:type="dxa" w:w="70"/>
              <w:left w:type="dxa" w:w="110"/>
              <w:bottom w:type="dxa" w:w="70"/>
              <w:right w:type="dxa" w:w="110"/>
            </w:tcMar>
            <w:vAlign w:val="top"/>
          </w:tcPr>
          <w:p>
            <w:pPr>
              <w:spacing w:after="0" w:before="0"/>
              <w:jc w:val="center"/>
            </w:pPr>
            <w:r>
              <w:rPr>
                <w:rFonts w:ascii="Calibri" w:cs="Calibri" w:eastAsia="Calibri" w:hAnsi="Calibri"/>
                <w:b/>
                <w:bCs/>
                <w:i w:val="false"/>
                <w:iCs w:val="false"/>
                <w:color w:val="FFFFFF"/>
                <w:sz w:val="26"/>
                <w:szCs w:val="26"/>
              </w:rPr>
              <w:t xml:space="preserve">1</w:t>
            </w:r>
          </w:p>
        </w:tc>
        <w:tc>
          <w:tcPr>
            <w:tcMar>
              <w:top w:type="dxa" w:w="70"/>
              <w:left w:type="dxa" w:w="110"/>
              <w:bottom w:type="dxa" w:w="70"/>
              <w:right w:type="dxa" w:w="110"/>
            </w:tcMar>
            <w:vAlign w:val="top"/>
          </w:tcPr>
          <w:p>
            <w:pPr>
              <w:spacing w:after="0" w:before="0"/>
              <w:jc w:val="center"/>
            </w:pPr>
            <w:r>
              <w:rPr>
                <w:rFonts w:ascii="Calibri" w:cs="Calibri" w:eastAsia="Calibri" w:hAnsi="Calibri"/>
                <w:b w:val="false"/>
                <w:bCs w:val="false"/>
                <w:i w:val="false"/>
                <w:iCs w:val="false"/>
                <w:color w:val="777777"/>
                <w:sz w:val="22"/>
                <w:szCs w:val="22"/>
              </w:rPr>
              <w:t xml:space="preserve">→</w:t>
            </w:r>
          </w:p>
        </w:tc>
        <w:tc>
          <w:tcPr>
            <w:shd w:fill="7B2D2D" w:color="auto" w:val="clear"/>
            <w:tcMar>
              <w:top w:type="dxa" w:w="70"/>
              <w:left w:type="dxa" w:w="110"/>
              <w:bottom w:type="dxa" w:w="70"/>
              <w:right w:type="dxa" w:w="110"/>
            </w:tcMar>
            <w:vAlign w:val="top"/>
          </w:tcPr>
          <w:p>
            <w:pPr>
              <w:spacing w:after="0" w:before="0"/>
              <w:jc w:val="center"/>
            </w:pPr>
            <w:r>
              <w:rPr>
                <w:rFonts w:ascii="Calibri" w:cs="Calibri" w:eastAsia="Calibri" w:hAnsi="Calibri"/>
                <w:b/>
                <w:bCs/>
                <w:i w:val="false"/>
                <w:iCs w:val="false"/>
                <w:color w:val="FFFFFF"/>
                <w:sz w:val="26"/>
                <w:szCs w:val="26"/>
              </w:rPr>
              <w:t xml:space="preserve">4</w:t>
            </w:r>
          </w:p>
        </w:tc>
      </w:tr>
    </w:tbl>
    <w:p>
      <w:pPr>
        <w:spacing w:after="60"/>
      </w:pPr>
    </w:p>
    <w:tbl>
      <w:tblPr>
        <w:tblW w:type="dxa" w:w="9706"/>
        <w:tblBorders>
          <w:top w:val="single" w:color="9AA7B4" w:sz="4"/>
          <w:left w:val="single" w:color="9AA7B4" w:sz="4"/>
          <w:bottom w:val="single" w:color="9AA7B4" w:sz="4"/>
          <w:right w:val="single" w:color="9AA7B4" w:sz="4"/>
          <w:insideH w:val="single" w:color="9AA7B4" w:sz="4"/>
          <w:insideV w:val="single" w:color="9AA7B4" w:sz="4"/>
        </w:tblBorders>
      </w:tblPr>
      <w:tblGrid>
        <w:gridCol w:w="900"/>
        <w:gridCol w:w="8806"/>
      </w:tblGrid>
      <w:tr>
        <w:tc>
          <w:tcP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1F3D5C"/>
                <w:sz w:val="19"/>
                <w:szCs w:val="19"/>
              </w:rPr>
              <w:t xml:space="preserve">1.  (2)</w:t>
            </w:r>
          </w:p>
        </w:tc>
        <w:tc>
          <w:tcP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Rom führt Krieg um Krieg und steigt zur führenden Macht im Mittelmeerraum auf.</w:t>
            </w:r>
          </w:p>
        </w:tc>
      </w:tr>
      <w:tr>
        <w:tc>
          <w:tcPr>
            <w:shd w:fill="F7F9FC" w:color="auto" w:val="clea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1F3D5C"/>
                <w:sz w:val="19"/>
                <w:szCs w:val="19"/>
              </w:rPr>
              <w:t xml:space="preserve">2.  (6)</w:t>
            </w:r>
          </w:p>
        </w:tc>
        <w:tc>
          <w:tcPr>
            <w:shd w:fill="F7F9FC" w:color="auto" w:val="clea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Rom hat noch keine Berufsarmee: Die meisten Bürgersoldaten sind Bauern.</w:t>
            </w:r>
          </w:p>
        </w:tc>
      </w:tr>
      <w:tr>
        <w:tc>
          <w:tcP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1F3D5C"/>
                <w:sz w:val="19"/>
                <w:szCs w:val="19"/>
              </w:rPr>
              <w:t xml:space="preserve">3.  (5)</w:t>
            </w:r>
          </w:p>
        </w:tc>
        <w:tc>
          <w:tcP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Die Kriegsschauplätze liegen immer weiter von Italien entfernt.</w:t>
            </w:r>
          </w:p>
        </w:tc>
      </w:tr>
      <w:tr>
        <w:tc>
          <w:tcPr>
            <w:shd w:fill="F7F9FC" w:color="auto" w:val="clea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1F3D5C"/>
                <w:sz w:val="19"/>
                <w:szCs w:val="19"/>
              </w:rPr>
              <w:t xml:space="preserve">4.  (8)</w:t>
            </w:r>
          </w:p>
        </w:tc>
        <w:tc>
          <w:tcPr>
            <w:shd w:fill="F7F9FC" w:color="auto" w:val="clea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Die Bauern sind immer häufiger und immer länger von ihrem Hof weg.</w:t>
            </w:r>
          </w:p>
        </w:tc>
      </w:tr>
      <w:tr>
        <w:tc>
          <w:tcP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1F3D5C"/>
                <w:sz w:val="19"/>
                <w:szCs w:val="19"/>
              </w:rPr>
              <w:t xml:space="preserve">5.  (3)</w:t>
            </w:r>
          </w:p>
        </w:tc>
        <w:tc>
          <w:tcP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Die Höfe leiden: Zu Hause fehlt der Mann, der sie bewirtschaftet.</w:t>
            </w:r>
          </w:p>
        </w:tc>
      </w:tr>
      <w:tr>
        <w:tc>
          <w:tcPr>
            <w:shd w:fill="F7F9FC" w:color="auto" w:val="clea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1F3D5C"/>
                <w:sz w:val="19"/>
                <w:szCs w:val="19"/>
              </w:rPr>
              <w:t xml:space="preserve">6.  (7)</w:t>
            </w:r>
          </w:p>
        </w:tc>
        <w:tc>
          <w:tcPr>
            <w:shd w:fill="F7F9FC" w:color="auto" w:val="clea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Viele geben auf und verkaufen ihren Hof zu einem geringen Preis an einen Großgrundbesitzer.</w:t>
            </w:r>
          </w:p>
        </w:tc>
      </w:tr>
      <w:tr>
        <w:tc>
          <w:tcP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1F3D5C"/>
                <w:sz w:val="19"/>
                <w:szCs w:val="19"/>
              </w:rPr>
              <w:t xml:space="preserve">7.  (1)</w:t>
            </w:r>
          </w:p>
        </w:tc>
        <w:tc>
          <w:tcP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Die Familien ziehen in die Stadt – oder arbeiten zusätzlich auf den großen Gütern.</w:t>
            </w:r>
          </w:p>
        </w:tc>
      </w:tr>
      <w:tr>
        <w:tc>
          <w:tcPr>
            <w:shd w:fill="F7F9FC" w:color="auto" w:val="clea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7B2D2D"/>
                <w:sz w:val="19"/>
                <w:szCs w:val="19"/>
              </w:rPr>
              <w:t xml:space="preserve">8.  (4)</w:t>
            </w:r>
          </w:p>
        </w:tc>
        <w:tc>
          <w:tcPr>
            <w:shd w:fill="F7F9FC" w:color="auto" w:val="clea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Das Staatsland (ager publicus), das die Kleinbauern nutzen dürften, ist von Großgrundbesitzern besetzt.</w:t>
            </w:r>
          </w:p>
        </w:tc>
      </w:tr>
    </w:tbl>
    <w:p>
      <w:pPr>
        <w:spacing w:after="80"/>
      </w:pPr>
    </w:p>
    <w:tbl>
      <w:tblPr>
        <w:tblW w:type="dxa" w:w="9706"/>
        <w:tblBorders>
          <w:top w:val="single" w:color="B8860B" w:sz="6"/>
          <w:left w:val="single" w:color="B8860B" w:sz="6"/>
          <w:bottom w:val="single" w:color="B8860B" w:sz="6"/>
          <w:right w:val="single" w:color="B8860B" w:sz="6"/>
          <w:insideH w:val="single" w:color="B8860B" w:sz="6"/>
          <w:insideV w:val="single" w:color="B8860B" w:sz="6"/>
        </w:tblBorders>
      </w:tblPr>
      <w:tblGrid>
        <w:gridCol w:w="9706"/>
      </w:tblGrid>
      <w:tr>
        <w:tc>
          <w:tcPr>
            <w:shd w:fill="FDF6DC" w:color="auto" w:val="clear"/>
            <w:tcMar>
              <w:top w:type="dxa" w:w="100"/>
              <w:left w:type="dxa" w:w="180"/>
              <w:bottom w:type="dxa" w:w="100"/>
              <w:right w:type="dxa" w:w="180"/>
            </w:tcMar>
          </w:tcPr>
          <w:p>
            <w:pPr>
              <w:spacing w:after="70" w:before="0"/>
            </w:pPr>
            <w:r>
              <w:rPr>
                <w:rFonts w:ascii="Calibri" w:cs="Calibri" w:eastAsia="Calibri" w:hAnsi="Calibri"/>
                <w:b/>
                <w:bCs/>
                <w:i w:val="false"/>
                <w:iCs w:val="false"/>
                <w:color w:val="7B2D2D"/>
                <w:sz w:val="22"/>
                <w:szCs w:val="22"/>
              </w:rPr>
              <w:t xml:space="preserve">Schritt 3 · der Riss: Karte 4.  </w:t>
            </w:r>
            <w:r>
              <w:rPr>
                <w:rFonts w:ascii="Calibri" w:cs="Calibri" w:eastAsia="Calibri" w:hAnsi="Calibri"/>
                <w:b w:val="false"/>
                <w:bCs w:val="false"/>
                <w:i w:val="false"/>
                <w:iCs w:val="false"/>
                <w:color w:val="000000"/>
                <w:sz w:val="21"/>
                <w:szCs w:val="21"/>
              </w:rPr>
              <w:t xml:space="preserve">„Grundsätzlich hätten sie das Land, das dem römischen Staat gehörte (ager publicus), nutzen dürfen, aber das war vielerorts von Großgrundbesitzern besetzt worden.“ Das Auffangnetz war da – und schon belegt. Genau hier setzt das Agrargesetz an: Brücke zu Team B.</w:t>
            </w:r>
          </w:p>
          <w:p>
            <w:pPr>
              <w:spacing w:after="0" w:before="0"/>
            </w:pPr>
            <w:r>
              <w:rPr>
                <w:rFonts w:ascii="Calibri" w:cs="Calibri" w:eastAsia="Calibri" w:hAnsi="Calibri"/>
                <w:b/>
                <w:bCs/>
                <w:i w:val="false"/>
                <w:iCs w:val="false"/>
                <w:color w:val="000000"/>
                <w:sz w:val="22"/>
                <w:szCs w:val="22"/>
              </w:rPr>
              <w:t xml:space="preserve">Streitfall (gilt auch): </w:t>
            </w:r>
            <w:r>
              <w:rPr>
                <w:rFonts w:ascii="Calibri" w:cs="Calibri" w:eastAsia="Calibri" w:hAnsi="Calibri"/>
                <w:b w:val="false"/>
                <w:bCs w:val="false"/>
                <w:i w:val="false"/>
                <w:iCs w:val="false"/>
                <w:color w:val="000000"/>
                <w:sz w:val="21"/>
                <w:szCs w:val="21"/>
              </w:rPr>
              <w:t xml:space="preserve">Karte 4 lässt sich ebenso gut vor Karte 7 legen – dann steht sie da, wo die Bauern noch nicht verkauft haben und schon keinen Ausweg mehr sehen. Wer das begründet, hat recht. Entscheidend ist die Begründung, nicht die Position.</w:t>
            </w:r>
          </w:p>
        </w:tc>
      </w:tr>
    </w:tbl>
    <w:p>
      <w:pPr>
        <w:spacing w:after="70"/>
      </w:pPr>
    </w:p>
    <w:tbl>
      <w:tblPr>
        <w:tblW w:type="dxa" w:w="9706"/>
        <w:tblBorders>
          <w:top w:val="single" w:color="B02418" w:sz="6"/>
          <w:left w:val="single" w:color="B02418" w:sz="6"/>
          <w:bottom w:val="single" w:color="B02418" w:sz="6"/>
          <w:right w:val="single" w:color="B02418" w:sz="6"/>
          <w:insideH w:val="single" w:color="B02418" w:sz="6"/>
          <w:insideV w:val="single" w:color="B02418" w:sz="6"/>
        </w:tblBorders>
      </w:tblPr>
      <w:tblGrid>
        <w:gridCol w:w="9706"/>
      </w:tblGrid>
      <w:tr>
        <w:tc>
          <w:tcPr>
            <w:shd w:fill="FDECEA" w:color="auto" w:val="clear"/>
            <w:tcMar>
              <w:top w:type="dxa" w:w="100"/>
              <w:left w:type="dxa" w:w="180"/>
              <w:bottom w:type="dxa" w:w="100"/>
              <w:right w:type="dxa" w:w="180"/>
            </w:tcMar>
          </w:tcPr>
          <w:p>
            <w:pPr>
              <w:spacing w:after="60" w:before="0"/>
            </w:pPr>
            <w:r>
              <w:rPr>
                <w:rFonts w:ascii="Calibri" w:cs="Calibri" w:eastAsia="Calibri" w:hAnsi="Calibri"/>
                <w:b/>
                <w:bCs/>
                <w:i w:val="false"/>
                <w:iCs w:val="false"/>
                <w:color w:val="B02418"/>
                <w:sz w:val="21"/>
                <w:szCs w:val="21"/>
              </w:rPr>
              <w:t xml:space="preserve">Bobibus Zweifel: „Die Bauern waren doch selbst schuld – verkaufen musste doch keiner!“</w:t>
            </w:r>
          </w:p>
          <w:p>
            <w:pPr>
              <w:spacing w:after="0" w:before="0"/>
            </w:pPr>
            <w:r>
              <w:rPr>
                <w:rFonts w:ascii="Calibri" w:cs="Calibri" w:eastAsia="Calibri" w:hAnsi="Calibri"/>
                <w:b w:val="false"/>
                <w:bCs w:val="false"/>
                <w:i w:val="false"/>
                <w:iCs w:val="false"/>
                <w:color w:val="000000"/>
                <w:sz w:val="20"/>
                <w:szCs w:val="20"/>
              </w:rPr>
              <w:t xml:space="preserve">Formal richtig: Die Sachinfo sagt „Viele Bauern gaben auf“ – gezwungen wurde niemand. Aber der Hof litt unter der jahrelangen Abwesenheit, die eigene Anbaufläche war „zu klein, um die Familie zu ernähren“, und das Staatsland war besetzt. Wer nur zwischen Verhungern und Verkaufen wählen kann, hat keine Wahl. Antworten, die zwischen Zwang und Druck unterscheiden, sind die besten.</w:t>
            </w:r>
          </w:p>
        </w:tc>
      </w:tr>
    </w:tbl>
    <w:p>
      <w:pPr>
        <w:pageBreakBefore/>
        <w:spacing w:after="0"/>
      </w:pPr>
    </w:p>
    <w:p>
      <w:pPr>
        <w:pBdr>
          <w:bottom w:val="single" w:color="2E74B5" w:sz="8" w:space="4"/>
        </w:pBdr>
        <w:tabs>
          <w:tab w:val="right" w:pos="9706"/>
        </w:tabs>
        <w:spacing w:after="60"/>
      </w:pPr>
      <w:r>
        <w:rPr>
          <w:rFonts w:ascii="Calibri" w:cs="Calibri" w:eastAsia="Calibri" w:hAnsi="Calibri"/>
          <w:b/>
          <w:bCs/>
          <w:color w:val="2E74B5"/>
          <w:sz w:val="20"/>
          <w:szCs w:val="20"/>
        </w:rPr>
        <w:t xml:space="preserve">Lektion 15 · Bauern und Adlige	AB 16 · Lösung – nicht austeilen</w:t>
      </w:r>
    </w:p>
    <w:p>
      <w:pPr>
        <w:keepNext/>
        <w:spacing w:after="60" w:before="120"/>
      </w:pPr>
      <w:r>
        <w:rPr>
          <w:rFonts w:ascii="Calibri" w:cs="Calibri" w:eastAsia="Calibri" w:hAnsi="Calibri"/>
          <w:b/>
          <w:bCs/>
          <w:color w:val="1F3D5C"/>
          <w:sz w:val="26"/>
          <w:szCs w:val="26"/>
        </w:rPr>
        <w:t xml:space="preserve">Team B · Zwei Lager, zwei Namen</w:t>
      </w:r>
    </w:p>
    <w:tbl>
      <w:tblPr>
        <w:tblW w:type="dxa" w:w="9706"/>
        <w:tblBorders>
          <w:top w:val="single" w:color="9AA7B4" w:sz="4"/>
          <w:left w:val="single" w:color="9AA7B4" w:sz="4"/>
          <w:bottom w:val="single" w:color="9AA7B4" w:sz="4"/>
          <w:right w:val="single" w:color="9AA7B4" w:sz="4"/>
          <w:insideH w:val="single" w:color="9AA7B4" w:sz="4"/>
          <w:insideV w:val="single" w:color="9AA7B4" w:sz="4"/>
        </w:tblBorders>
      </w:tblPr>
      <w:tblGrid>
        <w:gridCol w:w="2400"/>
        <w:gridCol w:w="3653"/>
        <w:gridCol w:w="3653"/>
      </w:tblGrid>
      <w:tr>
        <w:tc>
          <w:tcPr>
            <w:shd w:fill="1F3D5C" w:color="auto" w:val="clea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FFFFFF"/>
                <w:sz w:val="19"/>
                <w:szCs w:val="19"/>
              </w:rPr>
              <w:t xml:space="preserve"/>
            </w:r>
          </w:p>
        </w:tc>
        <w:tc>
          <w:tcPr>
            <w:shd w:fill="1F3D5C" w:color="auto" w:val="clea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FFFFFF"/>
                <w:sz w:val="20"/>
                <w:szCs w:val="20"/>
              </w:rPr>
              <w:t xml:space="preserve">Popularen</w:t>
            </w:r>
          </w:p>
        </w:tc>
        <w:tc>
          <w:tcPr>
            <w:shd w:fill="1F3D5C" w:color="auto" w:val="clea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FFFFFF"/>
                <w:sz w:val="20"/>
                <w:szCs w:val="20"/>
              </w:rPr>
              <w:t xml:space="preserve">Optimaten</w:t>
            </w:r>
          </w:p>
        </w:tc>
      </w:tr>
      <w:tr>
        <w:tc>
          <w:tcP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000000"/>
                <w:sz w:val="20"/>
                <w:szCs w:val="20"/>
              </w:rPr>
              <w:t xml:space="preserve">Woher kommt der Name?</w:t>
            </w:r>
          </w:p>
        </w:tc>
        <w:tc>
          <w:tcPr>
            <w:tcMar>
              <w:top w:type="dxa" w:w="55"/>
              <w:left w:type="dxa" w:w="110"/>
              <w:bottom w:type="dxa" w:w="55"/>
              <w:right w:type="dxa" w:w="110"/>
            </w:tcMar>
            <w:vAlign w:val="top"/>
          </w:tcPr>
          <w:p>
            <w:pPr>
              <w:spacing w:after="0" w:before="0"/>
            </w:pPr>
            <w:r>
              <w:rPr>
                <w:rFonts w:ascii="Cambria" w:cs="Cambria" w:eastAsia="Cambria" w:hAnsi="Cambria"/>
                <w:b w:val="false"/>
                <w:bCs w:val="false"/>
                <w:i/>
                <w:iCs/>
                <w:color w:val="000000"/>
                <w:sz w:val="22"/>
                <w:szCs w:val="22"/>
              </w:rPr>
              <w:t xml:space="preserve">populus</w:t>
            </w:r>
            <w:r>
              <w:rPr>
                <w:rFonts w:ascii="Calibri" w:cs="Calibri" w:eastAsia="Calibri" w:hAnsi="Calibri"/>
                <w:b w:val="false"/>
                <w:bCs w:val="false"/>
                <w:i w:val="false"/>
                <w:iCs w:val="false"/>
                <w:color w:val="000000"/>
                <w:sz w:val="20"/>
                <w:szCs w:val="20"/>
              </w:rPr>
              <w:t xml:space="preserve"> – „das Volk“. Sie standen dem Volk näher.</w:t>
            </w:r>
          </w:p>
        </w:tc>
        <w:tc>
          <w:tcPr>
            <w:tcMar>
              <w:top w:type="dxa" w:w="55"/>
              <w:left w:type="dxa" w:w="110"/>
              <w:bottom w:type="dxa" w:w="55"/>
              <w:right w:type="dxa" w:w="110"/>
            </w:tcMar>
            <w:vAlign w:val="top"/>
          </w:tcPr>
          <w:p>
            <w:pPr>
              <w:spacing w:after="0" w:before="0"/>
            </w:pPr>
            <w:r>
              <w:rPr>
                <w:rFonts w:ascii="Cambria" w:cs="Cambria" w:eastAsia="Cambria" w:hAnsi="Cambria"/>
                <w:b w:val="false"/>
                <w:bCs w:val="false"/>
                <w:i/>
                <w:iCs/>
                <w:color w:val="000000"/>
                <w:sz w:val="22"/>
                <w:szCs w:val="22"/>
              </w:rPr>
              <w:t xml:space="preserve">optimus</w:t>
            </w:r>
            <w:r>
              <w:rPr>
                <w:rFonts w:ascii="Calibri" w:cs="Calibri" w:eastAsia="Calibri" w:hAnsi="Calibri"/>
                <w:b w:val="false"/>
                <w:bCs w:val="false"/>
                <w:i w:val="false"/>
                <w:iCs w:val="false"/>
                <w:color w:val="000000"/>
                <w:sz w:val="20"/>
                <w:szCs w:val="20"/>
              </w:rPr>
              <w:t xml:space="preserve"> – „der Beste“. Sie betonten die Überlegenheit des Adels.</w:t>
            </w:r>
          </w:p>
        </w:tc>
      </w:tr>
      <w:tr>
        <w:tc>
          <w:tcPr>
            <w:shd w:fill="F7F9FC" w:color="auto" w:val="clea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000000"/>
                <w:sz w:val="20"/>
                <w:szCs w:val="20"/>
              </w:rPr>
              <w:t xml:space="preserve">Was wollen sie mit dem ager publicus?</w:t>
            </w:r>
          </w:p>
        </w:tc>
        <w:tc>
          <w:tcPr>
            <w:shd w:fill="F7F9FC" w:color="auto" w:val="clea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neu aufteilen, damit größere Höfe entstehen</w:t>
            </w:r>
          </w:p>
        </w:tc>
        <w:tc>
          <w:tcPr>
            <w:shd w:fill="F7F9FC" w:color="auto" w:val="clea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alles lassen, wie es ist – die Reform blockieren</w:t>
            </w:r>
          </w:p>
        </w:tc>
      </w:tr>
      <w:tr>
        <w:tc>
          <w:tcP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000000"/>
                <w:sz w:val="20"/>
                <w:szCs w:val="20"/>
              </w:rPr>
              <w:t xml:space="preserve">Womit begründen sie das?</w:t>
            </w:r>
          </w:p>
        </w:tc>
        <w:tc>
          <w:tcP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Die Forderungen sind berechtigt; es entstehen neue Existenzgrundlagen für die, die in Rom unterbeschäftigt sind.</w:t>
            </w:r>
          </w:p>
        </w:tc>
        <w:tc>
          <w:tcP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Sie fürchten eine Schwächung ihrer Stellung.</w:t>
            </w:r>
          </w:p>
        </w:tc>
      </w:tr>
    </w:tbl>
    <w:p>
      <w:pPr>
        <w:spacing w:after="70"/>
      </w:pPr>
    </w:p>
    <w:p>
      <w:pPr>
        <w:spacing w:after="110" w:before="0"/>
      </w:pPr>
      <w:r>
        <w:rPr>
          <w:rFonts w:ascii="Calibri" w:cs="Calibri" w:eastAsia="Calibri" w:hAnsi="Calibri"/>
          <w:b w:val="false"/>
          <w:bCs w:val="false"/>
          <w:i w:val="false"/>
          <w:iCs w:val="false"/>
          <w:color w:val="000000"/>
          <w:sz w:val="21"/>
          <w:szCs w:val="21"/>
        </w:rPr>
        <w:t xml:space="preserve">Beide Namen sind selbst gewählt – die Sachinfo sagt zweimal „nannten sich“.</w:t>
      </w:r>
    </w:p>
    <w:tbl>
      <w:tblPr>
        <w:tblW w:type="dxa" w:w="9706"/>
        <w:tblBorders>
          <w:top w:val="single" w:color="9AA7B4" w:sz="4"/>
          <w:left w:val="single" w:color="9AA7B4" w:sz="4"/>
          <w:bottom w:val="single" w:color="9AA7B4" w:sz="4"/>
          <w:right w:val="single" w:color="9AA7B4" w:sz="4"/>
          <w:insideH w:val="single" w:color="9AA7B4" w:sz="4"/>
          <w:insideV w:val="single" w:color="9AA7B4" w:sz="4"/>
        </w:tblBorders>
      </w:tblPr>
      <w:tblGrid>
        <w:gridCol w:w="1600"/>
        <w:gridCol w:w="8106"/>
      </w:tblGrid>
      <w:tr>
        <w:tc>
          <w:tcPr>
            <w:shd w:fill="1F3D5C" w:color="auto" w:val="clea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FFFFFF"/>
                <w:sz w:val="20"/>
                <w:szCs w:val="20"/>
              </w:rPr>
              <w:t xml:space="preserve">Zuordnung</w:t>
            </w:r>
          </w:p>
        </w:tc>
        <w:tc>
          <w:tcPr>
            <w:shd w:fill="1F3D5C" w:color="auto" w:val="clea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000000"/>
                <w:sz w:val="21"/>
                <w:szCs w:val="21"/>
              </w:rPr>
              <w:t xml:space="preserve">a) P   ·   b) O   ·   c) P   ·   d) O   ·   e) beides   ·   f) P</w:t>
            </w:r>
          </w:p>
        </w:tc>
      </w:tr>
      <w:tr>
        <w:tc>
          <w:tcPr>
            <w:tcMar>
              <w:top w:type="dxa" w:w="55"/>
              <w:left w:type="dxa" w:w="110"/>
              <w:bottom w:type="dxa" w:w="55"/>
              <w:right w:type="dxa" w:w="110"/>
            </w:tcMar>
            <w:vAlign w:val="top"/>
          </w:tcPr>
          <w:p>
            <w:pPr>
              <w:spacing w:after="0" w:before="0"/>
            </w:pPr>
            <w:r>
              <w:rPr>
                <w:rFonts w:ascii="Calibri" w:cs="Calibri" w:eastAsia="Calibri" w:hAnsi="Calibri"/>
                <w:b/>
                <w:bCs/>
                <w:i w:val="false"/>
                <w:iCs w:val="false"/>
                <w:color w:val="7B2D2D"/>
                <w:sz w:val="20"/>
                <w:szCs w:val="20"/>
              </w:rPr>
              <w:t xml:space="preserve">zu e)</w:t>
            </w:r>
          </w:p>
        </w:tc>
        <w:tc>
          <w:tcPr>
            <w:tcMar>
              <w:top w:type="dxa" w:w="55"/>
              <w:left w:type="dxa" w:w="110"/>
              <w:bottom w:type="dxa" w:w="55"/>
              <w:right w:type="dxa" w:w="110"/>
            </w:tcMar>
            <w:vAlign w:val="top"/>
          </w:tcPr>
          <w:p>
            <w:pPr>
              <w:spacing w:after="0" w:before="0"/>
            </w:pPr>
            <w:r>
              <w:rPr>
                <w:rFonts w:ascii="Calibri" w:cs="Calibri" w:eastAsia="Calibri" w:hAnsi="Calibri"/>
                <w:b w:val="false"/>
                <w:bCs w:val="false"/>
                <w:i w:val="false"/>
                <w:iCs w:val="false"/>
                <w:color w:val="000000"/>
                <w:sz w:val="20"/>
                <w:szCs w:val="20"/>
              </w:rPr>
              <w:t xml:space="preserve">Tiberius Gracchus ist Populare und stammt zugleich „aus einer der vornehmsten römischen Familien“ (S. 108). Popular und Optimat ist kein Unterschied von arm und reich, sondern zwei Wege von Adligen zur Macht.</w:t>
            </w:r>
          </w:p>
        </w:tc>
      </w:tr>
    </w:tbl>
    <w:p>
      <w:pPr>
        <w:spacing w:after="90"/>
      </w:pPr>
    </w:p>
    <w:tbl>
      <w:tblPr>
        <w:tblW w:type="dxa" w:w="9706"/>
        <w:tblBorders>
          <w:top w:val="single" w:color="B8860B" w:sz="6"/>
          <w:left w:val="single" w:color="B8860B" w:sz="6"/>
          <w:bottom w:val="single" w:color="B8860B" w:sz="6"/>
          <w:right w:val="single" w:color="B8860B" w:sz="6"/>
          <w:insideH w:val="single" w:color="B8860B" w:sz="6"/>
          <w:insideV w:val="single" w:color="B8860B" w:sz="6"/>
        </w:tblBorders>
      </w:tblPr>
      <w:tblGrid>
        <w:gridCol w:w="9706"/>
      </w:tblGrid>
      <w:tr>
        <w:tc>
          <w:tcPr>
            <w:shd w:fill="FDF6DC" w:color="auto" w:val="clear"/>
            <w:tcMar>
              <w:top w:type="dxa" w:w="100"/>
              <w:left w:type="dxa" w:w="180"/>
              <w:bottom w:type="dxa" w:w="100"/>
              <w:right w:type="dxa" w:w="180"/>
            </w:tcMar>
          </w:tcPr>
          <w:p>
            <w:pPr>
              <w:spacing w:after="60" w:before="0"/>
            </w:pPr>
            <w:r>
              <w:rPr>
                <w:rFonts w:ascii="Calibri" w:cs="Calibri" w:eastAsia="Calibri" w:hAnsi="Calibri"/>
                <w:b/>
                <w:bCs/>
                <w:i w:val="false"/>
                <w:iCs w:val="false"/>
                <w:color w:val="1F3D5C"/>
                <w:sz w:val="22"/>
                <w:szCs w:val="22"/>
              </w:rPr>
              <w:t xml:space="preserve">Schritt 3 · der Namenstrick</w:t>
            </w:r>
          </w:p>
          <w:p>
            <w:pPr>
              <w:spacing w:after="60" w:before="0"/>
            </w:pPr>
            <w:r>
              <w:rPr>
                <w:rFonts w:ascii="Calibri" w:cs="Calibri" w:eastAsia="Calibri" w:hAnsi="Calibri"/>
                <w:b w:val="false"/>
                <w:bCs w:val="false"/>
                <w:i w:val="false"/>
                <w:iCs w:val="false"/>
                <w:color w:val="000000"/>
                <w:sz w:val="22"/>
                <w:szCs w:val="22"/>
              </w:rPr>
              <w:t xml:space="preserve">Die Adligen benennen sich selbst – aktiv: „sie nannten sich“. Die Bürger werden benannt – passiv: </w:t>
            </w:r>
            <w:r>
              <w:rPr>
                <w:rFonts w:ascii="Cambria" w:cs="Cambria" w:eastAsia="Cambria" w:hAnsi="Cambria"/>
                <w:b w:val="false"/>
                <w:bCs w:val="false"/>
                <w:i/>
                <w:iCs/>
                <w:color w:val="000000"/>
                <w:sz w:val="22"/>
                <w:szCs w:val="22"/>
              </w:rPr>
              <w:t xml:space="preserve">appellāminī</w:t>
            </w:r>
            <w:r>
              <w:rPr>
                <w:rFonts w:ascii="Calibri" w:cs="Calibri" w:eastAsia="Calibri" w:hAnsi="Calibri"/>
                <w:b w:val="false"/>
                <w:bCs w:val="false"/>
                <w:i w:val="false"/>
                <w:iCs w:val="false"/>
                <w:color w:val="000000"/>
                <w:sz w:val="22"/>
                <w:szCs w:val="22"/>
              </w:rPr>
              <w:t xml:space="preserve">, und es steht nicht dabei, von wem. Wer Macht hat, wählt seinen Namen; wer keine hat, bekommt einen verliehen.</w:t>
            </w:r>
          </w:p>
          <w:p>
            <w:pPr>
              <w:spacing w:after="0" w:before="0"/>
            </w:pPr>
            <w:r>
              <w:rPr>
                <w:rFonts w:ascii="Calibri" w:cs="Calibri" w:eastAsia="Calibri" w:hAnsi="Calibri"/>
                <w:b w:val="false"/>
                <w:bCs w:val="false"/>
                <w:i/>
                <w:iCs/>
                <w:color w:val="000000"/>
                <w:sz w:val="20"/>
                <w:szCs w:val="20"/>
              </w:rPr>
              <w:t xml:space="preserve">Gewertet wird jede Formulierung, die Aktiv und Passiv richtig zuordnet und den Machtunterschied benennt – nicht der Wortlaut.</w:t>
            </w:r>
          </w:p>
        </w:tc>
      </w:tr>
    </w:tbl>
    <w:p>
      <w:pPr>
        <w:spacing w:after="70"/>
      </w:pPr>
    </w:p>
    <w:tbl>
      <w:tblPr>
        <w:tblW w:type="dxa" w:w="9706"/>
        <w:tblBorders>
          <w:top w:val="single" w:color="B02418" w:sz="6"/>
          <w:left w:val="single" w:color="B02418" w:sz="6"/>
          <w:bottom w:val="single" w:color="B02418" w:sz="6"/>
          <w:right w:val="single" w:color="B02418" w:sz="6"/>
          <w:insideH w:val="single" w:color="B02418" w:sz="6"/>
          <w:insideV w:val="single" w:color="B02418" w:sz="6"/>
        </w:tblBorders>
      </w:tblPr>
      <w:tblGrid>
        <w:gridCol w:w="9706"/>
      </w:tblGrid>
      <w:tr>
        <w:tc>
          <w:tcPr>
            <w:shd w:fill="FDECEA" w:color="auto" w:val="clear"/>
            <w:tcMar>
              <w:top w:type="dxa" w:w="100"/>
              <w:left w:type="dxa" w:w="180"/>
              <w:bottom w:type="dxa" w:w="100"/>
              <w:right w:type="dxa" w:w="180"/>
            </w:tcMar>
          </w:tcPr>
          <w:p>
            <w:pPr>
              <w:spacing w:after="60" w:before="0"/>
            </w:pPr>
            <w:r>
              <w:rPr>
                <w:rFonts w:ascii="Calibri" w:cs="Calibri" w:eastAsia="Calibri" w:hAnsi="Calibri"/>
                <w:b/>
                <w:bCs/>
                <w:i w:val="false"/>
                <w:iCs w:val="false"/>
                <w:color w:val="B02418"/>
                <w:sz w:val="21"/>
                <w:szCs w:val="21"/>
              </w:rPr>
              <w:t xml:space="preserve">Bobibus Zweifel: „Popularen waren die Armen und Optimaten die Reichen.“</w:t>
            </w:r>
          </w:p>
          <w:p>
            <w:pPr>
              <w:spacing w:after="0" w:before="0"/>
            </w:pPr>
            <w:r>
              <w:rPr>
                <w:rFonts w:ascii="Calibri" w:cs="Calibri" w:eastAsia="Calibri" w:hAnsi="Calibri"/>
                <w:b w:val="false"/>
                <w:bCs w:val="false"/>
                <w:i w:val="false"/>
                <w:iCs w:val="false"/>
                <w:color w:val="000000"/>
                <w:sz w:val="20"/>
                <w:szCs w:val="20"/>
              </w:rPr>
              <w:t xml:space="preserve">Falsch. „Die Adligen waren sich nicht einig, wie sie darauf reagieren sollten.“ Beide Lager bestehen aus Adligen – der Unterschied liegt in der Politik, nicht im Vermögen.</w:t>
            </w:r>
          </w:p>
        </w:tc>
      </w:tr>
    </w:tbl>
    <w:p>
      <w:pPr>
        <w:pageBreakBefore/>
        <w:spacing w:after="0"/>
      </w:pPr>
    </w:p>
    <w:p>
      <w:pPr>
        <w:pBdr>
          <w:bottom w:val="single" w:color="2E74B5" w:sz="8" w:space="4"/>
        </w:pBdr>
        <w:tabs>
          <w:tab w:val="right" w:pos="9706"/>
        </w:tabs>
        <w:spacing w:after="60"/>
      </w:pPr>
      <w:r>
        <w:rPr>
          <w:rFonts w:ascii="Calibri" w:cs="Calibri" w:eastAsia="Calibri" w:hAnsi="Calibri"/>
          <w:b/>
          <w:bCs/>
          <w:color w:val="2E74B5"/>
          <w:sz w:val="20"/>
          <w:szCs w:val="20"/>
        </w:rPr>
        <w:t xml:space="preserve">Lektion 15 · Bauern und Adlige	AB 16 · Lösung – nicht austeilen</w:t>
      </w:r>
    </w:p>
    <w:p>
      <w:pPr>
        <w:keepNext/>
        <w:spacing w:after="60" w:before="120"/>
      </w:pPr>
      <w:r>
        <w:rPr>
          <w:rFonts w:ascii="Calibri" w:cs="Calibri" w:eastAsia="Calibri" w:hAnsi="Calibri"/>
          <w:b/>
          <w:bCs/>
          <w:color w:val="1F3D5C"/>
          <w:sz w:val="26"/>
          <w:szCs w:val="26"/>
        </w:rPr>
        <w:t xml:space="preserve">Team C · Die Waage</w:t>
      </w:r>
    </w:p>
    <w:p>
      <w:pPr>
        <w:spacing w:after="90" w:before="0"/>
      </w:pPr>
      <w:r>
        <w:rPr>
          <w:rFonts w:ascii="Calibri" w:cs="Calibri" w:eastAsia="Calibri" w:hAnsi="Calibri"/>
          <w:b w:val="false"/>
          <w:bCs w:val="false"/>
          <w:i w:val="false"/>
          <w:iCs w:val="false"/>
          <w:color w:val="000000"/>
          <w:sz w:val="21"/>
          <w:szCs w:val="21"/>
        </w:rPr>
        <w:t xml:space="preserve">Schritt 1 – die Reihenfolge auf dem Blatt lautet von oben nach unten: 4 – 1 – 5 – 2 – 3.</w:t>
      </w:r>
    </w:p>
    <w:tbl>
      <w:tblPr>
        <w:tblW w:type="dxa" w:w="9706"/>
        <w:tblBorders>
          <w:top w:val="single" w:color="9AA7B4" w:sz="4"/>
          <w:left w:val="single" w:color="9AA7B4" w:sz="4"/>
          <w:bottom w:val="single" w:color="9AA7B4" w:sz="4"/>
          <w:right w:val="single" w:color="9AA7B4" w:sz="4"/>
          <w:insideH w:val="single" w:color="9AA7B4" w:sz="4"/>
          <w:insideV w:val="single" w:color="9AA7B4" w:sz="4"/>
        </w:tblBorders>
      </w:tblPr>
      <w:tblGrid>
        <w:gridCol w:w="700"/>
        <w:gridCol w:w="9006"/>
      </w:tblGrid>
      <w:tr>
        <w:tc>
          <w:tcPr>
            <w:shd w:fill="1F3D5C" w:color="auto" w:val="clear"/>
            <w:tcMar>
              <w:top w:type="dxa" w:w="55"/>
              <w:left w:type="dxa" w:w="110"/>
              <w:bottom w:type="dxa" w:w="55"/>
              <w:right w:type="dxa" w:w="110"/>
            </w:tcMar>
            <w:vAlign w:val="top"/>
          </w:tcPr>
          <w:p>
            <w:pPr>
              <w:spacing w:after="0" w:before="0"/>
              <w:jc w:val="center"/>
            </w:pPr>
            <w:r>
              <w:rPr>
                <w:rFonts w:ascii="Calibri" w:cs="Calibri" w:eastAsia="Calibri" w:hAnsi="Calibri"/>
                <w:b/>
                <w:bCs/>
                <w:i w:val="false"/>
                <w:iCs w:val="false"/>
                <w:color w:val="FFFFFF"/>
                <w:sz w:val="22"/>
                <w:szCs w:val="22"/>
              </w:rPr>
              <w:t xml:space="preserve">1</w:t>
            </w:r>
          </w:p>
        </w:tc>
        <w:tc>
          <w:tcPr>
            <w:tcMar>
              <w:top w:type="dxa" w:w="55"/>
              <w:left w:type="dxa" w:w="110"/>
              <w:bottom w:type="dxa" w:w="55"/>
              <w:right w:type="dxa" w:w="110"/>
            </w:tcMar>
            <w:vAlign w:val="center"/>
          </w:tcPr>
          <w:p>
            <w:pPr>
              <w:spacing w:after="0" w:before="0"/>
            </w:pPr>
            <w:r>
              <w:rPr>
                <w:rFonts w:ascii="Calibri" w:cs="Calibri" w:eastAsia="Calibri" w:hAnsi="Calibri"/>
                <w:b w:val="false"/>
                <w:bCs w:val="false"/>
                <w:i w:val="false"/>
                <w:iCs w:val="false"/>
                <w:color w:val="000000"/>
                <w:sz w:val="21"/>
                <w:szCs w:val="21"/>
              </w:rPr>
              <w:t xml:space="preserve">Tiberius will sein Agrargesetz durchsetzen.</w:t>
            </w:r>
          </w:p>
        </w:tc>
      </w:tr>
      <w:tr>
        <w:tc>
          <w:tcPr>
            <w:shd w:fill="1F3D5C" w:color="auto" w:val="clear"/>
            <w:tcMar>
              <w:top w:type="dxa" w:w="55"/>
              <w:left w:type="dxa" w:w="110"/>
              <w:bottom w:type="dxa" w:w="55"/>
              <w:right w:type="dxa" w:w="110"/>
            </w:tcMar>
            <w:vAlign w:val="top"/>
          </w:tcPr>
          <w:p>
            <w:pPr>
              <w:spacing w:after="0" w:before="0"/>
              <w:jc w:val="center"/>
            </w:pPr>
            <w:r>
              <w:rPr>
                <w:rFonts w:ascii="Calibri" w:cs="Calibri" w:eastAsia="Calibri" w:hAnsi="Calibri"/>
                <w:b/>
                <w:bCs/>
                <w:i w:val="false"/>
                <w:iCs w:val="false"/>
                <w:color w:val="FFFFFF"/>
                <w:sz w:val="22"/>
                <w:szCs w:val="22"/>
              </w:rPr>
              <w:t xml:space="preserve">2</w:t>
            </w:r>
          </w:p>
        </w:tc>
        <w:tc>
          <w:tcPr>
            <w:shd w:fill="F7F9FC"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i w:val="false"/>
                <w:iCs w:val="false"/>
                <w:color w:val="000000"/>
                <w:sz w:val="21"/>
                <w:szCs w:val="21"/>
              </w:rPr>
              <w:t xml:space="preserve">Er lässt einen anderen Volkstribunen kurzerhand abwählen – eindeutig ungesetzlich.</w:t>
            </w:r>
          </w:p>
        </w:tc>
      </w:tr>
      <w:tr>
        <w:tc>
          <w:tcPr>
            <w:shd w:fill="1F3D5C" w:color="auto" w:val="clear"/>
            <w:tcMar>
              <w:top w:type="dxa" w:w="55"/>
              <w:left w:type="dxa" w:w="110"/>
              <w:bottom w:type="dxa" w:w="55"/>
              <w:right w:type="dxa" w:w="110"/>
            </w:tcMar>
            <w:vAlign w:val="top"/>
          </w:tcPr>
          <w:p>
            <w:pPr>
              <w:spacing w:after="0" w:before="0"/>
              <w:jc w:val="center"/>
            </w:pPr>
            <w:r>
              <w:rPr>
                <w:rFonts w:ascii="Calibri" w:cs="Calibri" w:eastAsia="Calibri" w:hAnsi="Calibri"/>
                <w:b/>
                <w:bCs/>
                <w:i w:val="false"/>
                <w:iCs w:val="false"/>
                <w:color w:val="FFFFFF"/>
                <w:sz w:val="22"/>
                <w:szCs w:val="22"/>
              </w:rPr>
              <w:t xml:space="preserve">3</w:t>
            </w:r>
          </w:p>
        </w:tc>
        <w:tc>
          <w:tcPr>
            <w:tcMar>
              <w:top w:type="dxa" w:w="55"/>
              <w:left w:type="dxa" w:w="110"/>
              <w:bottom w:type="dxa" w:w="55"/>
              <w:right w:type="dxa" w:w="110"/>
            </w:tcMar>
            <w:vAlign w:val="center"/>
          </w:tcPr>
          <w:p>
            <w:pPr>
              <w:spacing w:after="0" w:before="0"/>
            </w:pPr>
            <w:r>
              <w:rPr>
                <w:rFonts w:ascii="Calibri" w:cs="Calibri" w:eastAsia="Calibri" w:hAnsi="Calibri"/>
                <w:b w:val="false"/>
                <w:bCs w:val="false"/>
                <w:i w:val="false"/>
                <w:iCs w:val="false"/>
                <w:color w:val="000000"/>
                <w:sz w:val="21"/>
                <w:szCs w:val="21"/>
              </w:rPr>
              <w:t xml:space="preserve">Das Agrargesetz kommt durch.</w:t>
            </w:r>
          </w:p>
        </w:tc>
      </w:tr>
      <w:tr>
        <w:tc>
          <w:tcPr>
            <w:shd w:fill="1F3D5C" w:color="auto" w:val="clear"/>
            <w:tcMar>
              <w:top w:type="dxa" w:w="55"/>
              <w:left w:type="dxa" w:w="110"/>
              <w:bottom w:type="dxa" w:w="55"/>
              <w:right w:type="dxa" w:w="110"/>
            </w:tcMar>
            <w:vAlign w:val="top"/>
          </w:tcPr>
          <w:p>
            <w:pPr>
              <w:spacing w:after="0" w:before="0"/>
              <w:jc w:val="center"/>
            </w:pPr>
            <w:r>
              <w:rPr>
                <w:rFonts w:ascii="Calibri" w:cs="Calibri" w:eastAsia="Calibri" w:hAnsi="Calibri"/>
                <w:b/>
                <w:bCs/>
                <w:i w:val="false"/>
                <w:iCs w:val="false"/>
                <w:color w:val="FFFFFF"/>
                <w:sz w:val="22"/>
                <w:szCs w:val="22"/>
              </w:rPr>
              <w:t xml:space="preserve">4</w:t>
            </w:r>
          </w:p>
        </w:tc>
        <w:tc>
          <w:tcPr>
            <w:shd w:fill="F7F9FC" w:color="auto" w:val="clear"/>
            <w:tcMar>
              <w:top w:type="dxa" w:w="55"/>
              <w:left w:type="dxa" w:w="110"/>
              <w:bottom w:type="dxa" w:w="55"/>
              <w:right w:type="dxa" w:w="110"/>
            </w:tcMar>
            <w:vAlign w:val="center"/>
          </w:tcPr>
          <w:p>
            <w:pPr>
              <w:spacing w:after="0" w:before="0"/>
            </w:pPr>
            <w:r>
              <w:rPr>
                <w:rFonts w:ascii="Calibri" w:cs="Calibri" w:eastAsia="Calibri" w:hAnsi="Calibri"/>
                <w:b w:val="false"/>
                <w:bCs w:val="false"/>
                <w:i w:val="false"/>
                <w:iCs w:val="false"/>
                <w:color w:val="000000"/>
                <w:sz w:val="21"/>
                <w:szCs w:val="21"/>
              </w:rPr>
              <w:t xml:space="preserve">Es brechen Straßenkämpfe aus; in deren Verlauf findet Tiberius den Tod.</w:t>
            </w:r>
          </w:p>
        </w:tc>
      </w:tr>
      <w:tr>
        <w:tc>
          <w:tcPr>
            <w:shd w:fill="1F3D5C" w:color="auto" w:val="clear"/>
            <w:tcMar>
              <w:top w:type="dxa" w:w="55"/>
              <w:left w:type="dxa" w:w="110"/>
              <w:bottom w:type="dxa" w:w="55"/>
              <w:right w:type="dxa" w:w="110"/>
            </w:tcMar>
            <w:vAlign w:val="top"/>
          </w:tcPr>
          <w:p>
            <w:pPr>
              <w:spacing w:after="0" w:before="0"/>
              <w:jc w:val="center"/>
            </w:pPr>
            <w:r>
              <w:rPr>
                <w:rFonts w:ascii="Calibri" w:cs="Calibri" w:eastAsia="Calibri" w:hAnsi="Calibri"/>
                <w:b/>
                <w:bCs/>
                <w:i w:val="false"/>
                <w:iCs w:val="false"/>
                <w:color w:val="FFFFFF"/>
                <w:sz w:val="22"/>
                <w:szCs w:val="22"/>
              </w:rPr>
              <w:t xml:space="preserve">5</w:t>
            </w:r>
          </w:p>
        </w:tc>
        <w:tc>
          <w:tcPr>
            <w:tcMar>
              <w:top w:type="dxa" w:w="55"/>
              <w:left w:type="dxa" w:w="110"/>
              <w:bottom w:type="dxa" w:w="55"/>
              <w:right w:type="dxa" w:w="110"/>
            </w:tcMar>
            <w:vAlign w:val="center"/>
          </w:tcPr>
          <w:p>
            <w:pPr>
              <w:spacing w:after="0" w:before="0"/>
            </w:pPr>
            <w:r>
              <w:rPr>
                <w:rFonts w:ascii="Calibri" w:cs="Calibri" w:eastAsia="Calibri" w:hAnsi="Calibri"/>
                <w:b w:val="false"/>
                <w:bCs w:val="false"/>
                <w:i w:val="false"/>
                <w:iCs w:val="false"/>
                <w:color w:val="000000"/>
                <w:sz w:val="21"/>
                <w:szCs w:val="21"/>
              </w:rPr>
              <w:t xml:space="preserve">Rund ein Jahrzehnt später erleidet sein Bruder Gaius bei einem erneuten Reformanlauf dasselbe Schicksal.</w:t>
            </w:r>
          </w:p>
        </w:tc>
      </w:tr>
    </w:tbl>
    <w:p>
      <w:pPr>
        <w:spacing w:after="100"/>
      </w:pPr>
    </w:p>
    <w:tbl>
      <w:tblPr>
        <w:tblW w:type="dxa" w:w="9706"/>
        <w:tblBorders>
          <w:top w:val="single" w:color="9AA7B4" w:sz="4"/>
          <w:left w:val="single" w:color="9AA7B4" w:sz="4"/>
          <w:bottom w:val="single" w:color="9AA7B4" w:sz="4"/>
          <w:right w:val="single" w:color="9AA7B4" w:sz="4"/>
          <w:insideH w:val="single" w:color="9AA7B4" w:sz="4"/>
          <w:insideV w:val="single" w:color="9AA7B4" w:sz="4"/>
        </w:tblBorders>
      </w:tblPr>
      <w:tblGrid>
        <w:gridCol w:w="4853"/>
        <w:gridCol w:w="4853"/>
      </w:tblGrid>
      <w:tr>
        <w:tc>
          <w:tcPr>
            <w:shd w:fill="7B2D2D" w:color="auto" w:val="clear"/>
            <w:tcMar>
              <w:top w:type="dxa" w:w="55"/>
              <w:left w:type="dxa" w:w="110"/>
              <w:bottom w:type="dxa" w:w="55"/>
              <w:right w:type="dxa" w:w="110"/>
            </w:tcMar>
            <w:vAlign w:val="top"/>
          </w:tcPr>
          <w:p>
            <w:pPr>
              <w:spacing w:after="0" w:before="0"/>
              <w:jc w:val="center"/>
            </w:pPr>
            <w:r>
              <w:rPr>
                <w:rFonts w:ascii="Calibri" w:cs="Calibri" w:eastAsia="Calibri" w:hAnsi="Calibri"/>
                <w:b/>
                <w:bCs/>
                <w:i w:val="false"/>
                <w:iCs w:val="false"/>
                <w:color w:val="FFFFFF"/>
                <w:sz w:val="21"/>
                <w:szCs w:val="21"/>
              </w:rPr>
              <w:t xml:space="preserve">Was gegen Tiberius spricht</w:t>
            </w:r>
          </w:p>
        </w:tc>
        <w:tc>
          <w:tcPr>
            <w:shd w:fill="1F3D5C" w:color="auto" w:val="clear"/>
            <w:tcMar>
              <w:top w:type="dxa" w:w="55"/>
              <w:left w:type="dxa" w:w="110"/>
              <w:bottom w:type="dxa" w:w="55"/>
              <w:right w:type="dxa" w:w="110"/>
            </w:tcMar>
            <w:vAlign w:val="top"/>
          </w:tcPr>
          <w:p>
            <w:pPr>
              <w:spacing w:after="0" w:before="0"/>
              <w:jc w:val="center"/>
            </w:pPr>
            <w:r>
              <w:rPr>
                <w:rFonts w:ascii="Calibri" w:cs="Calibri" w:eastAsia="Calibri" w:hAnsi="Calibri"/>
                <w:b/>
                <w:bCs/>
                <w:i w:val="false"/>
                <w:iCs w:val="false"/>
                <w:color w:val="FFFFFF"/>
                <w:sz w:val="21"/>
                <w:szCs w:val="21"/>
              </w:rPr>
              <w:t xml:space="preserve">Was gegen seine Gegner spricht</w:t>
            </w:r>
          </w:p>
        </w:tc>
      </w:tr>
      <w:tr>
        <w:tc>
          <w:tcPr>
            <w:shd w:fill="FDF3F1" w:color="auto" w:val="clear"/>
            <w:tcMar>
              <w:top w:type="dxa" w:w="55"/>
              <w:left w:type="dxa" w:w="110"/>
              <w:bottom w:type="dxa" w:w="55"/>
              <w:right w:type="dxa" w:w="110"/>
            </w:tcMar>
            <w:vAlign w:val="top"/>
          </w:tcPr>
          <w:p>
            <w:pPr>
              <w:spacing w:after="50" w:before="0"/>
            </w:pPr>
            <w:r>
              <w:rPr>
                <w:rFonts w:ascii="Calibri" w:cs="Calibri" w:eastAsia="Calibri" w:hAnsi="Calibri"/>
                <w:b w:val="false"/>
                <w:bCs w:val="false"/>
                <w:i w:val="false"/>
                <w:iCs w:val="false"/>
                <w:color w:val="000000"/>
                <w:sz w:val="20"/>
                <w:szCs w:val="20"/>
              </w:rPr>
              <w:t xml:space="preserve">· Die Abwahl des anderen Volkstribunen war „eindeutig ungesetzlich“.</w:t>
            </w:r>
          </w:p>
          <w:p>
            <w:pPr>
              <w:spacing w:after="50" w:before="0"/>
            </w:pPr>
            <w:r>
              <w:rPr>
                <w:rFonts w:ascii="Calibri" w:cs="Calibri" w:eastAsia="Calibri" w:hAnsi="Calibri"/>
                <w:b w:val="false"/>
                <w:bCs w:val="false"/>
                <w:i w:val="false"/>
                <w:iCs w:val="false"/>
                <w:color w:val="000000"/>
                <w:sz w:val="20"/>
                <w:szCs w:val="20"/>
              </w:rPr>
              <w:t xml:space="preserve">· „Formal waren die Gegner der Gracchus-Brüder im Recht, weil sie den popularen Politikern Gesetzesbruch vorwerfen konnten.“</w:t>
            </w:r>
          </w:p>
          <w:p>
            <w:pPr>
              <w:spacing w:after="0" w:before="0"/>
            </w:pPr>
            <w:r>
              <w:rPr>
                <w:rFonts w:ascii="Calibri" w:cs="Calibri" w:eastAsia="Calibri" w:hAnsi="Calibri"/>
                <w:b w:val="false"/>
                <w:bCs w:val="false"/>
                <w:i w:val="false"/>
                <w:iCs w:val="false"/>
                <w:color w:val="000000"/>
                <w:sz w:val="20"/>
                <w:szCs w:val="20"/>
              </w:rPr>
              <w:t xml:space="preserve">· Mit den Gracchen hielt die Gewalt Einzug in die römische Innenpolitik.</w:t>
            </w:r>
          </w:p>
        </w:tc>
        <w:tc>
          <w:tcPr>
            <w:shd w:fill="F7F9FC" w:color="auto" w:val="clear"/>
            <w:tcMar>
              <w:top w:type="dxa" w:w="55"/>
              <w:left w:type="dxa" w:w="110"/>
              <w:bottom w:type="dxa" w:w="55"/>
              <w:right w:type="dxa" w:w="110"/>
            </w:tcMar>
            <w:vAlign w:val="top"/>
          </w:tcPr>
          <w:p>
            <w:pPr>
              <w:spacing w:after="50" w:before="0"/>
            </w:pPr>
            <w:r>
              <w:rPr>
                <w:rFonts w:ascii="Calibri" w:cs="Calibri" w:eastAsia="Calibri" w:hAnsi="Calibri"/>
                <w:b w:val="false"/>
                <w:bCs w:val="false"/>
                <w:i w:val="false"/>
                <w:iCs w:val="false"/>
                <w:color w:val="000000"/>
                <w:sz w:val="20"/>
                <w:szCs w:val="20"/>
              </w:rPr>
              <w:t xml:space="preserve">· Sie „verschärften den Konflikt, indem sie sinnvolle Reformen verhinderten“.</w:t>
            </w:r>
          </w:p>
          <w:p>
            <w:pPr>
              <w:spacing w:after="50" w:before="0"/>
            </w:pPr>
            <w:r>
              <w:rPr>
                <w:rFonts w:ascii="Calibri" w:cs="Calibri" w:eastAsia="Calibri" w:hAnsi="Calibri"/>
                <w:b w:val="false"/>
                <w:bCs w:val="false"/>
                <w:i w:val="false"/>
                <w:iCs w:val="false"/>
                <w:color w:val="000000"/>
                <w:sz w:val="20"/>
                <w:szCs w:val="20"/>
              </w:rPr>
              <w:t xml:space="preserve">· Blockiert wurde aus Sorge um die eigene Stellung, nicht aus Sorge um den Staat.</w:t>
            </w:r>
          </w:p>
          <w:p>
            <w:pPr>
              <w:spacing w:after="0" w:before="0"/>
            </w:pPr>
            <w:r>
              <w:rPr>
                <w:rFonts w:ascii="Calibri" w:cs="Calibri" w:eastAsia="Calibri" w:hAnsi="Calibri"/>
                <w:b w:val="false"/>
                <w:bCs w:val="false"/>
                <w:i w:val="false"/>
                <w:iCs w:val="false"/>
                <w:color w:val="000000"/>
                <w:sz w:val="20"/>
                <w:szCs w:val="20"/>
              </w:rPr>
              <w:t xml:space="preserve">· „Nur selten einigten sich Popularen und Optimaten in der Folgezeit auf Kompromisse.“</w:t>
            </w:r>
          </w:p>
        </w:tc>
      </w:tr>
    </w:tbl>
    <w:p>
      <w:pPr>
        <w:spacing w:after="90"/>
      </w:pPr>
    </w:p>
    <w:tbl>
      <w:tblPr>
        <w:tblW w:type="dxa" w:w="9706"/>
        <w:tblBorders>
          <w:top w:val="single" w:color="B8860B" w:sz="6"/>
          <w:left w:val="single" w:color="B8860B" w:sz="6"/>
          <w:bottom w:val="single" w:color="B8860B" w:sz="6"/>
          <w:right w:val="single" w:color="B8860B" w:sz="6"/>
          <w:insideH w:val="single" w:color="B8860B" w:sz="6"/>
          <w:insideV w:val="single" w:color="B8860B" w:sz="6"/>
        </w:tblBorders>
      </w:tblPr>
      <w:tblGrid>
        <w:gridCol w:w="9706"/>
      </w:tblGrid>
      <w:tr>
        <w:tc>
          <w:tcPr>
            <w:shd w:fill="FDF6DC" w:color="auto" w:val="clear"/>
            <w:tcMar>
              <w:top w:type="dxa" w:w="100"/>
              <w:left w:type="dxa" w:w="180"/>
              <w:bottom w:type="dxa" w:w="100"/>
              <w:right w:type="dxa" w:w="180"/>
            </w:tcMar>
          </w:tcPr>
          <w:p>
            <w:pPr>
              <w:spacing w:after="60" w:before="0"/>
            </w:pPr>
            <w:r>
              <w:rPr>
                <w:rFonts w:ascii="Calibri" w:cs="Calibri" w:eastAsia="Calibri" w:hAnsi="Calibri"/>
                <w:b/>
                <w:bCs/>
                <w:i w:val="false"/>
                <w:iCs w:val="false"/>
                <w:color w:val="1F3D5C"/>
                <w:sz w:val="22"/>
                <w:szCs w:val="22"/>
              </w:rPr>
              <w:t xml:space="preserve">Schritt 3 · euer Punkt</w:t>
            </w:r>
          </w:p>
          <w:p>
            <w:pPr>
              <w:spacing w:after="0" w:before="0"/>
            </w:pPr>
            <w:r>
              <w:rPr>
                <w:rFonts w:ascii="Calibri" w:cs="Calibri" w:eastAsia="Calibri" w:hAnsi="Calibri"/>
                <w:b w:val="false"/>
                <w:bCs w:val="false"/>
                <w:i w:val="false"/>
                <w:iCs w:val="false"/>
                <w:color w:val="000000"/>
                <w:sz w:val="21"/>
                <w:szCs w:val="21"/>
              </w:rPr>
              <w:t xml:space="preserve">Hier gibt es keine richtige Lösung. Gewertet wird nur, ob der Satz an einem Beleg der Sachinfo hängt – und ob die Gruppe eine zweite Meinung stehen lassen konnte, statt sie wegzustimmen.</w:t>
            </w:r>
          </w:p>
        </w:tc>
      </w:tr>
    </w:tbl>
    <w:p>
      <w:pPr>
        <w:spacing w:after="70"/>
      </w:pPr>
    </w:p>
    <w:tbl>
      <w:tblPr>
        <w:tblW w:type="dxa" w:w="9706"/>
        <w:tblBorders>
          <w:top w:val="single" w:color="B02418" w:sz="6"/>
          <w:left w:val="single" w:color="B02418" w:sz="6"/>
          <w:bottom w:val="single" w:color="B02418" w:sz="6"/>
          <w:right w:val="single" w:color="B02418" w:sz="6"/>
          <w:insideH w:val="single" w:color="B02418" w:sz="6"/>
          <w:insideV w:val="single" w:color="B02418" w:sz="6"/>
        </w:tblBorders>
      </w:tblPr>
      <w:tblGrid>
        <w:gridCol w:w="9706"/>
      </w:tblGrid>
      <w:tr>
        <w:tc>
          <w:tcPr>
            <w:shd w:fill="FDECEA" w:color="auto" w:val="clear"/>
            <w:tcMar>
              <w:top w:type="dxa" w:w="100"/>
              <w:left w:type="dxa" w:w="180"/>
              <w:bottom w:type="dxa" w:w="100"/>
              <w:right w:type="dxa" w:w="180"/>
            </w:tcMar>
          </w:tcPr>
          <w:p>
            <w:pPr>
              <w:spacing w:after="60" w:before="0"/>
            </w:pPr>
            <w:r>
              <w:rPr>
                <w:rFonts w:ascii="Calibri" w:cs="Calibri" w:eastAsia="Calibri" w:hAnsi="Calibri"/>
                <w:b/>
                <w:bCs/>
                <w:i w:val="false"/>
                <w:iCs w:val="false"/>
                <w:color w:val="B02418"/>
                <w:sz w:val="21"/>
                <w:szCs w:val="21"/>
              </w:rPr>
              <w:t xml:space="preserve">Bobibus Zweifel: „Tiberius wurde ermordet, weil er ein Gesetz gebrochen hat.“</w:t>
            </w:r>
          </w:p>
          <w:p>
            <w:pPr>
              <w:spacing w:after="0" w:before="0"/>
            </w:pPr>
            <w:r>
              <w:rPr>
                <w:rFonts w:ascii="Calibri" w:cs="Calibri" w:eastAsia="Calibri" w:hAnsi="Calibri"/>
                <w:b w:val="false"/>
                <w:bCs w:val="false"/>
                <w:i w:val="false"/>
                <w:iCs w:val="false"/>
                <w:color w:val="000000"/>
                <w:sz w:val="20"/>
                <w:szCs w:val="20"/>
              </w:rPr>
              <w:t xml:space="preserve">Das steht so nicht da. Der Text sagt: „Es brachen Straßenkämpfe aus, in deren Verlauf Tiberius den Tod fand.“ Kein Gericht, kein Urteil, kein genannter Grund – ein Tod im Tumult. Und: Auch wer ein Gesetz bricht, wird dafür nicht getötet. Genau an dieser Stelle zerbricht Roms innere Einheit.</w:t>
            </w:r>
          </w:p>
        </w:tc>
      </w:tr>
    </w:tbl>
    <w:p>
      <w:pPr>
        <w:keepNext/>
        <w:spacing w:after="60" w:before="190"/>
      </w:pPr>
      <w:r>
        <w:rPr>
          <w:rFonts w:ascii="Calibri" w:cs="Calibri" w:eastAsia="Calibri" w:hAnsi="Calibri"/>
          <w:b/>
          <w:bCs/>
          <w:color w:val="1F3D5C"/>
          <w:sz w:val="26"/>
          <w:szCs w:val="26"/>
        </w:rPr>
        <w:t xml:space="preserve">Der Gegencheck (Plutarch, gelber Kasten S. 110)</w:t>
      </w:r>
    </w:p>
    <w:p>
      <w:pPr>
        <w:spacing w:after="0" w:before="0"/>
      </w:pPr>
      <w:r>
        <w:rPr>
          <w:rFonts w:ascii="Calibri" w:cs="Calibri" w:eastAsia="Calibri" w:hAnsi="Calibri"/>
          <w:b w:val="false"/>
          <w:bCs w:val="false"/>
          <w:i w:val="false"/>
          <w:iCs w:val="false"/>
          <w:color w:val="000000"/>
          <w:sz w:val="21"/>
          <w:szCs w:val="21"/>
        </w:rPr>
        <w:t xml:space="preserve">„Heimatlos und gehetzt irren sie mit Weib und Kind durch das Land“ ist die Vorlage von </w:t>
      </w:r>
      <w:r>
        <w:rPr>
          <w:rFonts w:ascii="Cambria" w:cs="Cambria" w:eastAsia="Cambria" w:hAnsi="Cambria"/>
          <w:b w:val="false"/>
          <w:bCs w:val="false"/>
          <w:i/>
          <w:iCs/>
          <w:color w:val="000000"/>
          <w:sz w:val="21"/>
          <w:szCs w:val="21"/>
        </w:rPr>
        <w:t xml:space="preserve">errātis per terrās</w:t>
      </w:r>
      <w:r>
        <w:rPr>
          <w:rFonts w:ascii="Calibri" w:cs="Calibri" w:eastAsia="Calibri" w:hAnsi="Calibri"/>
          <w:b w:val="false"/>
          <w:bCs w:val="false"/>
          <w:i w:val="false"/>
          <w:iCs w:val="false"/>
          <w:color w:val="000000"/>
          <w:sz w:val="21"/>
          <w:szCs w:val="21"/>
        </w:rPr>
        <w:t xml:space="preserve"> (Z. 15); „die Männer, die für Italien kämpfen und sterben“ steht hinter </w:t>
      </w:r>
      <w:r>
        <w:rPr>
          <w:rFonts w:ascii="Cambria" w:cs="Cambria" w:eastAsia="Cambria" w:hAnsi="Cambria"/>
          <w:b w:val="false"/>
          <w:bCs w:val="false"/>
          <w:i/>
          <w:iCs/>
          <w:color w:val="000000"/>
          <w:sz w:val="21"/>
          <w:szCs w:val="21"/>
        </w:rPr>
        <w:t xml:space="preserve">Nūper prō patriā pūgnāvistis</w:t>
      </w:r>
      <w:r>
        <w:rPr>
          <w:rFonts w:ascii="Calibri" w:cs="Calibri" w:eastAsia="Calibri" w:hAnsi="Calibri"/>
          <w:b w:val="false"/>
          <w:bCs w:val="false"/>
          <w:i w:val="false"/>
          <w:iCs w:val="false"/>
          <w:color w:val="000000"/>
          <w:sz w:val="21"/>
          <w:szCs w:val="21"/>
        </w:rPr>
        <w:t xml:space="preserve"> (Z. 11–12). Der Lektionstext ist also keine Erfindung des Lehrwerks. Der Vergleich mit den wilden Tieren fehlt dort – ohne ihn verliert die Rede ihr stärkstes Bild, gewinnt aber die harte Gegenüberstellung von </w:t>
      </w:r>
      <w:r>
        <w:rPr>
          <w:rFonts w:ascii="Cambria" w:cs="Cambria" w:eastAsia="Cambria" w:hAnsi="Cambria"/>
          <w:b w:val="false"/>
          <w:bCs w:val="false"/>
          <w:i/>
          <w:iCs/>
          <w:color w:val="000000"/>
          <w:sz w:val="21"/>
          <w:szCs w:val="21"/>
        </w:rPr>
        <w:t xml:space="preserve">dominī terrārum</w:t>
      </w:r>
      <w:r>
        <w:rPr>
          <w:rFonts w:ascii="Calibri" w:cs="Calibri" w:eastAsia="Calibri" w:hAnsi="Calibri"/>
          <w:b w:val="false"/>
          <w:bCs w:val="false"/>
          <w:i w:val="false"/>
          <w:iCs w:val="false"/>
          <w:color w:val="000000"/>
          <w:sz w:val="21"/>
          <w:szCs w:val="21"/>
        </w:rPr>
        <w:t xml:space="preserve"> und </w:t>
      </w:r>
      <w:r>
        <w:rPr>
          <w:rFonts w:ascii="Cambria" w:cs="Cambria" w:eastAsia="Cambria" w:hAnsi="Cambria"/>
          <w:b w:val="false"/>
          <w:bCs w:val="false"/>
          <w:i/>
          <w:iCs/>
          <w:color w:val="000000"/>
          <w:sz w:val="21"/>
          <w:szCs w:val="21"/>
        </w:rPr>
        <w:t xml:space="preserve">errātis per terrās</w:t>
      </w:r>
      <w:r>
        <w:rPr>
          <w:rFonts w:ascii="Calibri" w:cs="Calibri" w:eastAsia="Calibri" w:hAnsi="Calibri"/>
          <w:b w:val="false"/>
          <w:bCs w:val="false"/>
          <w:i w:val="false"/>
          <w:iCs w:val="false"/>
          <w:color w:val="000000"/>
          <w:sz w:val="21"/>
          <w:szCs w:val="21"/>
        </w:rPr>
        <w:t xml:space="preserve">.</w:t>
      </w:r>
    </w:p>
    <w:sectPr>
      <w:footerReference w:type="default" r:id="rId7"/>
      <w:pgSz w:w="11906" w:h="16838" w:orient="portrait"/>
      <w:pgMar w:top="850" w:right="1100" w:bottom="8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Calibri" w:cs="Calibri" w:eastAsia="Calibri" w:hAnsi="Calibri"/>
        <w:color w:val="808080"/>
        <w:sz w:val="16"/>
        <w:szCs w:val="16"/>
      </w:rPr>
      <w:t xml:space="preserve">Lektion 15 · Bauern und Adlige  |  AB 16 · Lösung (Lehrermaterial)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2026-09-10T07:34:08.626Z</dcterms:created>
  <dcterms:modified xsi:type="dcterms:W3CDTF">2026-09-10T07:34:08.627Z</dcterms:modified>
</cp:coreProperties>
</file>

<file path=docProps/custom.xml><?xml version="1.0" encoding="utf-8"?>
<Properties xmlns="http://schemas.openxmlformats.org/officeDocument/2006/custom-properties" xmlns:vt="http://schemas.openxmlformats.org/officeDocument/2006/docPropsVTypes"/>
</file>