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 w:space="4"/>
        </w:pBdr>
        <w:tabs>
          <w:tab w:val="right" w:pos="9706"/>
        </w:tabs>
        <w:spacing w:after="6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Lektion 15 · Bauern und Adlige	AB 16 · Regieblatt für die Lehrkraft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3D5C"/>
          <w:sz w:val="40"/>
          <w:szCs w:val="40"/>
        </w:rPr>
        <w:t xml:space="preserve">Das Wort dazwischen</w:t>
      </w:r>
    </w:p>
    <w:p>
      <w:pPr>
        <w:spacing w:after="130"/>
      </w:pPr>
      <w:r>
        <w:rPr>
          <w:rFonts w:ascii="Calibri" w:cs="Calibri" w:eastAsia="Calibri" w:hAnsi="Calibri"/>
          <w:color w:val="2E74B5"/>
          <w:sz w:val="20"/>
          <w:szCs w:val="20"/>
        </w:rPr>
        <w:t xml:space="preserve">Eine Stunde zur Sachinfo, Schülerbuch S. 110 · Redaktionsteams und Wandzeitung · 45 Minuten · Phase 4½ (nach der Beleg-Tafel, vor dem Urteil)</w:t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2E74B5" w:sz="6"/>
          <w:insideV w:val="single" w:color="2E74B5" w:sz="6"/>
        </w:tblBorders>
      </w:tblPr>
      <w:tblGrid>
        <w:gridCol w:w="9706"/>
      </w:tblGrid>
      <w:tr>
        <w:tc>
          <w:tcPr>
            <w:shd w:fill="DCE9F5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4"/>
                <w:szCs w:val="24"/>
              </w:rPr>
              <w:t xml:space="preserve">Worum es geht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Lektionstext bringt den ganzen Absturz in einem einzigen Satz unter: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Appellāminī dominī terrārum, nunc autem patria sēdēsque occupantur et errātis per terrās.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(Z. 14–15)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Zwischen „Herren der Welt“ und „ihr irrt durch die Länder“ steht nur ein Wort: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000000"/>
                <w:sz w:val="22"/>
                <w:szCs w:val="22"/>
              </w:rPr>
              <w:t xml:space="preserve">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. Wie man von der einen Hälfte zur anderen kommt, sagt Gracchus nicht – er setzt es voraus. Die Sachinfo auf S. 110 füllt genau diese Lücke: Sie erklärt die Ursachen (Abschnitt 1), die Lager (Abschnitt 2) und den Preis (Abschnitt 3). Am Ende der Stunde hängt an der Tafel, was in diesem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000000"/>
                <w:sz w:val="22"/>
                <w:szCs w:val="22"/>
              </w:rPr>
              <w:t xml:space="preserve">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steckt.</w:t>
            </w:r>
          </w:p>
        </w:tc>
      </w:tr>
    </w:tbl>
    <w:p>
      <w:pPr>
        <w:keepNext/>
        <w:spacing w:after="60" w:before="190"/>
      </w:pPr>
      <w:r>
        <w:rPr>
          <w:rFonts w:ascii="Calibri" w:cs="Calibri" w:eastAsia="Calibri" w:hAnsi="Calibri"/>
          <w:b/>
          <w:bCs/>
          <w:color w:val="1F3D5C"/>
          <w:sz w:val="26"/>
          <w:szCs w:val="26"/>
        </w:rPr>
        <w:t xml:space="preserve">Der Anschrieb zum Einstieg</w:t>
      </w:r>
    </w:p>
    <w:tbl>
      <w:tblPr>
        <w:tblW w:type="dxa" w:w="9706"/>
        <w:tblBorders>
          <w:top w:val="single" w:color="1F3D5C" w:sz="12"/>
          <w:left w:val="single" w:color="1F3D5C" w:sz="12"/>
          <w:bottom w:val="single" w:color="1F3D5C" w:sz="12"/>
          <w:right w:val="single" w:color="1F3D5C" w:sz="12"/>
          <w:insideH w:val="single" w:color="1F3D5C" w:sz="12"/>
          <w:insideV w:val="single" w:color="1F3D5C" w:sz="12"/>
        </w:tblBorders>
      </w:tblPr>
      <w:tblGrid>
        <w:gridCol w:w="9706"/>
      </w:tblGrid>
      <w:tr>
        <w:tc>
          <w:tcPr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000000"/>
                <w:sz w:val="26"/>
                <w:szCs w:val="26"/>
              </w:rPr>
              <w:t xml:space="preserve">Appellāminī dominī terrārum …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7B2D2D"/>
                <w:sz w:val="32"/>
                <w:szCs w:val="32"/>
              </w:rPr>
              <w:t xml:space="preserve">et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000000"/>
                <w:sz w:val="26"/>
                <w:szCs w:val="26"/>
              </w:rPr>
              <w:t xml:space="preserve"> … errātis per terrās.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Ihr werdet Herren der Welt genannt …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4"/>
                <w:szCs w:val="24"/>
              </w:rPr>
              <w:t xml:space="preserve">und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… ihr irrt durch die Länder.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8"/>
                <w:szCs w:val="28"/>
              </w:rPr>
              <w:t xml:space="preserve">Was steckt in diesem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1F3D5C"/>
                <w:sz w:val="28"/>
                <w:szCs w:val="28"/>
              </w:rPr>
              <w:t xml:space="preserve">et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8"/>
                <w:szCs w:val="28"/>
              </w:rPr>
              <w:t xml:space="preserve">?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Daneben bleiben drei Felder frei – dort hängen später die Streifen der Wandzeitung: Die Kette · Zwei Lager, zwei Namen · Die Waage.</w:t>
      </w:r>
    </w:p>
    <w:p>
      <w:pPr>
        <w:keepNext/>
        <w:spacing w:after="60" w:before="190"/>
      </w:pPr>
      <w:r>
        <w:rPr>
          <w:rFonts w:ascii="Calibri" w:cs="Calibri" w:eastAsia="Calibri" w:hAnsi="Calibri"/>
          <w:b/>
          <w:bCs/>
          <w:color w:val="1F3D5C"/>
          <w:sz w:val="26"/>
          <w:szCs w:val="26"/>
        </w:rPr>
        <w:t xml:space="preserve">Verlauf</w:t>
      </w:r>
    </w:p>
    <w:tbl>
      <w:tblPr>
        <w:tblW w:type="dxa" w:w="9706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9AA7B4" w:sz="4"/>
          <w:insideV w:val="single" w:color="9AA7B4" w:sz="4"/>
        </w:tblBorders>
      </w:tblPr>
      <w:tblGrid>
        <w:gridCol w:w="760"/>
        <w:gridCol w:w="1900"/>
        <w:gridCol w:w="4746"/>
        <w:gridCol w:w="2300"/>
      </w:tblGrid>
      <w:tr>
        <w:trPr>
          <w:tblHeader/>
        </w:trPr>
        <w:tc>
          <w:tcPr>
            <w:shd w:fill="1F3D5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shd w:fill="1F3D5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shd w:fill="1F3D5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Was geschieht</w:t>
            </w:r>
          </w:p>
        </w:tc>
        <w:tc>
          <w:tcPr>
            <w:shd w:fill="1F3D5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Material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5′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Das et an der Tafel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Anschrieb (s. o.). Die Klasse hat den Satz übersetzt und kennt ihn. Frage: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Wie kommt man von der einen Hälfte zur anderen?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Sammeln, nichts bewerten. Stundenziel ansagen: Wir füllen das et.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Tafel</w:t>
            </w:r>
          </w:p>
        </w:tc>
      </w:tr>
      <w:tr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5′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Stilllesen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Alle lesen die Sachinfo S. 110 ganz. Markierauftrag: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Unterstreiche jede Stelle, die eine Ursache nennt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(„deshalb“, „darunter litten“, „weil“, „Auf diese Weise“).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SB S. 110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5′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Solo-Zettel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Jede und jeder bearbeitet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Schritt 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des eigenen Teamblatts – allein und schweigend. Kein Austausch, kein Vergleichen. Erst wenn alle fertig sind, geht es weiter.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AB 16a / 16b / 16c</w:t>
            </w:r>
          </w:p>
        </w:tc>
      </w:tr>
      <w:tr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10′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Teamphase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Schritt 2 und 3 im Team, Ergebnis auf den A3-Streifen. Der Bobibu-Zweifel auf jedem Blatt wird mitbeantwortet – ein Satz genügt.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AB 16a/b/c, A3-Streifen quer, Klebestifte, Scheren (nur Team A), dicke Stifte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12′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Wandzeitung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Die drei Streifen kommen unter die Leitfrage – links die Kette, in der Mitte die Lager, rechts die Waage. Je Team 3 Minuten.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Die Lehrkraft ruft auf; es meldet sich niemand.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Jede Gruppe nennt zum Schluss ihre Antwort auf den Bobibu-Zweifel.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Tafel, Magnete</w:t>
            </w:r>
          </w:p>
        </w:tc>
      </w:tr>
      <w:tr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6′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Der Gegencheck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Der gelbe Kasten auf S. 110 (Plutarch) wird vorgelesen und neben die eigene Übersetzung gelegt – siehe unten.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SB S. 110, eigene Übersetzung (AB 08)</w:t>
            </w:r>
          </w:p>
        </w:tc>
      </w:tr>
      <w:tr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2′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Stimmzettel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Ausfüllen und abgeben. Wird nicht besprochen – er ist die Eintrittskarte in AB 11 / AB 12.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AB 16 · Stimmzettel</w:t>
            </w:r>
          </w:p>
        </w:tc>
      </w:tr>
    </w:tbl>
    <w:p>
      <w:pPr>
        <w:pageBreakBefore/>
        <w:spacing w:after="0"/>
      </w:pPr>
    </w:p>
    <w:p>
      <w:pPr>
        <w:pBdr>
          <w:bottom w:val="single" w:color="2E74B5" w:sz="8" w:space="4"/>
        </w:pBdr>
        <w:tabs>
          <w:tab w:val="right" w:pos="9706"/>
        </w:tabs>
        <w:spacing w:after="6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Lektion 15 · Bauern und Adlige	AB 16 · Regieblatt für die Lehrkraft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D5C"/>
          <w:sz w:val="26"/>
          <w:szCs w:val="26"/>
        </w:rPr>
        <w:t xml:space="preserve">Die Teams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Jeden Abschnitt doppelt besetzen (sechs Gruppen zu viert); je Abschnitt präsentiert eine Gruppe, die zweite ergänzt.</w:t>
      </w:r>
    </w:p>
    <w:tbl>
      <w:tblPr>
        <w:tblW w:type="dxa" w:w="9706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9AA7B4" w:sz="4"/>
          <w:insideV w:val="single" w:color="9AA7B4" w:sz="4"/>
        </w:tblBorders>
      </w:tblPr>
      <w:tblGrid>
        <w:gridCol w:w="1500"/>
        <w:gridCol w:w="3400"/>
        <w:gridCol w:w="4806"/>
      </w:tblGrid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1"/>
                <w:szCs w:val="21"/>
              </w:rPr>
              <w:t xml:space="preserve">Team A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„Als Krieger siegreich, als Bauern verarmt“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baut die Ursachenkette aus acht Karten zwischen die beiden lateinischen Sätze – und findet die Stelle, an der es noch zu retten gewesen wäre.</w:t>
            </w:r>
          </w:p>
        </w:tc>
      </w:tr>
      <w:tr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1"/>
                <w:szCs w:val="21"/>
              </w:rPr>
              <w:t xml:space="preserve">Team B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„Mit dem Volk oder mit den ‚Besten‘?“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stellt Popularen und Optimaten gegenüber – und stößt dabei auf den Namenstrick (siehe unten).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1"/>
                <w:szCs w:val="21"/>
              </w:rPr>
              <w:t xml:space="preserve">Team C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„Gesetzesbruch und Gewalt“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ordnet die Eskalation und wiegt ab: Durfte Tiberius für ein gerechtes Ziel das Gesetz brechen?</w:t>
            </w:r>
          </w:p>
        </w:tc>
      </w:tr>
    </w:tbl>
    <w:p>
      <w:pPr>
        <w:keepNext/>
        <w:spacing w:after="60" w:before="190"/>
      </w:pPr>
      <w:r>
        <w:rPr>
          <w:rFonts w:ascii="Calibri" w:cs="Calibri" w:eastAsia="Calibri" w:hAnsi="Calibri"/>
          <w:b/>
          <w:bCs/>
          <w:color w:val="1F3D5C"/>
          <w:sz w:val="26"/>
          <w:szCs w:val="26"/>
        </w:rPr>
        <w:t xml:space="preserve">Die Pointe der Stunde: der Namenstrick</w:t>
      </w:r>
    </w:p>
    <w:tbl>
      <w:tblPr>
        <w:tblW w:type="dxa" w:w="9706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single" w:color="B8860B" w:sz="6"/>
          <w:insideV w:val="single" w:color="B8860B" w:sz="6"/>
        </w:tblBorders>
      </w:tblPr>
      <w:tblGrid>
        <w:gridCol w:w="9706"/>
      </w:tblGrid>
      <w:tr>
        <w:tc>
          <w:tcPr>
            <w:shd w:fill="FDF6DC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Über die Adligen sagt die Sachinfo zweimal dasselbe: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„Sie nannten sich … Popularen“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und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„nannten sich selbstbewusst Optimaten“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. Aktiv, aus eigenem Entschluss, mit einer Begründung, die sie selbst liefern.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Über die Bürger sagt der Lektionstext: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000000"/>
                <w:sz w:val="22"/>
                <w:szCs w:val="22"/>
              </w:rPr>
              <w:t xml:space="preserve">appellāminī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(Z. 14) – „ihr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werdet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Herren der Welt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genannt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“. Passiv, von anderen, ohne dass dabeisteht, wer.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2"/>
                <w:szCs w:val="22"/>
              </w:rPr>
              <w:t xml:space="preserve">Wer Macht hat, gibt sich seinen Namen selbst. Wer keine hat, bekommt einen.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verbindet Grammatikthema und Leitfrage – Team B trägt es auf den Streifen, alle in den Merke-Kasten unter „Neu dazugelernt (AB 16)“.</w:t>
            </w:r>
          </w:p>
        </w:tc>
      </w:tr>
    </w:tbl>
    <w:p>
      <w:pPr>
        <w:keepNext/>
        <w:spacing w:after="60" w:before="190"/>
      </w:pPr>
      <w:r>
        <w:rPr>
          <w:rFonts w:ascii="Calibri" w:cs="Calibri" w:eastAsia="Calibri" w:hAnsi="Calibri"/>
          <w:b/>
          <w:bCs/>
          <w:color w:val="1F3D5C"/>
          <w:sz w:val="26"/>
          <w:szCs w:val="26"/>
        </w:rPr>
        <w:t xml:space="preserve">Der Gegencheck: Plutarch neben der eigenen Übersetzung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Der gelbe Kasten auf S. 110 ist kein Schmuck – er ist die Quelle des Lektionstextes:</w:t>
      </w:r>
    </w:p>
    <w:tbl>
      <w:tblPr>
        <w:tblW w:type="dxa" w:w="9706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9AA7B4" w:sz="4"/>
          <w:insideV w:val="single" w:color="9AA7B4" w:sz="4"/>
        </w:tblBorders>
      </w:tblPr>
      <w:tblGrid>
        <w:gridCol w:w="4853"/>
        <w:gridCol w:w="4853"/>
      </w:tblGrid>
      <w:tr>
        <w:tc>
          <w:tcPr>
            <w:shd w:fill="1F3D5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Plutarch (S. 110, gelber Kasten)</w:t>
            </w:r>
          </w:p>
        </w:tc>
        <w:tc>
          <w:tcPr>
            <w:shd w:fill="1F3D5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Lektionstext S. 109 (eigene Übersetzung)</w:t>
            </w:r>
          </w:p>
        </w:tc>
      </w:tr>
      <w:tr>
        <w:tc>
          <w:tcPr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„Die Männer aber, die für Italien kämpfen und sterben …“</w:t>
            </w:r>
          </w:p>
        </w:tc>
        <w:tc>
          <w:tcPr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Nūper prō patriā pūgnāvistis et vīcistis …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(Z. 11–12)</w:t>
            </w:r>
          </w:p>
        </w:tc>
      </w:tr>
      <w:tr>
        <w:tc>
          <w:tcPr>
            <w:shd w:fill="F7F9F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„Heimatlos und gehetzt irren sie mit Weib und Kind durch das Land.“</w:t>
            </w:r>
          </w:p>
        </w:tc>
        <w:tc>
          <w:tcPr>
            <w:shd w:fill="F7F9F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… errātis per terrās.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(Z. 15)</w:t>
            </w:r>
          </w:p>
        </w:tc>
      </w:tr>
      <w:tr>
        <w:tc>
          <w:tcPr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„Die wilden Tiere, die in Italien hausen, haben ihre Höhle; jedes weiß, wo es sich verkriechen kann.“</w:t>
            </w:r>
          </w:p>
        </w:tc>
        <w:tc>
          <w:tcPr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B2D2D"/>
                <w:sz w:val="20"/>
                <w:szCs w:val="20"/>
              </w:rPr>
              <w:t xml:space="preserve">— steht im Lektionstext nicht.</w:t>
            </w:r>
          </w:p>
        </w:tc>
      </w:tr>
    </w:tbl>
    <w:p>
      <w:pPr>
        <w:spacing w:after="40"/>
      </w:pP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  Was habt ihr eben übersetzt – eine Erfindung des Lehrbuchs oder eine überlieferte Rede?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  Der Vergleich mit den wilden Tieren fehlt im Lektionstext. Was verliert Gracchus dadurch?</w:t>
      </w:r>
    </w:p>
    <w:p>
      <w:pPr>
        <w:keepNext/>
        <w:spacing w:after="60" w:before="190"/>
      </w:pPr>
      <w:r>
        <w:rPr>
          <w:rFonts w:ascii="Calibri" w:cs="Calibri" w:eastAsia="Calibri" w:hAnsi="Calibri"/>
          <w:b/>
          <w:bCs/>
          <w:color w:val="1F3D5C"/>
          <w:sz w:val="26"/>
          <w:szCs w:val="26"/>
        </w:rPr>
        <w:t xml:space="preserve">Rückbindung an die Beleg-Tafel</w:t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2E74B5" w:sz="6"/>
          <w:insideV w:val="single" w:color="2E74B5" w:sz="6"/>
        </w:tblBorders>
      </w:tblPr>
      <w:tblGrid>
        <w:gridCol w:w="9706"/>
      </w:tblGrid>
      <w:tr>
        <w:tc>
          <w:tcPr>
            <w:shd w:fill="DCE9F5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Die Beleg-Tafel bekommt eine dritte, schmale Spalte: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„Warum? (Sachinfo S. 110)“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 Zu jedem Eintrag der rechten Spalte („So geht es ihnen“) kommt der passende Kettenschritt von Team A – meist eine einzige Ziffer. Damit ist die Bestandsaufnahme aus AB 10 keine Liste von Belegen mehr, sondern eine begründete: genau das, was AB 11 und AB 12 brauchen.</w:t>
            </w:r>
          </w:p>
        </w:tc>
      </w:tr>
    </w:tbl>
    <w:tbl>
      <w:tblPr>
        <w:tblW w:type="dxa" w:w="9706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9AA7B4" w:sz="4"/>
          <w:insideV w:val="single" w:color="9AA7B4" w:sz="4"/>
        </w:tblBorders>
      </w:tblPr>
      <w:tblGrid>
        <w:gridCol w:w="4853"/>
        <w:gridCol w:w="4853"/>
      </w:tblGrid>
      <w:tr>
        <w:tc>
          <w:tcPr>
            <w:shd w:fill="1F3D5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Wenn die Zeit knapp wird</w:t>
            </w:r>
          </w:p>
        </w:tc>
        <w:tc>
          <w:tcPr>
            <w:shd w:fill="1F3D5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Vorzubereiten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Als Erstes entfällt der Gegencheck (Plutarch) – als Hausaufgabe geben. Als Zweites die Präsentation auf zwei Minuten je Team kürzen.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Nie gekürzt werden Solo-Zettel und Teamphase: ohne Solo-Zettel arbeiten zwei, und drei schauen zu.</w:t>
            </w:r>
          </w:p>
        </w:tc>
        <w:tc>
          <w:tcPr>
            <w:shd w:fill="FDF3F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 6 Streifen DIN A3 quer   ☐  Klebestifte   ☐  Scheren (nur Team A)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 dicke Stifte, rot und schwarz   ☐  Stimmzettel zerschnitten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 AB 16a + Kartenbogen je 1× pro Gruppe von Team 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 AB 16b, AB 16c je 1× pro Gruppe   ☐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AB 16 · Lösung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50" w:right="1100" w:bottom="8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Lektion 15 · Bauern und Adlige  |  AB 16 · Regieblatt Sachinfo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2026-09-10T07:27:12.822Z</dcterms:created>
  <dcterms:modified xsi:type="dcterms:W3CDTF">2026-09-10T07:27:12.823Z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