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rPr>
          <w:b/>
          <w:bCs/>
          <w:sz w:val="40"/>
          <w:szCs w:val="40"/>
        </w:rPr>
        <w:t xml:space="preserve">Trade Finance 共用 Payment Component 架構設計（v4）</w:t>
      </w:r>
    </w:p>
    <w:p>
      <w:pPr>
        <w:spacing w:after="300"/>
      </w:pPr>
      <w:r>
        <w:rPr>
          <w:i/>
          <w:iCs/>
          <w:color w:val="555555"/>
          <w:sz w:val="22"/>
          <w:szCs w:val="22"/>
        </w:rPr>
        <w:t xml:space="preserve">Trade_Finance_Payment_Component_Architecture_v4-cn — 本版整合 Charge Settlement Engine 章節、補強 SUSPENSE 控管、新增過帳順序模式</w:t>
      </w:r>
    </w:p>
    <w:p>
      <w:pPr>
        <w:pStyle w:val="Heading1"/>
        <w:spacing w:after="160" w:before="360"/>
      </w:pPr>
      <w:r>
        <w:rPr>
          <w:b/>
          <w:bCs/>
          <w:sz w:val="28"/>
          <w:szCs w:val="28"/>
        </w:rPr>
        <w:t xml:space="preserve">修訂歷程</w:t>
      </w:r>
    </w:p>
    <w:p>
      <w:pPr>
        <w:spacing w:after="80"/>
        <w:ind w:left="400"/>
      </w:pPr>
      <w:r>
        <w:t xml:space="preserve">• v1：初版，提出 Trade Finance 各產品共用 Payment Component 之構想。</w:t>
      </w:r>
    </w:p>
    <w:p>
      <w:pPr>
        <w:spacing w:after="80"/>
        <w:ind w:left="400"/>
      </w:pPr>
      <w:r>
        <w:t xml:space="preserve">• v2/v3：定位修正——區分「採用範圍（adoption scope）」與「分類公式（classification formula）」；補充 Current/Target 對照、元件責任劃分、Payment Clearing／SUSPENSE 控管、產品採用矩陣。</w:t>
      </w:r>
    </w:p>
    <w:p>
      <w:pPr>
        <w:spacing w:after="80"/>
        <w:ind w:left="400"/>
      </w:pPr>
      <w:r>
        <w:t xml:space="preserve">• v5（獨立章節提案）：新增 Charge Settlement Engine，處理不同銀行收費扣款政策差異。</w:t>
      </w:r>
    </w:p>
    <w:p>
      <w:pPr>
        <w:spacing w:after="200"/>
      </w:pPr>
      <w:r>
        <w:rPr>
          <w:b/>
          <w:bCs/>
        </w:rPr>
        <w:t xml:space="preserve">v4（本版）整合並收斂以下四項審閱意見：</w:t>
      </w:r>
    </w:p>
    <w:p>
      <w:pPr>
        <w:spacing w:after="80"/>
        <w:ind w:left="400"/>
      </w:pPr>
      <w:r>
        <w:t xml:space="preserve">• 明確定義 Charge Instruction 契約，解決 Business Component 與 Charge Engine 間金額計算歸屬問題（見第四節）。</w:t>
      </w:r>
    </w:p>
    <w:p>
      <w:pPr>
        <w:spacing w:after="80"/>
        <w:ind w:left="400"/>
      </w:pPr>
      <w:r>
        <w:t xml:space="preserve">• 將 v5 的 Charge Settlement Engine 正式併入主文件，補上 HYBRID 規則定義、多幣別匯率/捨入政策、Advice Policy 與既有 SWIFT 電文欄位的銜接、Bank Parameter 顆粒度，並與 Payment Clearing 流程明確對接（見第八節）。</w:t>
      </w:r>
    </w:p>
    <w:p>
      <w:pPr>
        <w:spacing w:after="80"/>
        <w:ind w:left="400"/>
      </w:pPr>
      <w:r>
        <w:t xml:space="preserve">• 新增 Payment Clearing 過帳順序模式：Cash-First／Accrual-First，並定義兩者的風險性質差異與適用原則（見第九節）。</w:t>
      </w:r>
    </w:p>
    <w:p>
      <w:pPr>
        <w:spacing w:after="80"/>
        <w:ind w:left="400"/>
      </w:pPr>
      <w:r>
        <w:t xml:space="preserve">• 擴充 Payment Clearing／SUSPENSE 控管清單，新增 FX 重估、覆核（Maker-Checker）、應收帳齡管理三項控制（見第十節）。</w:t>
      </w:r>
    </w:p>
    <w:p>
      <w:pPr>
        <w:pStyle w:val="Heading1"/>
        <w:spacing w:after="160" w:before="360"/>
      </w:pPr>
      <w:r>
        <w:rPr>
          <w:b/>
          <w:bCs/>
          <w:sz w:val="28"/>
          <w:szCs w:val="28"/>
        </w:rPr>
        <w:t xml:space="preserve">一、文件定位與核心結論</w:t>
      </w:r>
    </w:p>
    <w:p>
      <w:pPr>
        <w:spacing w:after="120"/>
      </w:pPr>
      <w:r>
        <w:t xml:space="preserve">本提案的核心方向仍然成立：Trade Finance 凡涉及實際收款、付款、清算或資金分配，可優先評估共用既有 Payment Component，以避免 LC、Guarantee、Collection、Loan 等產品各自重複實作 Payment / Settlement 邏輯。</w:t>
      </w:r>
    </w:p>
    <w:p>
      <w:pPr>
        <w:spacing w:after="120"/>
      </w:pPr>
      <w:r>
        <w:t xml:space="preserve">但經審閱後，需明確修正文件定位：</w:t>
      </w:r>
    </w:p>
    <w:p>
      <w:pPr>
        <w:spacing w:after="80"/>
        <w:ind w:left="400"/>
      </w:pPr>
      <w:r>
        <w:t xml:space="preserve">• 目前真正的 GAP 主要是「採用範圍（adoption scope）」：部分 Trade Finance 功能尚未呼叫 Payment Component。</w:t>
      </w:r>
    </w:p>
    <w:p>
      <w:pPr>
        <w:spacing w:after="80"/>
        <w:ind w:left="400"/>
      </w:pPr>
      <w:r>
        <w:t xml:space="preserve">• 不是「分類公式（classification formula）」的 GAP。現有 CUSTOMER / NOSTRO XOR 判定對本文案例已可正常分類。</w:t>
      </w:r>
    </w:p>
    <w:p>
      <w:pPr>
        <w:spacing w:after="120"/>
      </w:pPr>
      <w:r>
        <w:t xml:space="preserve">因此本文件屬於 Payment Component adoption / integration proposal，而不是 classification.ts redesign proposal。</w:t>
      </w:r>
    </w:p>
    <w:p>
      <w:pPr>
        <w:pStyle w:val="Heading1"/>
        <w:spacing w:after="160" w:before="360"/>
      </w:pPr>
      <w:r>
        <w:rPr>
          <w:b/>
          <w:bCs/>
          <w:sz w:val="28"/>
          <w:szCs w:val="28"/>
        </w:rPr>
        <w:t xml:space="preserve">二、既有分類規則：原則上無須修改</w:t>
      </w:r>
    </w:p>
    <w:p>
      <w:pPr>
        <w:spacing w:after="120"/>
      </w:pPr>
      <w:r>
        <w:t xml:space="preserve">依現有分類邏輯，主要判斷如下：</w:t>
      </w:r>
    </w:p>
    <w:p>
      <w:pPr>
        <w:spacing w:after="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customerXor = Dr_has(CUSTOMER) XOR Cr_has(CUSTOMER)</w:t>
      </w:r>
    </w:p>
    <w:p>
      <w:pPr>
        <w:spacing w:after="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nostroXor   = Dr_has(NOSTRO)   XOR Cr_has(NOSTRO)</w:t>
      </w:r>
    </w:p>
    <w:p>
      <w:pPr>
        <w:spacing w:after="120"/>
      </w:pPr>
      <w:r>
        <w:t xml:space="preserve">本文主要範例，例如「Dr Customer C/A / Cr Payment Clearing」或「Dr Payment Clearing / Cr Nostro」，CUSTOMER 或 NOSTRO 都只出現在借貸其中一邊，因此既有 XOR 規則即可判定為 Payment 類型。</w:t>
      </w:r>
    </w:p>
    <w:p>
      <w:pPr>
        <w:spacing w:after="120"/>
      </w:pPr>
      <w:r>
        <w:t xml:space="preserve">Payment Clearing 在實作上可對應 OAS AccountType 的 SUSPENSE。SUSPENSE 與 INTERNAL 維持不參與 CUSTOMER / NOSTRO XOR 測試是合理的，無須為了本提案變更分類公式。</w:t>
      </w:r>
    </w:p>
    <w:p>
      <w:pPr>
        <w:pStyle w:val="Heading1"/>
        <w:spacing w:after="160" w:before="360"/>
      </w:pPr>
      <w:r>
        <w:rPr>
          <w:b/>
          <w:bCs/>
          <w:sz w:val="28"/>
          <w:szCs w:val="28"/>
        </w:rPr>
        <w:t xml:space="preserve">三、現況與目標設計必須區分</w:t>
      </w:r>
    </w:p>
    <w:p>
      <w:pPr>
        <w:spacing w:after="120"/>
      </w:pPr>
      <w:r>
        <w:t xml:space="preserve">正式設計審查時，必須區分「目前已確認使用 Payment Component」與「建議未來納入 Payment Component」兩類，避免將目標架構誤認為現行功能。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1600"/>
        <w:gridCol w:w="2600"/>
      </w:tblGrid>
      <w:tr>
        <w:tc>
          <w:tcPr>
            <w:tcW w:type="dxa" w:w="2600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產品 / 功能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目前觀察</w:t>
            </w:r>
          </w:p>
        </w:tc>
        <w:tc>
          <w:tcPr>
            <w:tcW w:type="dxa" w:w="1600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建議定位</w:t>
            </w:r>
          </w:p>
        </w:tc>
        <w:tc>
          <w:tcPr>
            <w:tcW w:type="dxa" w:w="2600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設計注意事項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IPLC – Pay/Accept、Pay/Accept With Discount、Payment at Maturity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已確認有呼叫 Payment Component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既有模式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可作為擴展其他功能的參考基準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LC Issue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目前 Confirm 流程觀察為 SYT_CHG_VOUCHER()，未確認走 Payment Component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候選擴展範圍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屬首次納入 / migration proposal，不應描述成既有模式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Guarantee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已確認產品有使用，但並非所有 Confirm 功能都使用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逐功能評估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不可用「整個 Guarantee 都適用」概括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Collection (IMCO / EXCO)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已確認特定功能使用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逐功能評估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需依功能逐項 cross-reference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CFNC / SBLC / REIM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既有分析顯示部分流程屬純費用 / 非 Payment Component 使用者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原則上不強制納入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除非存在實際 Customer / Nostro 資金移動，否則維持 Charge/Voucher 模式可能更合理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sz w:val="28"/>
          <w:szCs w:val="28"/>
        </w:rPr>
        <w:t xml:space="preserve">四、元件責任：Payment、Charge 與 Accounting 的邊界（v4 修訂）</w:t>
      </w:r>
    </w:p>
    <w:p>
      <w:pPr>
        <w:spacing w:after="120"/>
      </w:pPr>
      <w:r>
        <w:t xml:space="preserve">為消除原文件的內部不一致，並回應審閱意見「Charge Instruction 傳遞的是已算好的金額，還是費率參數交給 Charge Engine 自行計算」，本版明確採用以下劃分：</w:t>
      </w:r>
    </w:p>
    <w:p>
      <w:pPr>
        <w:spacing w:after="80"/>
        <w:ind w:left="400"/>
      </w:pPr>
      <w:r>
        <w:t xml:space="preserve">• Business Component：產生業務事件與參數（例如 LC 金額、幣別、客戶/商品費率代碼），不自行計算費用金額。</w:t>
      </w:r>
    </w:p>
    <w:p>
      <w:pPr>
        <w:spacing w:after="80"/>
        <w:ind w:left="400"/>
      </w:pPr>
      <w:r>
        <w:t xml:space="preserve">• Charge Engine：依 Business Component 傳入的業務事件與費率參數，自行計算應收費用，產出 Charge Legs（依幣別、費用類別列示）。Charge Engine 不直接產生 GL，也不決定實際扣款方式。</w:t>
      </w:r>
    </w:p>
    <w:p>
      <w:pPr>
        <w:spacing w:after="80"/>
        <w:ind w:left="400"/>
      </w:pPr>
      <w:r>
        <w:t xml:space="preserve">• Charge Settlement Engine（新，見第八節）：依銀行參數，將 Charge Engine 產出的 Charge Legs 轉換為實際 Collect Legs。</w:t>
      </w:r>
    </w:p>
    <w:p>
      <w:pPr>
        <w:spacing w:after="80"/>
        <w:ind w:left="400"/>
      </w:pPr>
      <w:r>
        <w:t xml:space="preserve">• Payment Component：負責 Collect / Pay / Transfer / Refund / Return / Reverse，以及 Customer / Nostro 等實際資金端點。</w:t>
      </w:r>
    </w:p>
    <w:p>
      <w:pPr>
        <w:spacing w:after="80"/>
        <w:ind w:left="400"/>
      </w:pPr>
      <w:r>
        <w:t xml:space="preserve">• Accounting Engine：依 Payment Instruction 與 Charge Settlement 結果產生最終 Dr/Cr GL Entries。</w:t>
      </w:r>
    </w:p>
    <w:p>
      <w:pPr>
        <w:pBdr>
          <w:left w:val="single" w:color="D9A400" w:sz="12"/>
        </w:pBdr>
        <w:shd w:fill="FFF7E6" w:val="clear"/>
        <w:spacing w:after="160" w:before="60"/>
        <w:ind w:left="200"/>
      </w:pPr>
      <w:r>
        <w:rPr>
          <w:i/>
          <w:iCs/>
          <w:color w:val="7A5B00"/>
        </w:rPr>
        <w:t xml:space="preserve">註：這個劃分的關鍵決定是：費率計算邏輯集中在 Charge Engine，不分散在各 Business Component，使 Charge Engine 真正成為可重用的規則引擎，而不只是被動記帳代理。</w:t>
      </w:r>
    </w:p>
    <w:p>
      <w:pPr>
        <w:spacing w:after="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Business Component</w:t>
      </w:r>
    </w:p>
    <w:p>
      <w:pPr>
        <w:spacing w:after="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  │</w:t>
      </w:r>
    </w:p>
    <w:p>
      <w:pPr>
        <w:spacing w:after="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  ├── Payment Instruction ─────────────► Payment Component</w:t>
      </w:r>
    </w:p>
    <w:p>
      <w:pPr>
        <w:spacing w:after="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  │                                            ▲</w:t>
      </w:r>
    </w:p>
    <w:p>
      <w:pPr>
        <w:spacing w:after="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  └── Business Event + Rate Params ──► Charge Engine</w:t>
      </w:r>
    </w:p>
    <w:p>
      <w:pPr>
        <w:spacing w:after="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                                            │</w:t>
      </w:r>
    </w:p>
    <w:p>
      <w:pPr>
        <w:spacing w:after="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                                      Charge Legs</w:t>
      </w:r>
    </w:p>
    <w:p>
      <w:pPr>
        <w:spacing w:after="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                                            │</w:t>
      </w:r>
    </w:p>
    <w:p>
      <w:pPr>
        <w:spacing w:after="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                                            ▼</w:t>
      </w:r>
    </w:p>
    <w:p>
      <w:pPr>
        <w:spacing w:after="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                                Charge Settlement Engine</w:t>
      </w:r>
    </w:p>
    <w:p>
      <w:pPr>
        <w:spacing w:after="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                                            │</w:t>
      </w:r>
    </w:p>
    <w:p>
      <w:pPr>
        <w:spacing w:after="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                                      Collect Legs</w:t>
      </w:r>
    </w:p>
    <w:p>
      <w:pPr>
        <w:spacing w:after="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                                            │</w:t>
      </w:r>
    </w:p>
    <w:p>
      <w:pPr>
        <w:spacing w:after="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                                            ▼</w:t>
      </w:r>
    </w:p>
    <w:p>
      <w:pPr>
        <w:spacing w:after="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                               Payment Component（Collect）</w:t>
      </w:r>
    </w:p>
    <w:p>
      <w:pPr>
        <w:spacing w:after="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                                            │</w:t>
      </w:r>
    </w:p>
    <w:p>
      <w:pPr>
        <w:spacing w:after="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                                            ▼</w:t>
      </w:r>
    </w:p>
    <w:p>
      <w:pPr>
        <w:spacing w:after="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                                    Accounting Engine</w:t>
      </w:r>
    </w:p>
    <w:p>
      <w:pPr>
        <w:spacing w:after="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                                            │</w:t>
      </w:r>
    </w:p>
    <w:p>
      <w:pPr>
        <w:spacing w:after="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                                            ▼</w:t>
      </w:r>
    </w:p>
    <w:p>
      <w:pPr>
        <w:spacing w:after="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                                           GL</w:t>
      </w:r>
    </w:p>
    <w:p>
      <w:pPr>
        <w:pStyle w:val="Heading1"/>
        <w:spacing w:after="160" w:before="360"/>
      </w:pPr>
      <w:r>
        <w:rPr>
          <w:b/>
          <w:bCs/>
          <w:sz w:val="28"/>
          <w:szCs w:val="28"/>
        </w:rPr>
        <w:t xml:space="preserve">五、LC Issue：屬於建議擴展案例，不是現行既有流程</w:t>
      </w:r>
    </w:p>
    <w:p>
      <w:pPr>
        <w:spacing w:after="120"/>
      </w:pPr>
      <w:r>
        <w:t xml:space="preserve">LC Issue 是本提案最具代表性的 adoption case。現況觀察為 Confirm 流程使用 SYT_CHG_VOUCHER()；以下分錄應視為「未來如納入 Payment Component」的目標模式。</w:t>
      </w:r>
    </w:p>
    <w:p>
      <w:pPr>
        <w:spacing w:after="120"/>
      </w:pPr>
      <w:r>
        <w:rPr>
          <w:b/>
          <w:bCs/>
        </w:rPr>
        <w:t xml:space="preserve">目標模式 Step 1：向客戶收款</w:t>
      </w:r>
    </w:p>
    <w:p>
      <w:pPr>
        <w:spacing w:after="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Dr Customer Current Account          Cr Payment Clearing (AccountType = SUSPENSE)</w:t>
      </w:r>
    </w:p>
    <w:p>
      <w:pPr>
        <w:spacing w:after="120"/>
      </w:pPr>
      <w:r>
        <w:rPr>
          <w:b/>
          <w:bCs/>
        </w:rPr>
        <w:t xml:space="preserve">目標模式 Step 2：依 Charge / Margin 指令分攤</w:t>
      </w:r>
    </w:p>
    <w:p>
      <w:pPr>
        <w:spacing w:after="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Dr Payment Clearing</w:t>
      </w:r>
    </w:p>
    <w:p>
      <w:pPr>
        <w:spacing w:after="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    Cr Commission Income 1</w:t>
      </w:r>
    </w:p>
    <w:p>
      <w:pPr>
        <w:spacing w:after="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    Cr Commission Income 2</w:t>
      </w:r>
    </w:p>
    <w:p>
      <w:pPr>
        <w:spacing w:after="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    Cr Commission Income 3</w:t>
      </w:r>
    </w:p>
    <w:p>
      <w:pPr>
        <w:spacing w:after="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    Cr Margin Account</w:t>
      </w:r>
    </w:p>
    <w:p>
      <w:pPr>
        <w:spacing w:after="120"/>
      </w:pPr>
      <w:r>
        <w:t xml:space="preserve">這個案例不要求修改 CUSTOMER XOR 規則；主要開發工作是讓 LC Issue 在合適的業務節點產生 Payment Instruction 並呼叫既有 Payment Component。</w:t>
      </w:r>
    </w:p>
    <w:p>
      <w:pPr>
        <w:pBdr>
          <w:left w:val="single" w:color="D9A400" w:sz="12"/>
        </w:pBdr>
        <w:shd w:fill="FFF7E6" w:val="clear"/>
        <w:spacing w:after="160" w:before="60"/>
        <w:ind w:left="200"/>
      </w:pPr>
      <w:r>
        <w:rPr>
          <w:i/>
          <w:iCs/>
          <w:color w:val="7A5B00"/>
        </w:rPr>
        <w:t xml:space="preserve">註：本範例之 Step 2 分攤，於正式設計中應對應第八節 Charge Settlement Engine 之 Collect Legs 產出結果，而非由 Payment Component 直接硬編碼各 Commission GL。</w:t>
      </w:r>
    </w:p>
    <w:p>
      <w:pPr>
        <w:pBdr>
          <w:left w:val="single" w:color="D9A400" w:sz="12"/>
        </w:pBdr>
        <w:shd w:fill="FFF7E6" w:val="clear"/>
        <w:spacing w:after="160" w:before="60"/>
        <w:ind w:left="200"/>
      </w:pPr>
      <w:r>
        <w:rPr>
          <w:i/>
          <w:iCs/>
          <w:color w:val="7A5B00"/>
        </w:rPr>
        <w:t xml:space="preserve">補充註記（本次系統開發後新增）：本節提出的 Payment Clearing／SUSPENSE 銜接模式，已在 lc-payment-wc 專案的 Payment Component Simulator 中被實作為更通用的版本——不限於 LC Issue，可套用於任何案例，並支援多筆、跨幣別的 Suspense 分錄，各自搭配對應的 FX Exchange 配平分錄以確保依幣別亦能平帳（見 business-case-runner.component.ts 的 suspenseBridgeLeg()／fxExchangePairLegs()／suspenseBridgeLegs()）。命名慣例與本文不同：本文使用單一「Payment Clearing」科目，程式碼使用「Suspense - Debit」／「Suspense - Credit」兩個獨立科目——兩者為同一概念的不同具體化，並非彼此矛盾，正式導入生產環境時應統一命名慣例。</w:t>
      </w:r>
    </w:p>
    <w:p>
      <w:pPr>
        <w:pBdr>
          <w:left w:val="single" w:color="D9A400" w:sz="12"/>
        </w:pBdr>
        <w:shd w:fill="FFF7E6" w:val="clear"/>
        <w:spacing w:after="160" w:before="60"/>
        <w:ind w:left="200"/>
      </w:pPr>
      <w:r>
        <w:rPr>
          <w:i/>
          <w:iCs/>
          <w:color w:val="7A5B00"/>
        </w:rPr>
        <w:t xml:space="preserve">補充註記二（2026-08-09 新增）：本節這個「無真正 Credit Leg、Payment Clearing 全部改由 Suspense Credit 提供」的確切情境，現已由 Payment Component Simulator 中一個專屬案例——iplc-issue-charge-bridge（「Issue — Charge Component Bridge」，chargeBridge: true）——端到端模擬，並非僅止於上述通用銜接模式的一個特例。此銜接演算法其後已移植到微服務端（v1.4.0 起，domain/suspenseBridge.ts），並針對這個「Credit Legs 完全為空、Debit 對側直接由 Suspense Credit 抵銷」的模式做了進一步精煉：FX Exchange 配平分錄現在只反映各幣別 Debit Legs 與 Suspense Credit 之間的差額（diff = 0 時完全不產生 FX 分錄），而非不分青紅皂白地按毛額產生——詳見 lc-payment-wc/CLAUDE.md 的「Charge Component ↔ Payment Component boundary」一節與微服務自身的 README.md。</w:t>
      </w:r>
    </w:p>
    <w:p>
      <w:pPr>
        <w:pStyle w:val="Heading1"/>
        <w:spacing w:after="160" w:before="360"/>
      </w:pPr>
      <w:r>
        <w:rPr>
          <w:b/>
          <w:bCs/>
          <w:sz w:val="28"/>
          <w:szCs w:val="28"/>
        </w:rPr>
        <w:t xml:space="preserve">六、Export Negotiation / EBL</w:t>
      </w:r>
    </w:p>
    <w:p>
      <w:pPr>
        <w:spacing w:after="120"/>
      </w:pPr>
      <w:r>
        <w:t xml:space="preserve">EBL 的可重用模式相對清楚：Loan Component 建立 Export Bill Loan，Payment Component 負責將融資淨額支付給出口商，Charge Engine 負責佣金、利息及其他費用分攤。</w:t>
      </w:r>
    </w:p>
    <w:p>
      <w:pPr>
        <w:spacing w:after="120"/>
      </w:pPr>
      <w:r>
        <w:rPr>
          <w:b/>
          <w:bCs/>
        </w:rPr>
        <w:t xml:space="preserve">Loan Component</w:t>
      </w:r>
    </w:p>
    <w:p>
      <w:pPr>
        <w:spacing w:after="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Dr Export Bill Loan (EBL)          Cr Payment Clearing</w:t>
      </w:r>
    </w:p>
    <w:p>
      <w:pPr>
        <w:spacing w:after="120"/>
      </w:pPr>
      <w:r>
        <w:rPr>
          <w:b/>
          <w:bCs/>
        </w:rPr>
        <w:t xml:space="preserve">Payment / Charge Allocation Result</w:t>
      </w:r>
    </w:p>
    <w:p>
      <w:pPr>
        <w:spacing w:after="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Dr Payment Clearing</w:t>
      </w:r>
    </w:p>
    <w:p>
      <w:pPr>
        <w:spacing w:after="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    Cr Negotiation Commission</w:t>
      </w:r>
    </w:p>
    <w:p>
      <w:pPr>
        <w:spacing w:after="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    Cr Handling Fee</w:t>
      </w:r>
    </w:p>
    <w:p>
      <w:pPr>
        <w:spacing w:after="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    Cr Interest Income</w:t>
      </w:r>
    </w:p>
    <w:p>
      <w:pPr>
        <w:spacing w:after="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    Cr Customer Current Account</w:t>
      </w:r>
    </w:p>
    <w:p>
      <w:pPr>
        <w:spacing w:after="120"/>
      </w:pPr>
      <w:r>
        <w:t xml:space="preserve">核心特徵：EBL 的主要外部資金去向通常是 Customer C/A（出口商）。Loan Component 不需要知道淨支付金額如何拆分。</w:t>
      </w:r>
    </w:p>
    <w:p>
      <w:pPr>
        <w:pStyle w:val="Heading1"/>
        <w:spacing w:after="160" w:before="360"/>
      </w:pPr>
      <w:r>
        <w:rPr>
          <w:b/>
          <w:bCs/>
          <w:sz w:val="28"/>
          <w:szCs w:val="28"/>
        </w:rPr>
        <w:t xml:space="preserve">七、Import Bills Financing / IBL</w:t>
      </w:r>
    </w:p>
    <w:p>
      <w:pPr>
        <w:spacing w:after="120"/>
      </w:pPr>
      <w:r>
        <w:t xml:space="preserve">IBL 同樣可由 Loan Component 建立融資資產，但資金通常不是支付給進口商，而是用於對外 Settlement，因此主要外部端點通常為 Nostro / Beneficiary Bank。</w:t>
      </w:r>
    </w:p>
    <w:p>
      <w:pPr>
        <w:spacing w:after="120"/>
      </w:pPr>
      <w:r>
        <w:rPr>
          <w:b/>
          <w:bCs/>
        </w:rPr>
        <w:t xml:space="preserve">Loan Component</w:t>
      </w:r>
    </w:p>
    <w:p>
      <w:pPr>
        <w:spacing w:after="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Dr Import Bill Loan (IBL)          Cr Payment Clearing</w:t>
      </w:r>
    </w:p>
    <w:p>
      <w:pPr>
        <w:spacing w:after="120"/>
      </w:pPr>
      <w:r>
        <w:rPr>
          <w:b/>
          <w:bCs/>
        </w:rPr>
        <w:t xml:space="preserve">Payment Component</w:t>
      </w:r>
    </w:p>
    <w:p>
      <w:pPr>
        <w:spacing w:after="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Dr Payment Clearing          Cr Nostro Account</w:t>
      </w:r>
    </w:p>
    <w:p>
      <w:pPr>
        <w:spacing w:after="120"/>
      </w:pPr>
      <w:r>
        <w:t xml:space="preserve">如同一事件另向客戶收取費用，可獨立產生 Collect / Charge Instruction，例如：</w:t>
      </w:r>
    </w:p>
    <w:p>
      <w:pPr>
        <w:spacing w:after="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Dr Customer Current Account          Cr Payment Clearing</w:t>
      </w:r>
    </w:p>
    <w:p>
      <w:pPr>
        <w:spacing w:after="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Dr Payment Clearing</w:t>
      </w:r>
    </w:p>
    <w:p>
      <w:pPr>
        <w:spacing w:after="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    Cr Commission Income</w:t>
      </w:r>
    </w:p>
    <w:p>
      <w:pPr>
        <w:spacing w:after="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    Cr Handling Fee</w:t>
      </w:r>
    </w:p>
    <w:p>
      <w:pPr>
        <w:spacing w:after="120"/>
      </w:pPr>
      <w:r>
        <w:t xml:space="preserve">核心特徵：IBL 與 EBL 可共用 Loan + Payment Framework，但資金端點不同：EBL 偏向 Customer，IBL 偏向 Nostro / Beneficiary Bank。這是具高度重用價值的模式。</w:t>
      </w:r>
    </w:p>
    <w:p>
      <w:pPr>
        <w:pStyle w:val="Heading1"/>
        <w:spacing w:after="160" w:before="360"/>
      </w:pPr>
      <w:r>
        <w:rPr>
          <w:b/>
          <w:bCs/>
          <w:sz w:val="28"/>
          <w:szCs w:val="28"/>
        </w:rPr>
        <w:t xml:space="preserve">八、Charge Settlement Engine 與收費扣款策略（整合 v5，補齊缺口）</w:t>
      </w:r>
    </w:p>
    <w:p>
      <w:pPr>
        <w:spacing w:after="120"/>
      </w:pPr>
      <w:r>
        <w:t xml:space="preserve">不同銀行對收費扣款方式有不同要求，因此 Payment Component 不應固定逐筆扣款或固定依幣別彙總，而應由銀行參數（Bank Policy）控制。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8.1 Charge Settlement Policy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600"/>
      </w:tblGrid>
      <w:tr>
        <w:tc>
          <w:tcPr>
            <w:tcW w:type="dxa" w:w="2200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Policy</w:t>
            </w:r>
          </w:p>
        </w:tc>
        <w:tc>
          <w:tcPr>
            <w:tcW w:type="dxa" w:w="4200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說明</w:t>
            </w:r>
          </w:p>
        </w:tc>
        <w:tc>
          <w:tcPr>
            <w:tcW w:type="dxa" w:w="2600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適用情境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INDIVIDUAL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每筆費用獨立扣款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歐洲部分銀行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SUM_BY_CURRENCY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依幣別彙總扣款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亞洲銀行最常見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SUM_ALL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全部換算為付款幣別後一次扣款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北美部分銀行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HYBRID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部分合併、部分獨立（規則見下）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中東及特殊法規</w:t>
            </w:r>
          </w:p>
        </w:tc>
      </w:tr>
    </w:tbl>
    <w:p>
      <w:pPr>
        <w:pBdr>
          <w:left w:val="single" w:color="D9A400" w:sz="12"/>
        </w:pBdr>
        <w:shd w:fill="FFF7E6" w:val="clear"/>
        <w:spacing w:after="160" w:before="60"/>
        <w:ind w:left="200"/>
      </w:pPr>
      <w:r>
        <w:rPr>
          <w:i/>
          <w:iCs/>
          <w:color w:val="7A5B00"/>
        </w:rPr>
        <w:t xml:space="preserve">註：HYBRID 的合併規則需另外定義「費用分類維度」，本版建議預設規則（銀行可覆寫）：銀行自身收入類費用（Commission、Handling Fee、Interest Income 等）依 SUM_BY_CURRENCY 合併；第三方轉付費用（SWIFT Fee、Courier Fee、Correspondent Bank Charges 等）維持 INDIVIDUAL 獨立列示，以利日後與第三方對帳。此分類本身應作為 Charge Leg 的屬性（chargeNature: BANK_INCOME | THIRD_PARTY_PASS_THROUGH），由 Charge Engine 產生 Charge Leg 時一併標註，Charge Settlement Engine 才能依此執行 HYBRID 規則。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8.2 Charge Advice Policy</w:t>
      </w:r>
    </w:p>
    <w:p>
      <w:pPr>
        <w:spacing w:after="120"/>
      </w:pPr>
      <w:r>
        <w:t xml:space="preserve">付款金額與通知明細應獨立控制。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Policy</w:t>
            </w:r>
          </w:p>
        </w:tc>
        <w:tc>
          <w:tcPr>
            <w:tcW w:type="dxa" w:w="6800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完整列示每筆費用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SUMMARY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只顯示各幣別或各類別合計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不顯示費用明細</w:t>
            </w:r>
          </w:p>
        </w:tc>
      </w:tr>
    </w:tbl>
    <w:p>
      <w:pPr>
        <w:pBdr>
          <w:left w:val="single" w:color="D9A400" w:sz="12"/>
        </w:pBdr>
        <w:shd w:fill="FFF7E6" w:val="clear"/>
        <w:spacing w:after="160" w:before="60"/>
        <w:ind w:left="200"/>
      </w:pPr>
      <w:r>
        <w:rPr>
          <w:i/>
          <w:iCs/>
          <w:color w:val="7A5B00"/>
        </w:rPr>
        <w:t xml:space="preserve">註：本版明確定義：Charge Advice Policy 決定的是既有 payAdviceMsgType／payCoverMsgType（見 Payment Component OAS）電文中，費用明細段落的呈現顆粒度，而非另一套獨立通知機制——避免與既有 SWIFT 電文欄位形成兩套平行邏輯。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8.3 多幣別彙總之匯率與捨入政策（v4 新增）</w:t>
      </w:r>
    </w:p>
    <w:p>
      <w:pPr>
        <w:spacing w:after="120"/>
      </w:pPr>
      <w:r>
        <w:t xml:space="preserve">採 SUM_BY_CURRENCY 或 SUM_ALL 彙總時，須明確定義：</w:t>
      </w:r>
    </w:p>
    <w:p>
      <w:pPr>
        <w:spacing w:after="80"/>
        <w:ind w:left="400"/>
      </w:pPr>
      <w:r>
        <w:t xml:space="preserve">• 換算匯率來源：原則上採與主交易相同之匯率基準日／匯率來源，避免另立一組客戶端匯率造成利差認列爭議；如需採即時匯率，須由銀行參數明確聲明並留存匯率快照供稽核。</w:t>
      </w:r>
    </w:p>
    <w:p>
      <w:pPr>
        <w:spacing w:after="80"/>
        <w:ind w:left="400"/>
      </w:pPr>
      <w:r>
        <w:t xml:space="preserve">• 捨入誤差歸屬：多筆費用個別捨入後加總，與加總後才捨入，兩者結果可能有些微差異；本版建議採「先加總、後捨入」以避免逐筆捨入誤差累積，且捨入差額原則上計入銀行損益，不得默默留在 Payment Clearing 未清。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8.4 Charge Legs 設計</w:t>
      </w:r>
    </w:p>
    <w:p>
      <w:pPr>
        <w:spacing w:after="120"/>
      </w:pPr>
      <w:r>
        <w:t xml:space="preserve">Charge Engine 不直接產生 GL，而是回傳 Charge Legs，例如：</w:t>
      </w:r>
    </w:p>
    <w:p>
      <w:pPr>
        <w:spacing w:after="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USD</w:t>
      </w:r>
    </w:p>
    <w:p>
      <w:pPr>
        <w:spacing w:after="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  - Commission     50</w:t>
      </w:r>
    </w:p>
    <w:p>
      <w:pPr>
        <w:spacing w:after="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  - SWIFT Fee       20</w:t>
      </w:r>
    </w:p>
    <w:p>
      <w:pPr>
        <w:spacing w:after="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  - Handling Fee    10</w:t>
      </w:r>
    </w:p>
    <w:p>
      <w:pPr>
        <w:spacing w:after="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HKD</w:t>
      </w:r>
    </w:p>
    <w:p>
      <w:pPr>
        <w:spacing w:after="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  - Courier Fee    100</w:t>
      </w:r>
    </w:p>
    <w:p>
      <w:pPr>
        <w:spacing w:after="120"/>
      </w:pPr>
      <w:r>
        <w:t xml:space="preserve">Charge Settlement Engine 再依銀行政策轉換為 Collect Legs：</w:t>
      </w:r>
    </w:p>
    <w:p>
      <w:pPr>
        <w:spacing w:after="80"/>
        <w:ind w:left="400"/>
      </w:pPr>
      <w:r>
        <w:t xml:space="preserve">• Individual：USD 50、USD 20、USD 10、HKD 100</w:t>
      </w:r>
    </w:p>
    <w:p>
      <w:pPr>
        <w:spacing w:after="80"/>
        <w:ind w:left="400"/>
      </w:pPr>
      <w:r>
        <w:t xml:space="preserve">• Sum by Currency：USD 80、HKD 100</w:t>
      </w:r>
    </w:p>
    <w:p>
      <w:pPr>
        <w:spacing w:after="80"/>
        <w:ind w:left="400"/>
      </w:pPr>
      <w:r>
        <w:t xml:space="preserve">• Sum All：全部換算為付款幣別後一次扣款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8.5 Bank Parameter 顆粒度（v4 新增）</w:t>
      </w:r>
    </w:p>
    <w:p>
      <w:pPr>
        <w:spacing w:after="120"/>
      </w:pPr>
      <w:r>
        <w:t xml:space="preserve">Charge Settlement Policy 與 Charge Advice Policy 之設定，至少須支援「銀行 × 產品」兩個維度；如涉及法人／零售客群差異化需求，應保留「客群」作為第三維度的擴充欄位，避免日後追加時須改動資料結構。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8.6 與 Payment Clearing 流程的銜接（v4 新增，解決 v3/v5 斷點）</w:t>
      </w:r>
    </w:p>
    <w:p>
      <w:pPr>
        <w:spacing w:after="120"/>
      </w:pPr>
      <w:r>
        <w:t xml:space="preserve">Charge Settlement Engine 產出的 Collect Legs，其資金流程仍須通過第五至七節所定義之 Payment Clearing（SUSPENSE）二段式過帳——即 Collect Legs 本質上就是「Dr Customer CA（或其他來源）/ Cr Payment Clearing」與「Dr Payment Clearing / Cr 各費用/GL 科目」這組分錄的具體化，而非另一條獨立於 Payment Clearing 之外的資金路徑。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8.7 架構效益</w:t>
      </w:r>
    </w:p>
    <w:p>
      <w:pPr>
        <w:spacing w:after="80"/>
        <w:ind w:left="400"/>
      </w:pPr>
      <w:r>
        <w:t xml:space="preserve">• Trade Finance 不需了解扣款方式。</w:t>
      </w:r>
    </w:p>
    <w:p>
      <w:pPr>
        <w:spacing w:after="80"/>
        <w:ind w:left="400"/>
      </w:pPr>
      <w:r>
        <w:t xml:space="preserve">• Payment Component 不需知道 Charge 類型，只處理 Collect Legs。</w:t>
      </w:r>
    </w:p>
    <w:p>
      <w:pPr>
        <w:spacing w:after="80"/>
        <w:ind w:left="400"/>
      </w:pPr>
      <w:r>
        <w:t xml:space="preserve">• Charge Settlement Policy 完全由銀行參數控制。</w:t>
      </w:r>
    </w:p>
    <w:p>
      <w:pPr>
        <w:spacing w:after="80"/>
        <w:ind w:left="400"/>
      </w:pPr>
      <w:r>
        <w:t xml:space="preserve">• Advice 呈現與實際扣款方式可獨立設定。</w:t>
      </w:r>
    </w:p>
    <w:p>
      <w:pPr>
        <w:spacing w:after="80"/>
        <w:ind w:left="400"/>
      </w:pPr>
      <w:r>
        <w:t xml:space="preserve">• 可支援多幣別、多國家、多銀行差異化需求。</w:t>
      </w:r>
    </w:p>
    <w:p>
      <w:pPr>
        <w:pStyle w:val="Heading1"/>
        <w:spacing w:after="160" w:before="360"/>
      </w:pPr>
      <w:r>
        <w:rPr>
          <w:b/>
          <w:bCs/>
          <w:sz w:val="28"/>
          <w:szCs w:val="28"/>
        </w:rPr>
        <w:t xml:space="preserve">九、Payment Clearing 過帳順序模式：Cash-First 與 Accrual-First（v4 新增）</w:t>
      </w:r>
    </w:p>
    <w:p>
      <w:pPr>
        <w:spacing w:after="120"/>
      </w:pPr>
      <w:r>
        <w:t xml:space="preserve">實務上，Business Component／Charge Engine 與 Payment Component 對 Payment Clearing 的過帳順序，可能有兩種模式，兩者對 Suspense 未清期間的風險性質有本質差異，設計時必須為每個產品/功能明確宣告採用哪一種模式。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9.1 Cash-First（先收現金、後分攤）</w:t>
      </w:r>
    </w:p>
    <w:p>
      <w:pPr>
        <w:spacing w:after="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Payment Component:   Dr Customer CA          Cr Payment Clearing</w:t>
      </w:r>
    </w:p>
    <w:p>
      <w:pPr>
        <w:spacing w:after="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Charge Settlement:   Dr Payment Clearing     Cr Commission 1...n</w:t>
      </w:r>
    </w:p>
    <w:p>
      <w:pPr>
        <w:spacing w:after="120"/>
      </w:pPr>
      <w:r>
        <w:t xml:space="preserve">特徵：銀行已先取得現金，Payment Clearing 未清期間僅存在「分攤時間差」與「跨幣別重估」風險，無客戶收款風險。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9.2 Accrual-First（先認列費用收入、後收款）</w:t>
      </w:r>
    </w:p>
    <w:p>
      <w:pPr>
        <w:spacing w:after="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Charge Settlement:   Dr Payment Clearing     Cr Commission 1...n</w:t>
      </w:r>
    </w:p>
    <w:p>
      <w:pPr>
        <w:spacing w:after="0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Payment Component:   Dr Customer CA          Cr Payment Clearing</w:t>
      </w:r>
    </w:p>
    <w:p>
      <w:pPr>
        <w:spacing w:after="120"/>
      </w:pPr>
      <w:r>
        <w:t xml:space="preserve">特徵：銀行先認列應收費用收入，Payment Clearing 未清期間額外存在「客戶收款風險（Credit / Collection Risk）」——若扣款失敗，須有對應之應收帳齡與催收流程，不能僅視為單純的分攤時間差。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9.3 設計要求</w:t>
      </w:r>
    </w:p>
    <w:p>
      <w:pPr>
        <w:spacing w:after="80"/>
        <w:ind w:left="400"/>
      </w:pPr>
      <w:r>
        <w:t xml:space="preserve">• 每個產品/功能於 Current/Target 盤點時（見第十一節），須額外標註採用 Cash-First 或 Accrual-First。</w:t>
      </w:r>
    </w:p>
    <w:p>
      <w:pPr>
        <w:spacing w:after="80"/>
        <w:ind w:left="400"/>
      </w:pPr>
      <w:r>
        <w:t xml:space="preserve">• Accrual-First 模式之 Payment Clearing 未清項目，於第十節控管清單中應額外適用「應收帳齡管理」控制。</w:t>
      </w:r>
    </w:p>
    <w:p>
      <w:pPr>
        <w:spacing w:after="80"/>
        <w:ind w:left="400"/>
      </w:pPr>
      <w:r>
        <w:t xml:space="preserve">• 原則上，具客戶違約可能性之情境（例如客戶信用狀況不穩定，或費用金額於事件當下尚未鎖定）不建議採 Accrual-First；已鎖定金額且收款動作可即時觸發者（如 LC Issue 開狀當下同時扣款），Cash-First 與 Accrual-First 皆可採用。</w:t>
      </w:r>
    </w:p>
    <w:p>
      <w:pPr>
        <w:pStyle w:val="Heading1"/>
        <w:spacing w:after="160" w:before="360"/>
      </w:pPr>
      <w:r>
        <w:rPr>
          <w:b/>
          <w:bCs/>
          <w:sz w:val="28"/>
          <w:szCs w:val="28"/>
        </w:rPr>
        <w:t xml:space="preserve">十、Payment Clearing / SUSPENSE 控管要求（v4 擴充）</w:t>
      </w:r>
    </w:p>
    <w:p>
      <w:pPr>
        <w:spacing w:after="120"/>
      </w:pPr>
      <w:r>
        <w:t xml:space="preserve">若採用 Payment Clearing（實作 AccountType = SUSPENSE）作為中介帳戶，正式設計必須同時定義下列財務與稽核控制：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控制項</w:t>
            </w:r>
          </w:p>
        </w:tc>
        <w:tc>
          <w:tcPr>
            <w:tcW w:type="dxa" w:w="6400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建議要求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零餘額原則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正常完成的同一筆 Transaction / Accounting Batch 應使 Payment Clearing 淨額歸零；原則上不應形成長期未清餘額。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Atomic Posting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Step 1 與 Step 2 應優先採同一 Accounting Unit of Work / 原子交易；若技術上無法原子化，必須有明確 Pending / Recovery 狀態。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Partial Failure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若收款已成功但分攤失敗，不可默默留下未解釋 SUSPENSE；應標記 Exception，禁止重複 Debit Customer，並支援 Resume 或 Compensating Reversal。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Reversal / Return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沖正必須按原始 entry reference 對稱回沖，包括 Customer / Nostro、Charges、Margin 及 Clearing。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Reconciliation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每日應對 Payment Clearing 做 transaction-level reconciliation、ageing、unmatched item report 及 escalation。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Cut-off / Day End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若因外部 Settlement 尚未完成而允許跨日餘額，必須定義允許原因、最大 ageing、owner 及日終 GL reporting。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FX Revaluation（v4 新增）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若 Payment Clearing 之 Dr/Cr 兩腳存在跨幣別配對（例如 Margin 收 LC 幣別、Commission 分攤為本地幣別），未清期間須定義評價頻率（如日終）、匯率來源及損益認列規則，不得僅以「零餘額」控管掩蓋 FX 曝險。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覆核 Maker-Checker（v4 新增）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任何允許人工沖銷／調整 Payment Clearing 未清項目，或核准 Compensating Reversal 的操作，須有獨立於原經辦之覆核人員留痕，不得由單一人員完成建立與核准。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應收帳齡管理（v4 新增，Accrual-First 專屬）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採 Accrual-First 模式者，Payment Clearing 未清項目須併入應收帳齡（ageing）管理，逾期未收須觸發催收流程並評估備抵呆帳，不可與 Cash-First 情境下的單純時間差項目混同管理。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sz w:val="28"/>
          <w:szCs w:val="28"/>
        </w:rPr>
        <w:t xml:space="preserve">十一、導入前的 Scope Validation</w:t>
      </w:r>
    </w:p>
    <w:p>
      <w:pPr>
        <w:spacing w:after="120"/>
      </w:pPr>
      <w:r>
        <w:t xml:space="preserve">不建議以「產品」為單位直接宣告全面採用 Payment Component；應以「產品 + 功能 / Event」為最小盤點單位。</w:t>
      </w:r>
    </w:p>
    <w:p>
      <w:pPr>
        <w:spacing w:after="80"/>
        <w:ind w:left="400"/>
      </w:pPr>
      <w:r>
        <w:t xml:space="preserve">• 逐功能確認是否存在真正的 Customer / Nostro 資金移動。</w:t>
      </w:r>
    </w:p>
    <w:p>
      <w:pPr>
        <w:spacing w:after="80"/>
        <w:ind w:left="400"/>
      </w:pPr>
      <w:r>
        <w:t xml:space="preserve">• 若只是純費用 Voucher，且沒有 Customer / Nostro Payment semantics，不應為了統一架構而強行套用 Payment Component。</w:t>
      </w:r>
    </w:p>
    <w:p>
      <w:pPr>
        <w:spacing w:after="80"/>
        <w:ind w:left="400"/>
      </w:pPr>
      <w:r>
        <w:t xml:space="preserve">• 逐項比對現有 Cross-Reference（例如 COMMON-PaymentComponent-Cross-Reference.md）以及實際程式呼叫點。</w:t>
      </w:r>
    </w:p>
    <w:p>
      <w:pPr>
        <w:spacing w:after="80"/>
        <w:ind w:left="400"/>
      </w:pPr>
      <w:r>
        <w:t xml:space="preserve">• 每個候選功能標註 Current / Target / Out-of-Scope，並額外標註 Cash-First 或 Accrual-First 過帳順序（見第九節），列出 file:line 或同等可追溯證據後再估算改造工作量。</w:t>
      </w:r>
    </w:p>
    <w:p>
      <w:pPr>
        <w:pStyle w:val="Heading1"/>
        <w:spacing w:after="160" w:before="360"/>
      </w:pPr>
      <w:r>
        <w:rPr>
          <w:b/>
          <w:bCs/>
          <w:sz w:val="28"/>
          <w:szCs w:val="28"/>
        </w:rPr>
        <w:t xml:space="preserve">十二、建議的產品 / 功能採用矩陣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400"/>
        <w:gridCol w:w="2000"/>
      </w:tblGrid>
      <w:tr>
        <w:tc>
          <w:tcPr>
            <w:tcW w:type="dxa" w:w="2400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產品 / Event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資金特徵</w:t>
            </w:r>
          </w:p>
        </w:tc>
        <w:tc>
          <w:tcPr>
            <w:tcW w:type="dxa" w:w="2400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建議</w:t>
            </w:r>
          </w:p>
        </w:tc>
        <w:tc>
          <w:tcPr>
            <w:tcW w:type="dxa" w:w="2000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典型 Account Endpoint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LC Issue – Charges / Margin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 collect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候選擴展；先確認 migration scope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 C/A → SUSPENSE → Commission / Margin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Import LC Payment / Settlement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 / Nostro movement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適合 Payment Component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 C/A、Nostro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Export Negotiation / EBL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Loan disbursement to exporter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適合 Loan + Payment + Charge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EBL → SUSPENSE → Customer C/A / Charges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Import Bills Financing / IBL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Loan funds foreign settlement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適合 Loan + Payment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IBL → SUSPENSE → Nostro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Guarantee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依功能而定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逐功能確認，不全面套用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 / Nostro only when actual money movement exists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Collection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依功能而定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逐功能確認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 / Nostro for collect / remit events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Pure Charge / Voucher flows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無 Payment semantics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原則上維持 Charge/Voucher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Commission / Fee GL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sz w:val="28"/>
          <w:szCs w:val="28"/>
        </w:rPr>
        <w:t xml:space="preserve">十三、結論與建議</w:t>
      </w:r>
    </w:p>
    <w:p>
      <w:pPr>
        <w:spacing w:after="120"/>
      </w:pPr>
      <w:r>
        <w:t xml:space="preserve">本次審閱意見具實質價值，建議採納。v4 版整合後之核心結論如下：</w:t>
      </w:r>
    </w:p>
    <w:p>
      <w:pPr>
        <w:spacing w:after="80"/>
        <w:ind w:left="400"/>
      </w:pPr>
      <w:r>
        <w:t xml:space="preserve">• 保留「Trade Finance 共用 Payment Component」的方向，文件定位維持為採用範圍擴展，而非分類公式改造。</w:t>
      </w:r>
    </w:p>
    <w:p>
      <w:pPr>
        <w:spacing w:after="80"/>
        <w:ind w:left="400"/>
      </w:pPr>
      <w:r>
        <w:t xml:space="preserve">• 現有 CUSTOMER / NOSTRO XOR 邏輯對本文 Payment Clearing / SUSPENSE 案例已足夠，原則上不需修改。</w:t>
      </w:r>
    </w:p>
    <w:p>
      <w:pPr>
        <w:spacing w:after="80"/>
        <w:ind w:left="400"/>
      </w:pPr>
      <w:r>
        <w:t xml:space="preserve">• LC Issue 明確標示為候選擴展案例，而非既有 Payment Component 使用案例。</w:t>
      </w:r>
    </w:p>
    <w:p>
      <w:pPr>
        <w:spacing w:after="80"/>
        <w:ind w:left="400"/>
      </w:pPr>
      <w:r>
        <w:t xml:space="preserve">• EBL / IBL 的 Loan + Payment 模式值得保留：EBL 通常 Credit Customer C/A；IBL 通常 Credit Nostro。</w:t>
      </w:r>
    </w:p>
    <w:p>
      <w:pPr>
        <w:spacing w:after="80"/>
        <w:ind w:left="400"/>
      </w:pPr>
      <w:r>
        <w:t xml:space="preserve">• Charge Engine 與 Payment Component 的責任明確分離，並新增 Charge Settlement Engine 處理銀行別扣款政策，兩者與 Payment Clearing 流程已明確銜接（第四、八節）。</w:t>
      </w:r>
    </w:p>
    <w:p>
      <w:pPr>
        <w:spacing w:after="80"/>
        <w:ind w:left="400"/>
      </w:pPr>
      <w:r>
        <w:t xml:space="preserve">• 新增 Cash-First / Accrual-First 過帳順序模式，明確區分 Payment Clearing 未清期間是否存在客戶收款風險（第九節）。</w:t>
      </w:r>
    </w:p>
    <w:p>
      <w:pPr>
        <w:spacing w:after="80"/>
        <w:ind w:left="400"/>
      </w:pPr>
      <w:r>
        <w:t xml:space="preserve">• Payment Clearing 若使用 SUSPENSE，須建立零餘額、原子過帳、失敗恢復、沖正、對帳、Cut-off、FX 重估、覆核與應收帳齡管理等九項控制（第十節）。</w:t>
      </w:r>
    </w:p>
    <w:p>
      <w:pPr>
        <w:spacing w:after="80"/>
        <w:ind w:left="400"/>
      </w:pPr>
      <w:r>
        <w:t xml:space="preserve">• 下一步應以產品 + 功能逐項完成 Current/Target cross-reference，並標註過帳順序模式，再決定實際改造範圍與優先順序。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2026-08-07T12:45:10.850Z</dcterms:created>
  <dcterms:modified xsi:type="dcterms:W3CDTF">2026-08-07T12:45:10.850Z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