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900"/>
        <w:jc w:val="center"/>
      </w:pPr>
      <w:r>
        <w:rPr>
          <w:rFonts w:ascii="Arial" w:cs="Arial" w:eastAsia="Arial" w:hAnsi="Arial"/>
          <w:b/>
          <w:bCs/>
          <w:color w:val="17324D"/>
          <w:sz w:val="42"/>
          <w:szCs w:val="42"/>
        </w:rPr>
        <w:t xml:space="preserve">MT2* SR2026 QA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7324D"/>
          <w:sz w:val="34"/>
          <w:szCs w:val="34"/>
        </w:rPr>
        <w:t xml:space="preserve">資料庫與 OpenAPI 改善建議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172B3A"/>
          <w:sz w:val="22"/>
          <w:szCs w:val="22"/>
        </w:rPr>
        <w:t xml:space="preserve">依據：v14 Edition + SWIFT Category 2 MRG（SR2026）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172B3A"/>
          <w:sz w:val="22"/>
          <w:szCs w:val="22"/>
        </w:rPr>
        <w:t xml:space="preserve">測試案例：139；建議 QA Seed：14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9C2B1B"/>
          <w:sz w:val="22"/>
          <w:szCs w:val="22"/>
        </w:rPr>
        <w:t xml:space="preserve">文件用途：BA／QA 審核；不得作為付款指示</w:t>
      </w:r>
    </w:p>
    <w:p>
      <w:pPr>
        <w:spacing w:after="120" w:line="276"/>
        <w:jc w:val="center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版本：v6｜資料快照與來源 SHA-256 已記錄於附件 qa-source-summary.json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7324D"/>
          <w:sz w:val="30"/>
          <w:szCs w:val="30"/>
        </w:rPr>
        <w:t xml:space="preserve">1. 執行摘要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結論：目前資料庫與 OAS 需要改善，才能把 v14 的 MRG 規則轉成可重複、可稽核、可自動化的完整 QA。現有資料可支援部分正向情境，但不足以證明 54a、56a→57a、直接帳戶基數、MT204 mandate/MUG、MT210 notification context 與 COV Sequence B 等重要分支。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本次不直接修改現行 demo DB。另附 14 筆「PROPOSED_QA_ONLY」seed，必須經 BA、資料擁有人及 maker/checker 核准後，才可載入隔離 QA schema。每個資料補充點均配對正向與負向案例，負向案例必須 fail-closed。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pct" w:w="6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現況</w:t>
            </w:r>
          </w:p>
        </w:tc>
      </w:tr>
      <w:tr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測試案例總數</w:t>
            </w:r>
          </w:p>
        </w:tc>
        <w:tc>
          <w:tcPr>
            <w:tcW w:type="pct" w:w="6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139</w:t>
            </w:r>
          </w:p>
        </w:tc>
      </w:tr>
      <w:tr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ACTIVE Bank Counterparty SSI</w:t>
            </w:r>
          </w:p>
        </w:tc>
        <w:tc>
          <w:tcPr>
            <w:tcW w:type="pct" w:w="6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ACTIVE Customer SSI（負向隔離驗證）</w:t>
            </w:r>
          </w:p>
        </w:tc>
        <w:tc>
          <w:tcPr>
            <w:tcW w:type="pct" w:w="6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ACTIVE Own Nostro</w:t>
            </w:r>
          </w:p>
        </w:tc>
        <w:tc>
          <w:tcPr>
            <w:tcW w:type="pct" w:w="6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159</w:t>
            </w:r>
          </w:p>
        </w:tc>
      </w:tr>
      <w:tr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ACTIVE Outbound RMA</w:t>
            </w:r>
          </w:p>
        </w:tc>
        <w:tc>
          <w:tcPr>
            <w:tcW w:type="pct" w:w="6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受控 MRG SHA-256</w:t>
            </w:r>
          </w:p>
        </w:tc>
        <w:tc>
          <w:tcPr>
            <w:tcW w:type="pct" w:w="6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64483D7F7C094DB28E03791AB6BBC7A0522DAEC90487A7DD834228E848FA8323</w:t>
            </w:r>
          </w:p>
        </w:tc>
      </w:tr>
      <w:tr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現行 DB SHA-256</w:t>
            </w:r>
          </w:p>
        </w:tc>
        <w:tc>
          <w:tcPr>
            <w:tcW w:type="pct" w:w="6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undefined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7324D"/>
          <w:sz w:val="25"/>
          <w:szCs w:val="25"/>
        </w:rPr>
        <w:t xml:space="preserve">1.1 Source Fidelity 版本鏈釐清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現行 SQLite 採 WAL 模式。只計算／複製 ssi-demo.sqlite 主檔會漏掉已提交但尚未 checkpoint 的 WAL rows，因此可能在「主檔 SHA-256 相同」時看見不同 row count。v5 先以 SQLite backup API 從 WAL-aware read-only connection 建立一致性 snapshot；後續計數、Excel、JSON 與稽核只使用該不可變 snapshot。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同一 ssiCode 可有多個歷史版本，稽核與匯出必須以 record id + status + version 選取，不得以 ssiCode 第一筆命中。SSI-DEMO-035／041／042 均同時存在 SUPERSEDED v5 與 ACTIVE v9：舊版不含 pacs.009.001.08；ACTIVE v9 已包含。因此 ACTIVE 口徑為缺 .08 共 16/42、缺 ownershipType 共 11/42。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v3 另輸出 snapshot-fidelity-audit.json 與 ssi-duplicate-code-history.audit.json：前者以 DB payload 與匯出 record 的 canonical SHA-256 逐 id 比對；後者保留 rowid、status、version、amendmentOfId、messageTypes 與 raw payload hash。來源 DB SHA-256 必須一併記錄，避免自行驗證同一條加工路徑。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7324D"/>
          <w:sz w:val="30"/>
          <w:szCs w:val="30"/>
        </w:rPr>
        <w:t xml:space="preserve">2. 測試設計原則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測試主鍵不是單一 Message Type，而是「Message Type × MRG 業務場景 × 路由／帳戶條件」。同一個 MT2xx 必須有多個使用場景。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正向案例驗證可解析結果、角色 ownership、欄位省略規則及 MT/MX 一致的 canonical snapshot。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負向案例驗證資料缺漏、幣別／版本／角色不符、必要上游資訊缺失時不得猜測、不得拿鄰近欄位補值。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MX expected Output 目前以 MRG 與 v14 的 canonical agent/route outcome 為 oracle；完整序列化 XML 必須等受控 Translation Portal golden pair。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MT expected Output 為同一 confirmed canonical snapshot 的 compatibility view，必須套用 MT 專屬 mandatory、option、sequence 與 omission rules。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7324D"/>
          <w:sz w:val="25"/>
          <w:szCs w:val="25"/>
        </w:rPr>
        <w:t xml:space="preserve">2.1 58a／MX Cdtr 的輸入與輸出界線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基準：58a 是 Beneficiary Institution（ultimate recipient of the funds）。MT200／201／210 無 58a；MT202／202 COV／203／205／205 COV 為 Mandatory、options A/D；MT204 為 Sequence A Optional、options A/D，若出現則恆為 Sender。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常態 MT202／202 COV 的 58a 來自請求／交易指示並作為 Counterparty SSI 查詢鍵；MT205／205 COV 來自前手 Cat-2 message context。兩者都要 pass-through 到 MT 58a 與 MX Cdtr，缺少上游必要值回 MESSAGE_CONTEXT_MISSING。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四個 MRG 特例：① MT202／202 COV／203 貸記本行在 57a 機構的其中一個帳戶，58A option A = 本行帳號 + Sender BIC；② 同三類電文在同一 Receiver 的兩個本行帳戶間轉帳，53B 指被借記帳戶、58A 指被貸記帳戶 + Sender BIC；③ MT204 的 58a Optional，出現時恆為 Sender；④ 僅 MT205：前手為 MT200/201 時，58a 必須與本電文 52a 完全相同。MT205 COV 不得套用第④條。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Domain router 不可只看 message type。MT202／202 COV／203 必須有 ownAccountSubScenario（CREDIT_ONE_OF_SEVERAL_AT_57A／BOOK_TRANSFER_SAME_RECEIVER）；命中後改走 Own SSI／account master 並完全跳過 Counterparty SSI resolution。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58a 必須原樣出現在 MT :58A: 與 MX CdtTrfTxInf.Cdtr，但它不是 Counterparty SSI 產生的路由值。Counterparty SSI 真正產生的 receiving-route 欄位是 54a／56a／57a；53a 來自 Own SSI／Nostro。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9C2B1B"/>
          <w:sz w:val="20"/>
          <w:szCs w:val="20"/>
        </w:rPr>
        <w:t xml:space="preserve">實作紅線：產生 58a 或 MX Cdtr 時不得讀 SSI.beneficiaryBic。即使現行 demo 資料恰好相等，也只能視為資料巧合；測試已加入故意不相等的 fixture 以防靜默錯填。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7324D"/>
          <w:sz w:val="30"/>
          <w:szCs w:val="30"/>
        </w:rPr>
        <w:t xml:space="preserve">3. 目前阻擋與風險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範圍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現況證據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改善要求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Live Payment Message Index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Current JSON still marks MT200/201/203 selectable and does not implement V14 redirect/not-supported ownership.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Synchronise V14 registry and unit tests before QA execution.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OAS request/response schemas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Settlement and Nostro resolution POST operations have no request body schemas; redirectDomain and V14 codes are absent.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Add complete discriminated request/response/error schemas.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RMA version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No exact ACTIVE outbound RMA fixture for pacs.009.001.08, pacs.010.001.03 or camt.057.001.06.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Seed deterministic SR2026 QA RMA records.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54a source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SSI master has no dedicated Receiver's Correspondent source.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Add receiverCorrespondent fields and branch relationship metadata; never infer from adjacent fields.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Intermediary fixture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All current ACTIVE SSI intermediaryBic values are blank.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Add controlled positive 56a→57a fixtures.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Direct-account cardinality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No model proves single versus multiple Sender↔Receiver accounts per currency.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Add account-relationship/cardinality table with effective dates.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MT204 mandate/MUG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No bilateral mandate, debit-institution account or FIN MUG activation fixture.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Add separate FI_DIRECT_DEBIT domain tables and QA seed.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MT210 context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No notification/account-master fixture for account count and 50a/52a choice.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Add NOTIFICATION context fixture set.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COV upstream payload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No controlled Seq B + 21 + 119:COV + 121/UETR fixture.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Add immutable upstream payload fixture with hashes.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RELEASE GATE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Golden MT↔MX payload pairs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Exact serialized mapping cannot be validated from MRG alone.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Import controlled Translation Portal golden fixtures; until then validate canonical roles only.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SSI exact messageTypes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16/42 ACTIVE SSI do not declare pacs.009.001.08: SSI-DEMO-023, SSI-DEMO-025, SSI-DEMO-026, SSI-DEMO-027, SSI-DEMO-028, SSI-DEMO-029, SSI-DEMO-030, SSI-DEMO-031, SSI-DEMO-032, SSI-DEMO-033, SSI-DEMO-034, SSI-DEMO-036, SSI-DEMO-037, SSI-DEMO-038, SSI-DEMO-039, SSI-DEMO-040.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Treat message type/version as hard filter; never fall forward/back to .12. Repair or retire incompatible records.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SSI → Own Nostro referential integrity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38/42 ACTIVE SSI route.accountId values match no ACTIVE Nostro id/maskedAccountRef/accountId.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Add immutable nostroId foreign key and reject orphaned routes as PROFILE_INCOMPLETE.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Booking entity reachability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68/159 ACTIVE Nostro records omit allowedBookingEntities; BASELINE-HK records can be unreachable from HK01.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Missing key means UNKNOWN/fail-closed, never ANY. Normalise legal-entity and booking-entity keys.</w:t>
            </w:r>
          </w:p>
        </w:tc>
      </w:tr>
      <w:tr>
        <w:tc>
          <w:tcPr>
            <w:tcW w:type="pct" w:w="1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DATA GOVERNANCE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SSI ownership source fidelity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11/42 ACTIVE SSI payloads omit ownershipType; exports preserve the absence.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Do not infer/inject ownership during export; backfill through governed migration or fail PROFILE_INCOMPLETE.</w:t>
            </w:r>
          </w:p>
        </w:tc>
      </w:tr>
    </w:tbl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7324D"/>
          <w:sz w:val="30"/>
          <w:szCs w:val="30"/>
        </w:rPr>
        <w:t xml:space="preserve">4. 建議資料模型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資料實體</w:t>
            </w:r>
          </w:p>
        </w:tc>
        <w:tc>
          <w:tcPr>
            <w:tcW w:type="pct" w:w="7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用途／控制</w:t>
            </w:r>
          </w:p>
        </w:tc>
      </w:tr>
      <w:tr>
        <w:tc>
          <w:tcPr>
            <w:tcW w:type="pct" w:w="2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ssi_route</w:t>
            </w:r>
          </w:p>
        </w:tc>
        <w:tc>
          <w:tcPr>
            <w:tcW w:type="pct" w:w="7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路由主檔；counterparty、currency、booking entity、effective date、priority、status。不得以逗號字串保存多值。</w:t>
            </w:r>
          </w:p>
        </w:tc>
      </w:tr>
      <w:tr>
        <w:tc>
          <w:tcPr>
            <w:tcW w:type="pct" w:w="2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ssi_route_message_type</w:t>
            </w:r>
          </w:p>
        </w:tc>
        <w:tc>
          <w:tcPr>
            <w:tcW w:type="pct" w:w="7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一列一個支援的 message definition / business service；建立唯一鍵及外鍵。</w:t>
            </w:r>
          </w:p>
        </w:tc>
      </w:tr>
      <w:tr>
        <w:tc>
          <w:tcPr>
            <w:tcW w:type="pct" w:w="2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ssi_route_nostro</w:t>
            </w:r>
          </w:p>
        </w:tc>
        <w:tc>
          <w:tcPr>
            <w:tcW w:type="pct" w:w="7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SSI→Own Nostro 明確外鍵（nostroId），不得以自由文字 accountId 嘗試 join；孤兒路由回 PROFILE_INCOMPLETE。</w:t>
            </w:r>
          </w:p>
        </w:tc>
      </w:tr>
      <w:tr>
        <w:tc>
          <w:tcPr>
            <w:tcW w:type="pct" w:w="2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ssi_route_role</w:t>
            </w:r>
          </w:p>
        </w:tc>
        <w:tc>
          <w:tcPr>
            <w:tcW w:type="pct" w:w="7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只保存 SSI 可解析的 canonical route role：53a、54a、56a、57a 及 owner/provenance。58a／Cdtr 不得列為 SSI-derived role。</w:t>
            </w:r>
          </w:p>
        </w:tc>
      </w:tr>
      <w:tr>
        <w:tc>
          <w:tcPr>
            <w:tcW w:type="pct" w:w="2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account_relationship</w:t>
            </w:r>
          </w:p>
        </w:tc>
        <w:tc>
          <w:tcPr>
            <w:tcW w:type="pct" w:w="7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own entity、Receiver、currency、direct flag、eligible account count、account refs、validity；支援單一／多帳戶省略規則。</w:t>
            </w:r>
          </w:p>
        </w:tc>
      </w:tr>
      <w:tr>
        <w:tc>
          <w:tcPr>
            <w:tcW w:type="pct" w:w="2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receiver_correspondent</w:t>
            </w:r>
          </w:p>
        </w:tc>
        <w:tc>
          <w:tcPr>
            <w:tcW w:type="pct" w:w="7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54a 專用來源；Receiver branch 關係與 provenance。不得從 intermediaryBic、country 或 accountWithBic 推導。</w:t>
            </w:r>
          </w:p>
        </w:tc>
      </w:tr>
      <w:tr>
        <w:tc>
          <w:tcPr>
            <w:tcW w:type="pct" w:w="2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fi_direct_debit_mandate</w:t>
            </w:r>
          </w:p>
        </w:tc>
        <w:tc>
          <w:tcPr>
            <w:tcW w:type="pct" w:w="7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MT204 專用：mandate、MUG、debit institution、Sender identity、有效期、狀態。</w:t>
            </w:r>
          </w:p>
        </w:tc>
      </w:tr>
      <w:tr>
        <w:tc>
          <w:tcPr>
            <w:tcW w:type="pct" w:w="2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notification_context</w:t>
            </w:r>
          </w:p>
        </w:tc>
        <w:tc>
          <w:tcPr>
            <w:tcW w:type="pct" w:w="7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MT210 專用：ordering party 類別、50a/52a 二選一、帳戶基數、selected account。</w:t>
            </w:r>
          </w:p>
        </w:tc>
      </w:tr>
      <w:tr>
        <w:tc>
          <w:tcPr>
            <w:tcW w:type="pct" w:w="2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cover_upstream_fixture</w:t>
            </w:r>
          </w:p>
        </w:tc>
        <w:tc>
          <w:tcPr>
            <w:tcW w:type="pct" w:w="7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COV 專用：不可變 Sequence B、119:COV、UETR、內容 hash 與來源。</w:t>
            </w:r>
          </w:p>
        </w:tc>
      </w:tr>
      <w:tr>
        <w:tc>
          <w:tcPr>
            <w:tcW w:type="pct" w:w="2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qa_fixture_registry</w:t>
            </w:r>
          </w:p>
        </w:tc>
        <w:tc>
          <w:tcPr>
            <w:tcW w:type="pct" w:w="72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seed ID、MRG 場景、預期結果版本、source hash、核准人、載入環境、保留期。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所有新表必須具有有效日期、狀態、版本、maker/checker、來源及稽核欄位；路由選擇的硬條件（幣別、狀態、日期、message type、booking entity）必須先於 soft ranking。空白 applicability 應為 UNKNOWN／降級，不得當成通配。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allowedBookingEntities 的缺失 key 必須定義為 UNKNOWN／fail-closed，不能等同明確的 ["ANY"]。ownLegalEntityId 與 bookingEntity 應使用同一受控法人／分行主檔鍵，避免 BASELINE-HK 對 HK01 永遠不可達。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7324D"/>
          <w:sz w:val="30"/>
          <w:szCs w:val="30"/>
        </w:rPr>
        <w:t xml:space="preserve">5. 建議 QA Seed（不直接寫入現行 DB）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Seed ID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適用 MT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MRG 業務場景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QA-NOSTRO-HK01-USD-001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OWN_NOSTRO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MT200,MT202,MT202COV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本行 HK01 單一 USD Nostro／Sender reimbursement source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QA-NOSTRO-HK01-USD-002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OWN_NOSTRO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MT200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本行 HK01 第二個 USD Nostro／multiple-account 53B scenario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QA-REL-CITI-USD-ONE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ACCOUNT_RELATIONSHIP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MT200,MT202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single direct Sender↔Receiver USD account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QA-REL-CITI-USD-MULTI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ACCOUNT_RELATIONSHIP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MT200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multiple direct accounts; MT 53B required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QA-SSI-BARC-USD-INT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COUNTERPARTY_SSI_ROUTE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MT202,MT202COV,MT205,MT205COV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intermediary precedes account-with institution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QA-SSI-DEUT-EUR-54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RECEIVER_CORRESPONDENT_ROUTE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MT202,MT202COV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non-Receiver-branch FI in 54a with explicit provenance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QA-RMA-P009-CORE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RMA_AUTHORISATION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MT202,MT205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SR2026 exact Core RMA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QA-RMA-P009-COV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RMA_AUTHORISATION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MT202COV,MT205COV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SR2026 exact COV RMA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QA-COV-UPSTREAM-001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IMMUTABLE_UPSTREAM_FIXTURE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MT202COV,MT205COV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complete cover Sequence B copied unchanged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QA-MANDATE-204-001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FI_DIRECT_DEBIT_MANDATE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MT204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active bilateral mandate and MUG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QA-RMA-P010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RMA_AUTHORISATION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MT204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SR2026 exact pacs.010 RMA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QA-NOTIFY-210-FI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NOTIFICATION_CONTEXT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MT210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FI ordering party; exactly 52a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QA-NOTIFY-210-CUST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NOTIFICATION_CONTEXT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MT210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customer ordering party; exactly 50a</w:t>
            </w:r>
          </w:p>
        </w:tc>
      </w:tr>
      <w:tr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QA-RMA-C057</w:t>
            </w:r>
          </w:p>
        </w:tc>
        <w:tc>
          <w:tcPr>
            <w:tcW w:type="pct" w:w="25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RMA_AUTHORISATION</w:t>
            </w:r>
          </w:p>
        </w:tc>
        <w:tc>
          <w:tcPr>
            <w:tcW w:type="pct" w:w="2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MT210</w:t>
            </w:r>
          </w:p>
        </w:tc>
        <w:tc>
          <w:tcPr>
            <w:tcW w:type="pct" w:w="30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SR2026 exact camt.057 RMA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完整 seed payload 已輸出於 proposed-qa-seed-data.json。載入後，QA 必須先驗證唯一鍵、外鍵、有效日期、資料 ownership、BIC/clearing identifier 格式與 message profile 相容性。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7324D"/>
          <w:sz w:val="30"/>
          <w:szCs w:val="30"/>
        </w:rPr>
        <w:t xml:space="preserve">6. 正反案例配對的最低要求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正向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反向／資料不足</w:t>
            </w:r>
          </w:p>
        </w:tc>
      </w:tr>
      <w:tr>
        <w:tc>
          <w:tcPr>
            <w:tcW w:type="pct" w:w="2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直接帳戶基數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單一帳戶：依 MRG 省略相應 MT 欄位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基數未知：PROFILE_INCOMPLETE；不得假定單一</w:t>
            </w:r>
          </w:p>
        </w:tc>
      </w:tr>
      <w:tr>
        <w:tc>
          <w:tcPr>
            <w:tcW w:type="pct" w:w="2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MT200 多帳戶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已選 account ref：53B option B，Party Identifier only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未選 account：fail-closed</w:t>
            </w:r>
          </w:p>
        </w:tc>
      </w:tr>
      <w:tr>
        <w:tc>
          <w:tcPr>
            <w:tcW w:type="pct" w:w="2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MT202 / COV 54a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有專用 Receiver correspondent 與 provenance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需要 54a 但無來源：PROFILE_INCOMPLETE；禁止旁推</w:t>
            </w:r>
          </w:p>
        </w:tc>
      </w:tr>
      <w:tr>
        <w:tc>
          <w:tcPr>
            <w:tcW w:type="pct" w:w="2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56a→57a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Intermediary 與 AWI 均存在且順序正確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只有 56a、無 57a：C81 失敗</w:t>
            </w:r>
          </w:p>
        </w:tc>
      </w:tr>
      <w:tr>
        <w:tc>
          <w:tcPr>
            <w:tcW w:type="pct" w:w="2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RMA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exact message definition + business service + direction 有效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只有其他版本或 service：RMA_NOT_AUTHORISED</w:t>
            </w:r>
          </w:p>
        </w:tc>
      </w:tr>
      <w:tr>
        <w:tc>
          <w:tcPr>
            <w:tcW w:type="pct" w:w="2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COV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Sequence B 完整且 hash/UETR 保留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Sequence B 缺失：MESSAGE_CONTEXT_MISSING</w:t>
            </w:r>
          </w:p>
        </w:tc>
      </w:tr>
      <w:tr>
        <w:tc>
          <w:tcPr>
            <w:tcW w:type="pct" w:w="2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MT204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有效 mandate + MUG + debit institution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mandate 無效／缺失：PROFILE_INCOMPLETE</w:t>
            </w:r>
          </w:p>
        </w:tc>
      </w:tr>
      <w:tr>
        <w:tc>
          <w:tcPr>
            <w:tcW w:type="pct" w:w="2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MT210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party type 明確，恰有 50a 或 52a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兩者皆有／皆無／type 缺失：C06 或 context error</w:t>
            </w:r>
          </w:p>
        </w:tc>
      </w:tr>
      <w:tr>
        <w:tc>
          <w:tcPr>
            <w:tcW w:type="pct" w:w="2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Counterparty ownership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Bank SSI 只供 receiving route roles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Customer SSI 或 Own Nostro 不得被拿來頂替 Counterparty role</w:t>
            </w:r>
          </w:p>
        </w:tc>
      </w:tr>
      <w:tr>
        <w:tc>
          <w:tcPr>
            <w:tcW w:type="pct" w:w="2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58a／Cdtr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MT202/COV 由 request pass-through；MT205/COV 由 upstream context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缺值回 MESSAGE_CONTEXT_MISSING；禁止讀 SSI.beneficiaryBic 補值</w:t>
            </w:r>
          </w:p>
        </w:tc>
      </w:tr>
      <w:tr>
        <w:tc>
          <w:tcPr>
            <w:tcW w:type="pct" w:w="2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MT205 前手 MT200/201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58a 與本電文 52a 完全相同</w:t>
            </w:r>
          </w:p>
        </w:tc>
        <w:tc>
          <w:tcPr>
            <w:tcW w:type="pct" w:w="3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只限 MT205；MT205 COV 不得重用此斷言</w:t>
            </w:r>
          </w:p>
        </w:tc>
      </w:tr>
    </w:tbl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7324D"/>
          <w:sz w:val="30"/>
          <w:szCs w:val="30"/>
        </w:rPr>
        <w:t xml:space="preserve">7. OpenAPI 改善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為 message-index、resolve、resolve-batch、clearing-options、confirm 提供完整 requestBody / response schema，並與實際 controller 對齊。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所有 API response 均必含 redirectDomain，型別為 nullable enum：OWN_SSI_NOSTRO、FI_DIRECT_DEBIT、NOTIFICATION；不得省略欄位代表 null。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以 discriminator 表達 scenario/domain，不得由顯示文字解析；sourceMessageType 與 target message definition 必須分開。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公開 v14 代碼契約、HTTP 行為、FIELD_OUTCOME 與 API_ERROR 區分，並包含 PROFILE_INCOMPLETE、MESSAGE_CONTEXT_MISSING、RMA_NOT_AUTHORISED 等。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回應應包含 chosen SSI/Nostro/RMA 版本、provenance、excluded route reason、snapshot hash、resolution token 與 evidence gates。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MT/MX response format 只改 rendering，不得重新解析、改 route、改 RMA 或改 confirmed snapshot。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請求／canonical context 增加 ownAccountSubScenario；MT202／202 COV／203 命中自有帳戶子場景時跳過 Counterparty SSI lookup，並回傳 provenance。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所有銀行角色的 request property 採 &lt;role&gt;BankServiceId；response 回 resolvedBic、bankServiceVersion、directoryEvidence。5x tags 與 MX elements 僅可 read-only preview。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商品代碼 XAU／XAG／XPD／XPT 的拒絕具有雙重依據：MT Cat 2 NVR C08，以及 CBPR+ pacs.009 Core R16／COV R17；CURRENCY_NOT_SUPPORTED 的契約與測試須同時列出兩側依據。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7324D"/>
          <w:sz w:val="25"/>
          <w:szCs w:val="25"/>
        </w:rPr>
        <w:t xml:space="preserve">7.1 參數驅動 UI 與 OOP／OOD／SOLID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Message Scenario Index 必須由版本化參數 registry 提供，UI 透過 Index API 取得 message type、MRG sub-scenario、欄位順序、visible/required/read-only、提示文字及 MT/MX renderer options；頁面不可硬編碼四個特例。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BeneficiarySourceStrategy 分為 RequestPassThrough、OwnAccount、SenderIdentity、UpstreamContext、Upstream52AEquivalence；新增場景時擴充 strategy/parameter，不修改共同 resolver 主流程（Open/Closed）。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RouteResolutionPolicy 只解析 53a/54a/56a/57a；Beneficiary policy 管 58a/Cdtr；MRG validator 管 mandatory/option/sequence/NVR；MT/MX renderer 只讀 confirmed canonical snapshot（Single Responsibility）。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策略介面只暴露場景需要的最小契約，Own SSI、Counterparty SSI、Account Master、Message Context repository 分開注入（Interface Segregation / Dependency Inversion）。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所有 message/scenario 組合使用同一 reusable test factory 與 golden assertion library，禁止 copy/paste 測試或頁面元件。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所有使用者可選銀行角色只傳 Bank Service ID；BIC Code、銀行名稱、國別及 directory version 由 Bank Service snapshot 解析並以 read-only 顯示。API 禁止 counterpartyBic／intermediaryBic／accountWithBic／receiverCorrespondentBic 等自由文字輸入。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上游 message context、SSI、Nostro 中的 BIC 是受控資料，不是畫面手工輸入；Bank Service 無效或停用時 fail-closed，不可提供自由文字 fallback。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9C2B1B"/>
          <w:sz w:val="20"/>
          <w:szCs w:val="20"/>
        </w:rPr>
        <w:t xml:space="preserve">品質閘門：SonarQube（Docker）duplicated lines density 必須 &lt; 1%；同時維持 test coverage &gt; 95%。超標不得以排除新檔案、改動測試資料或複製 wrapper 規避。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7324D"/>
          <w:sz w:val="30"/>
          <w:szCs w:val="30"/>
        </w:rPr>
        <w:t xml:space="preserve">8. 遷移與驗收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SQLite 證據硬規則：①任何計數／雜湊／匯出前，先以 backup API 建立一致性 snapshot；② verifier 啟動時讀 PRAGMA journal_mode，若輸入是 WAL 主檔則直接 FAIL_CLOSED；③分發時只允許 snapshot，或 main + -wal + -shm 三檔作為原子證據集。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pct" w:w="4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工作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17324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出口條件</w:t>
            </w:r>
          </w:p>
        </w:tc>
      </w:tr>
      <w:tr>
        <w:tc>
          <w:tcPr>
            <w:tcW w:type="pct" w:w="1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1. 契約凍結</w:t>
            </w:r>
          </w:p>
        </w:tc>
        <w:tc>
          <w:tcPr>
            <w:tcW w:type="pct" w:w="4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BA 核准 v14、scenario、code、redirectDomain、ownership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OAS lint 通過；範例 request/response 可執行</w:t>
            </w:r>
          </w:p>
        </w:tc>
      </w:tr>
      <w:tr>
        <w:tc>
          <w:tcPr>
            <w:tcW w:type="pct" w:w="1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2. QA schema</w:t>
            </w:r>
          </w:p>
        </w:tc>
        <w:tc>
          <w:tcPr>
            <w:tcW w:type="pct" w:w="4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建立隔離表與 14 筆 seed；不修改 production/demo baseline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seed hash、maker/checker、清理腳本與資料字典齊備</w:t>
            </w:r>
          </w:p>
        </w:tc>
      </w:tr>
      <w:tr>
        <w:tc>
          <w:tcPr>
            <w:tcW w:type="pct" w:w="1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3. Resolver 修正</w:t>
            </w:r>
          </w:p>
        </w:tc>
        <w:tc>
          <w:tcPr>
            <w:tcW w:type="pct" w:w="4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硬條件先篩選；UNKNOWN 不通配；canonical role validation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正反案例全部通過；無跨 ownership 補值</w:t>
            </w:r>
          </w:p>
        </w:tc>
      </w:tr>
      <w:tr>
        <w:tc>
          <w:tcPr>
            <w:tcW w:type="pct" w:w="1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4. Golden mapping</w:t>
            </w:r>
          </w:p>
        </w:tc>
        <w:tc>
          <w:tcPr>
            <w:tcW w:type="pct" w:w="4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導入受控 Translation Portal MT↔MX golden pair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完整 XML/tag diff 零未解釋差異</w:t>
            </w:r>
          </w:p>
        </w:tc>
      </w:tr>
      <w:tr>
        <w:tc>
          <w:tcPr>
            <w:tcW w:type="pct" w:w="1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5. Release gate</w:t>
            </w:r>
          </w:p>
        </w:tc>
        <w:tc>
          <w:tcPr>
            <w:tcW w:type="pct" w:w="48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自動化 139 案例、資料漂移、OAS contract test、SonarQube Docker</w:t>
            </w:r>
          </w:p>
        </w:tc>
        <w:tc>
          <w:tcPr>
            <w:tcW w:type="pct" w:w="34%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8"/>
                <w:szCs w:val="18"/>
              </w:rPr>
              <w:t xml:space="preserve">MRG_VERIFIED + TRANSLATION_TEST_PASSED + PROFILE_VERIFIED；coverage &gt;95%；duplicate &lt;1%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驗收最低條件：所有正向案例成功；所有資料不足案例使用明確結果碼 fail-closed；任何角色不可由錯誤 ownership 的記錄補值；同一輸入在 MT/MX 切換時 resolution token、route 與 snapshot hash 不變。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7324D"/>
          <w:sz w:val="30"/>
          <w:szCs w:val="30"/>
        </w:rPr>
        <w:t xml:space="preserve">9. 附件與使用限制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MT2XX_測試案例_SSI與NOSTRO_v6.xlsx：139 個案例，第一頁固定五欄；另含 Message Scenario Index 與 Evidence Controls。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ssi-demo.consistent-snapshot.sqlite：包含建立當下 main DB + WAL 可見 committed state 的一致性 QA snapshot。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independent-snapshot-export-verification.json：第二支 verifier 獨立重開 snapshot、Excel 與 JSON 的逐 id／逐欄 diff 結果。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swift-data-service.v1.current.json：現行 OAS 原樣快照。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nostro-active.current.json、ssi-bank-counterparty-active.current.json、ssi-customer-active-negative.current.json、rma-active-outbound.current.json：現況資料快照。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proposed-qa-seed-data.json：建議補充資料，只供 QA，尚未寫入任何 DB。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Arial" w:cs="Arial" w:eastAsia="Arial" w:hAnsi="Arial"/>
          <w:b w:val="false"/>
          <w:bCs w:val="false"/>
          <w:color w:val="172B3A"/>
          <w:sz w:val="20"/>
          <w:szCs w:val="20"/>
        </w:rPr>
        <w:t xml:space="preserve">所有資料均為 synthetic prototype data，不得作為真實付款、RMA 或結算指示。</w:t>
      </w:r>
    </w:p>
    <w:sectPr>
      <w:footerReference w:type="default" r:id="rId7"/>
      <w:pgSz w:w="11906" w:h="16838" w:orient="portrait"/>
      <w:pgMar w:top="900" w:right="820" w:bottom="90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color w:val="172B3A"/>
        <w:sz w:val="20"/>
        <w:szCs w:val="20"/>
      </w:rPr>
      <w:t xml:space="preserve">MT2 SR2026 QA｜內部 BA／QA 審核｜第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17324D"/>
      <w:sz w:val="42"/>
      <w:szCs w:val="42"/>
    </w:rPr>
  </w:style>
  <w:style w:type="paragraph" w:styleId="Heading1">
    <w:name w:val="Heading 1"/>
    <w:basedOn w:val="Normal"/>
    <w:next w:val="Normal"/>
    <w:pPr>
      <w:keepNext/>
      <w:spacing w:after="100" w:before="280"/>
    </w:pPr>
    <w:rPr>
      <w:rFonts w:ascii="Arial" w:cs="Arial" w:eastAsia="Arial" w:hAnsi="Arial"/>
      <w:b/>
      <w:bCs/>
      <w:color w:val="17324D"/>
      <w:sz w:val="30"/>
      <w:szCs w:val="30"/>
    </w:rPr>
  </w:style>
  <w:style w:type="paragraph" w:styleId="Heading2">
    <w:name w:val="Heading 2"/>
    <w:basedOn w:val="Normal"/>
    <w:next w:val="Normal"/>
    <w:pPr>
      <w:keepNext/>
      <w:spacing w:after="80" w:before="220"/>
    </w:pPr>
    <w:rPr>
      <w:rFonts w:ascii="Arial" w:cs="Arial" w:eastAsia="Arial" w:hAnsi="Arial"/>
      <w:b/>
      <w:bCs/>
      <w:color w:val="17324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2026-09-10T15:04:57.586Z</dcterms:created>
  <dcterms:modified xsi:type="dcterms:W3CDTF">2026-09-10T15:04:57.586Z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