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1e3a5f"/>
          <w:sz w:val="52"/>
          <w:szCs w:val="52"/>
          <w:rtl w:val="0"/>
        </w:rPr>
        <w:t xml:space="preserve">LC Payment Web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200" w:lineRule="auto"/>
        <w:jc w:val="center"/>
        <w:rPr/>
      </w:pPr>
      <w:r w:rsidDel="00000000" w:rsidR="00000000" w:rsidRPr="00000000">
        <w:rPr>
          <w:color w:val="1d4ed8"/>
          <w:sz w:val="32"/>
          <w:szCs w:val="32"/>
          <w:rtl w:val="0"/>
        </w:rPr>
        <w:t xml:space="preserve">用户手册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00" w:lineRule="auto"/>
        <w:jc w:val="center"/>
        <w:rPr/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设计理念 · 构建流程 · 在 HTML、React、Vue 与 Angular 中使用 · 后端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600" w:lineRule="auto"/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项目：lc-payment-wc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1. 简介</w:t>
      </w:r>
    </w:p>
    <w:p w:rsidR="00000000" w:rsidDel="00000000" w:rsidP="00000000" w:rsidRDefault="00000000" w:rsidRPr="00000000" w14:paraId="00000009">
      <w:pPr>
        <w:spacing w:after="160" w:lineRule="auto"/>
        <w:rPr/>
      </w:pPr>
      <w:r w:rsidDel="00000000" w:rsidR="00000000" w:rsidRPr="00000000">
        <w:rPr>
          <w:rtl w:val="0"/>
        </w:rPr>
        <w:t xml:space="preserve">本手册记录了 LC（信用证，Letter of Credit）Payment Web Components：一组共十个与框架无关的 UI 组件，一次构建即可在纯 HTML、React、Vue 或 Angular 中复用，无需重写任何组件逻辑。</w:t>
      </w:r>
    </w:p>
    <w:p w:rsidR="00000000" w:rsidDel="00000000" w:rsidP="00000000" w:rsidRDefault="00000000" w:rsidRPr="00000000" w14:paraId="0000000A">
      <w:pPr>
        <w:spacing w:after="160" w:lineRule="auto"/>
        <w:rPr/>
      </w:pPr>
      <w:r w:rsidDel="00000000" w:rsidR="00000000" w:rsidRPr="00000000">
        <w:rPr>
          <w:rtl w:val="0"/>
        </w:rPr>
        <w:t xml:space="preserve">这些组件覆盖九个银行业务场景 —— 进口信用证（A1–A4）和出口信用证（B1–B5）—— 以及一个用于会计分录的共享显示组件。每个组件都是一个自包含的表单，会调用后端计算 API 并渲染由此产生的会计分录。</w:t>
      </w:r>
    </w:p>
    <w:p w:rsidR="00000000" w:rsidDel="00000000" w:rsidP="00000000" w:rsidRDefault="00000000" w:rsidRPr="00000000" w14:paraId="0000000B">
      <w:pPr>
        <w:spacing w:after="160" w:lineRule="auto"/>
        <w:rPr/>
      </w:pPr>
      <w:r w:rsidDel="00000000" w:rsidR="00000000" w:rsidRPr="00000000">
        <w:rPr>
          <w:rtl w:val="0"/>
        </w:rPr>
        <w:t xml:space="preserve">本文档说明：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组件背后的设计理念（为什么将其构建为原生 Web Components）。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如何将这些组件构建为可分发的打包产物。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如何在 HTML、React、Vue 和 Angular 中使用该打包产物。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 后端（server.js）如何同时提供计算 API 和独立演示页面。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设计理念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2.1 基于 W3C 自定义元素（Custom Elements）标准构建</w:t>
      </w:r>
    </w:p>
    <w:p w:rsidR="00000000" w:rsidDel="00000000" w:rsidP="00000000" w:rsidRDefault="00000000" w:rsidRPr="00000000" w14:paraId="00000012">
      <w:pPr>
        <w:spacing w:after="160" w:lineRule="auto"/>
        <w:rPr/>
      </w:pPr>
      <w:r w:rsidDel="00000000" w:rsidR="00000000" w:rsidRPr="00000000">
        <w:rPr>
          <w:rtl w:val="0"/>
        </w:rPr>
        <w:t xml:space="preserve">每个组件都是一个纯 JavaScript/TypeScript 类，它继承浏览器原生的 HTMLElement，并通过 customElements.define(tag, class) 向浏览器注册自身。组件源文件内部任何地方都没有导入 Angular、React 或 Vue 的 API。</w:t>
      </w:r>
    </w:p>
    <w:tbl>
      <w:tblPr>
        <w:tblStyle w:val="Table1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export class LcIssueElement extends HTMLElement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constructor() { super(); this._shadow = this.attachShadow({ mode: 'open' });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connectedCallback() { this._draw();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private _draw() { this._shadow.innerHTML = `...`;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customElements.define('lc-issue-payment', LcIssueElement);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  <w:t xml:space="preserve">因为这是浏览器标准（而非框架抽象），生成的标签 —— 例如 &lt;lc-issue-payment&gt; —— 的行为与任何其他 HTML 元素完全一样：可以用 document.createElement 创建、用 innerHTML 插入，或直接写在标记中；并且无论周围页面由哪个框架（如果有的话）管理，其行为都完全一致。</w:t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2.2 使用 Shadow DOM 实现样式隔离</w:t>
      </w:r>
    </w:p>
    <w:p w:rsidR="00000000" w:rsidDel="00000000" w:rsidP="00000000" w:rsidRDefault="00000000" w:rsidRPr="00000000" w14:paraId="0000001B">
      <w:pPr>
        <w:spacing w:after="160" w:lineRule="auto"/>
        <w:rPr/>
      </w:pPr>
      <w:r w:rsidDel="00000000" w:rsidR="00000000" w:rsidRPr="00000000">
        <w:rPr>
          <w:rtl w:val="0"/>
        </w:rPr>
        <w:t xml:space="preserve">每个元素在其构造函数中调用 attachShadow({ mode: 'open' })，并在该 shadow root 内渲染自身的标记和一个 &lt;style&gt; 块。这意味着：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组件的 CSS 绝不会泄漏到宿主页面，宿主页面的 CSS 也绝不会渗入并破坏组件。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使用方无需链接任何外部样式表 —— 每个组件在视觉上都是 100% 自包含的。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可以在同一个页面上放置多个组件，或同一组件的多个实例，且不会产生任何样式冲突。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2.3 以属性驱动的数据契约</w:t>
      </w:r>
    </w:p>
    <w:p w:rsidR="00000000" w:rsidDel="00000000" w:rsidP="00000000" w:rsidRDefault="00000000" w:rsidRPr="00000000" w14:paraId="00000020">
      <w:pPr>
        <w:spacing w:after="160" w:lineRule="auto"/>
        <w:rPr/>
      </w:pPr>
      <w:r w:rsidDel="00000000" w:rsidR="00000000" w:rsidRPr="00000000">
        <w:rPr>
          <w:rtl w:val="0"/>
        </w:rPr>
        <w:t xml:space="preserve">Web Components 通过 HTML 属性（字符串）与外界通信，而不是通过特定框架的对象 props。共享的 &lt;journal-entry&gt; 组件是最清晰的例子 —— 它只接受一个属性 entries，其中包含一个 JSON 编码的数组：</w:t>
      </w:r>
    </w:p>
    <w:tbl>
      <w:tblPr>
        <w:tblStyle w:val="Table2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&lt;journal-entry entries='[{"leg":"Dr","account":"CA-001","ccy":"USD","amount":100000,...}]'&gt;&lt;/journal-entry&gt;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Rule="auto"/>
        <w:rPr/>
      </w:pPr>
      <w:r w:rsidDel="00000000" w:rsidR="00000000" w:rsidRPr="00000000">
        <w:rPr>
          <w:rtl w:val="0"/>
        </w:rPr>
        <w:t xml:space="preserve">该元素的 attributeChangedCallback 会在属性变化时重新解析 JSON 并重新渲染。正是这种基于字符串的契约使得这些组件极易移植：在 HTML、React、Vue 和 Angular 中，设置属性都是完全相同的操作。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2.4 自包含的业务逻辑，调用共享后端</w:t>
      </w:r>
    </w:p>
    <w:p w:rsidR="00000000" w:rsidDel="00000000" w:rsidP="00000000" w:rsidRDefault="00000000" w:rsidRPr="00000000" w14:paraId="00000024">
      <w:pPr>
        <w:spacing w:after="160" w:lineRule="auto"/>
        <w:rPr/>
      </w:pPr>
      <w:r w:rsidDel="00000000" w:rsidR="00000000" w:rsidRPr="00000000">
        <w:rPr>
          <w:rtl w:val="0"/>
        </w:rPr>
        <w:t xml:space="preserve">九个业务场景组件（A1–A4、B1–B5）中的每一个都拥有自己的表单状态，在每次状态变化时通过内部的 _draw() 方法重新渲染自身，并在用户提交表单时用 fetch('/api/...') 调用后端计算 API（参见第 5 节）。通用的辅助功能 —— 货币格式化、DDA 账户查询表、费用/付款网格渲染器，以及一个带类型的 ApiService 封装 —— 都位于一个共享模块（web-components/shared.ts）中，供每个组件导入。</w:t>
      </w:r>
    </w:p>
    <w:p w:rsidR="00000000" w:rsidDel="00000000" w:rsidP="00000000" w:rsidRDefault="00000000" w:rsidRPr="00000000" w14:paraId="00000025">
      <w:pPr>
        <w:pStyle w:val="Heading2"/>
        <w:rPr/>
      </w:pPr>
      <w:r w:rsidDel="00000000" w:rsidR="00000000" w:rsidRPr="00000000">
        <w:rPr>
          <w:rtl w:val="0"/>
        </w:rPr>
        <w:t xml:space="preserve">2.5 组件目录</w:t>
      </w:r>
    </w:p>
    <w:p w:rsidR="00000000" w:rsidDel="00000000" w:rsidP="00000000" w:rsidRDefault="00000000" w:rsidRPr="00000000" w14:paraId="00000026">
      <w:pPr>
        <w:spacing w:after="160" w:lineRule="auto"/>
        <w:rPr/>
      </w:pPr>
      <w:r w:rsidDel="00000000" w:rsidR="00000000" w:rsidRPr="00000000">
        <w:rPr>
          <w:rtl w:val="0"/>
        </w:rPr>
        <w:t xml:space="preserve">进口信用证场景：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00"/>
        <w:gridCol w:w="3200"/>
        <w:gridCol w:w="2750"/>
        <w:tblGridChange w:id="0">
          <w:tblGrid>
            <w:gridCol w:w="900"/>
            <w:gridCol w:w="2500"/>
            <w:gridCol w:w="32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标签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源文件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&lt;lc-issue-payment&gt;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import/lc-issue.element.ts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进口信用证开证 —— 保证金、手续费与 SWIFT 费用计算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&lt;lc-import-settlement&gt;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import/lc-settlement.element.ts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进口信用证结算（即期 / 远期）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&lt;lc-sight-payment&gt;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import/lc-sight-payment.element.ts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进口信用证即期付款（IBL 登记）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&lt;lc-sight-settlement&gt;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import/lc-sight-settlement.element.ts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进口信用证即期结算（IBL → 客户）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/>
      </w:pPr>
      <w:r w:rsidDel="00000000" w:rsidR="00000000" w:rsidRPr="00000000">
        <w:rPr>
          <w:rtl w:val="0"/>
        </w:rPr>
        <w:t xml:space="preserve">出口信用证场景：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00"/>
        <w:gridCol w:w="3200"/>
        <w:gridCol w:w="2750"/>
        <w:tblGridChange w:id="0">
          <w:tblGrid>
            <w:gridCol w:w="900"/>
            <w:gridCol w:w="2500"/>
            <w:gridCol w:w="32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标签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源文件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&lt;lc-export-advise&gt;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export/lc-advise.element.ts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出口信用证通知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&lt;lc-export-confirmed&gt;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export/lc-confirmed.element.ts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出口信用证保兑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&lt;lc-export-nego&gt;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export/lc-nego.element.ts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出口信用证议付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&lt;lc-export-settlement&gt;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export/lc-settlement.element.ts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出口信用证结算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&lt;lc-export-collection&gt;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export/lc-collection.element.ts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出口信用证托收（无 EBL 的结算）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Rule="auto"/>
        <w:rPr/>
      </w:pPr>
      <w:r w:rsidDel="00000000" w:rsidR="00000000" w:rsidRPr="00000000">
        <w:rPr>
          <w:rtl w:val="0"/>
        </w:rPr>
        <w:t xml:space="preserve">共享显示组件：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00"/>
        <w:gridCol w:w="3200"/>
        <w:gridCol w:w="2750"/>
        <w:tblGridChange w:id="0">
          <w:tblGrid>
            <w:gridCol w:w="900"/>
            <w:gridCol w:w="2500"/>
            <w:gridCol w:w="320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代码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标签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源文件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说明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sz w:val="18"/>
                <w:szCs w:val="18"/>
                <w:rtl w:val="0"/>
              </w:rPr>
              <w:t xml:space="preserve">&lt;journal-entry&gt;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journal-entry.element.ts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共享的借/贷分录表格 —— 纯显示，完全由其 `entries` 属性驱动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160" w:lineRule="auto"/>
        <w:rPr/>
      </w:pPr>
      <w:r w:rsidDel="00000000" w:rsidR="00000000" w:rsidRPr="00000000">
        <w:rPr>
          <w:i w:val="1"/>
          <w:iCs w:val="1"/>
          <w:color w:val="6b7280"/>
          <w:sz w:val="18"/>
          <w:szCs w:val="18"/>
          <w:rtl w:val="0"/>
        </w:rPr>
        <w:t xml:space="preserve">所有源文件都位于 src/app/web-components/ 下，通过 web-components/index.ts 的副作用导入一并注册。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3. 构建流程</w:t>
      </w:r>
    </w:p>
    <w:p w:rsidR="00000000" w:rsidDel="00000000" w:rsidP="00000000" w:rsidRDefault="00000000" w:rsidRPr="00000000" w14:paraId="00000062">
      <w:pPr>
        <w:pStyle w:val="Heading2"/>
        <w:rPr/>
      </w:pPr>
      <w:r w:rsidDel="00000000" w:rsidR="00000000" w:rsidRPr="00000000">
        <w:rPr>
          <w:rtl w:val="0"/>
        </w:rPr>
        <w:t xml:space="preserve">3.1 为什么需要独立的构建</w:t>
      </w:r>
    </w:p>
    <w:p w:rsidR="00000000" w:rsidDel="00000000" w:rsidP="00000000" w:rsidRDefault="00000000" w:rsidRPr="00000000" w14:paraId="00000063">
      <w:pPr>
        <w:spacing w:after="160" w:lineRule="auto"/>
        <w:rPr/>
      </w:pPr>
      <w:r w:rsidDel="00000000" w:rsidR="00000000" w:rsidRPr="00000000">
        <w:rPr>
          <w:rtl w:val="0"/>
        </w:rPr>
        <w:t xml:space="preserve">组件源代码位于一个 Angular CLI 工作区内（这是为了开发时方便 —— 位于 localhost:4200 的 Angular 应用会将 web-components/index.ts 作为副作用导入，以便为自己的演示界面注册这些标签）。然而，运行 ng build 会将这些组件与完整的 Angular 运行时（Angular core、Router、zone.js）打包在一起，而纯 HTML/React/Vue 的使用方本不应该需要下载这些内容。</w:t>
      </w:r>
    </w:p>
    <w:p w:rsidR="00000000" w:rsidDel="00000000" w:rsidP="00000000" w:rsidRDefault="00000000" w:rsidRPr="00000000" w14:paraId="00000064">
      <w:pPr>
        <w:spacing w:after="160" w:lineRule="auto"/>
        <w:rPr/>
      </w:pPr>
      <w:r w:rsidDel="00000000" w:rsidR="00000000" w:rsidRPr="00000000">
        <w:rPr>
          <w:rtl w:val="0"/>
        </w:rPr>
        <w:t xml:space="preserve">为了产出一个真正与框架无关的产物，这些组件使用 esbuild 单独打包，只以 web-components/index.ts 为入口，依赖图中完全不包含任何 Angular 代码。</w:t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3.2 构建脚本</w:t>
      </w:r>
    </w:p>
    <w:p w:rsidR="00000000" w:rsidDel="00000000" w:rsidP="00000000" w:rsidRDefault="00000000" w:rsidRPr="00000000" w14:paraId="00000066">
      <w:pPr>
        <w:spacing w:after="160" w:lineRule="auto"/>
        <w:rPr/>
      </w:pPr>
      <w:r w:rsidDel="00000000" w:rsidR="00000000" w:rsidRPr="00000000">
        <w:rPr>
          <w:rtl w:val="0"/>
        </w:rPr>
        <w:t xml:space="preserve">scripts/build-wc.mjs 将入口点打包两次，输出两种格式，并将演示页面一并复制到旁边：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00"/>
        <w:gridCol w:w="1400"/>
        <w:gridCol w:w="5050"/>
        <w:tblGridChange w:id="0">
          <w:tblGrid>
            <w:gridCol w:w="2900"/>
            <w:gridCol w:w="1400"/>
            <w:gridCol w:w="5050"/>
          </w:tblGrid>
        </w:tblGridChange>
      </w:tblGrid>
      <w:tr>
        <w:trPr>
          <w:cantSplit w:val="0"/>
          <w:tblHeader w:val="1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输出文件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格式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dist/wc/lc-payment-wc.js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IIFE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可直接用于纯 HTML 的 &lt;script src="..."&gt; 标签 —— 使用方无需任何构建步骤或打包工具。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dist/wc/lc-payment-wc.esm.js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ES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在已经拥有自己打包工具（Vite、Webpack 等）的 React 或 Vue 应用中通过 import '...' 引入。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dist/wc/index.html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从 demo/index.html 复制而来 —— 一个演示全部十个组件的独立演示页面。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rPr/>
      </w:pPr>
      <w:r w:rsidDel="00000000" w:rsidR="00000000" w:rsidRPr="00000000">
        <w:rPr>
          <w:rtl w:val="0"/>
        </w:rPr>
        <w:t xml:space="preserve">3.3 运行构建</w:t>
      </w:r>
    </w:p>
    <w:tbl>
      <w:tblPr>
        <w:tblStyle w:val="Table7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npm run build:wc     # one-off build → dist/wc/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npm run watch:wc     # rebuilds on file save, for local development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60" w:lineRule="auto"/>
        <w:rPr/>
      </w:pPr>
      <w:r w:rsidDel="00000000" w:rsidR="00000000" w:rsidRPr="00000000">
        <w:rPr>
          <w:rtl w:val="0"/>
        </w:rPr>
        <w:t xml:space="preserve">两个打包产物都经过压缩，目标为 ES2020（所有现代常青浏览器），并附带用于调试的 source map。打包体积约为 75 KB —— 不包含 Angular、不包含 zone.js，也不包含任何其他运行时。</w:t>
      </w:r>
    </w:p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3.4 分发打包产物</w:t>
      </w:r>
    </w:p>
    <w:p w:rsidR="00000000" w:rsidDel="00000000" w:rsidP="00000000" w:rsidRDefault="00000000" w:rsidRPr="00000000" w14:paraId="00000078">
      <w:pPr>
        <w:spacing w:after="160" w:lineRule="auto"/>
        <w:rPr/>
      </w:pPr>
      <w:r w:rsidDel="00000000" w:rsidR="00000000" w:rsidRPr="00000000">
        <w:rPr>
          <w:rtl w:val="0"/>
        </w:rPr>
        <w:t xml:space="preserve">要在另一个应用（一个独立的 React、Vue 或纯 HTML 项目）中使用这些组件，只需将 dist/wc/lc-payment-wc.js（或其 .esm.js 变体）复制到该项目中 —— 或将其发布到共享的静态托管服务 / CDN / 内部 npm 包 —— 并按第 4 节所示引用它即可。组件源代码本身永远无需被复制或重写。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rPr/>
      </w:pPr>
      <w:r w:rsidDel="00000000" w:rsidR="00000000" w:rsidRPr="00000000">
        <w:rPr>
          <w:rtl w:val="0"/>
        </w:rPr>
        <w:t xml:space="preserve">4. 使用 Web Components</w:t>
      </w:r>
    </w:p>
    <w:p w:rsidR="00000000" w:rsidDel="00000000" w:rsidP="00000000" w:rsidRDefault="00000000" w:rsidRPr="00000000" w14:paraId="0000007B">
      <w:pPr>
        <w:spacing w:after="160" w:lineRule="auto"/>
        <w:rPr/>
      </w:pPr>
      <w:r w:rsidDel="00000000" w:rsidR="00000000" w:rsidRPr="00000000">
        <w:rPr>
          <w:rtl w:val="0"/>
        </w:rPr>
        <w:t xml:space="preserve">同一个打包产物无需修改，就能在下面所有四种环境中以完全相同的方式使用 —— 仅有加载脚本和传递属性的语法略有不同。</w:t>
      </w:r>
    </w:p>
    <w:p w:rsidR="00000000" w:rsidDel="00000000" w:rsidP="00000000" w:rsidRDefault="00000000" w:rsidRPr="00000000" w14:paraId="0000007C">
      <w:pPr>
        <w:pStyle w:val="Heading2"/>
        <w:rPr/>
      </w:pPr>
      <w:r w:rsidDel="00000000" w:rsidR="00000000" w:rsidRPr="00000000">
        <w:rPr>
          <w:rtl w:val="0"/>
        </w:rPr>
        <w:t xml:space="preserve">4.1 纯 HTML</w:t>
      </w:r>
    </w:p>
    <w:p w:rsidR="00000000" w:rsidDel="00000000" w:rsidP="00000000" w:rsidRDefault="00000000" w:rsidRPr="00000000" w14:paraId="0000007D">
      <w:pPr>
        <w:spacing w:after="160" w:lineRule="auto"/>
        <w:rPr/>
      </w:pPr>
      <w:r w:rsidDel="00000000" w:rsidR="00000000" w:rsidRPr="00000000">
        <w:rPr>
          <w:rtl w:val="0"/>
        </w:rPr>
        <w:t xml:space="preserve">用一个普通的 &lt;script&gt; 标签加载 IIFE 打包产物；这些标签随后即可在页面的任何位置使用，无需任何构建工具：</w:t>
      </w:r>
    </w:p>
    <w:tbl>
      <w:tblPr>
        <w:tblStyle w:val="Table8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&lt;!doctype html&gt;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&lt;html&gt;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&lt;lc-issue-payment&gt;&lt;/lc-issue-payment&gt;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&lt;lc-export-advise&gt;&lt;/lc-export-advise&gt;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&lt;script src="./lc-payment-wc.js"&gt;&lt;/script&gt;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&lt;/body&gt;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160" w:lineRule="auto"/>
        <w:rPr/>
      </w:pPr>
      <w:r w:rsidDel="00000000" w:rsidR="00000000" w:rsidRPr="00000000">
        <w:rPr>
          <w:rtl w:val="0"/>
        </w:rPr>
        <w:t xml:space="preserve">这正是 demo/index.html（第 5 节）的工作方式，也是在浏览器中快速检验该打包产物的最快方法。</w:t>
      </w:r>
    </w:p>
    <w:p w:rsidR="00000000" w:rsidDel="00000000" w:rsidP="00000000" w:rsidRDefault="00000000" w:rsidRPr="00000000" w14:paraId="00000088">
      <w:pPr>
        <w:pStyle w:val="Heading2"/>
        <w:rPr/>
      </w:pPr>
      <w:r w:rsidDel="00000000" w:rsidR="00000000" w:rsidRPr="00000000">
        <w:rPr>
          <w:rtl w:val="0"/>
        </w:rPr>
        <w:t xml:space="preserve">4.2 React</w:t>
      </w:r>
    </w:p>
    <w:p w:rsidR="00000000" w:rsidDel="00000000" w:rsidP="00000000" w:rsidRDefault="00000000" w:rsidRPr="00000000" w14:paraId="00000089">
      <w:pPr>
        <w:spacing w:after="160" w:lineRule="auto"/>
        <w:rPr/>
      </w:pPr>
      <w:r w:rsidDel="00000000" w:rsidR="00000000" w:rsidRPr="00000000">
        <w:rPr>
          <w:rtl w:val="0"/>
        </w:rPr>
        <w:t xml:space="preserve">只需导入一次 ESM 打包产物（例如在应用的入口文件中）以触发其注册副作用，然后即可在 JSX 中直接使用这些标签。React 会将无法识别的 JSX 属性原样作为 DOM 属性传递，这与组件以属性驱动的契约完全吻合：</w:t>
      </w:r>
    </w:p>
    <w:tbl>
      <w:tblPr>
        <w:tblStyle w:val="Table9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import './lc-payment-wc.esm.js';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function App()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const entries = JSON.stringify([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{ leg: 'Dr', account: 'CA-001', accountType: 'CA', ccy: 'USD', amount: 100000, amountTwd: 3250000, description: 'Margin'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return 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&lt;&gt;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  &lt;lc-issue-payment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  &lt;journal-entry entries={entries} 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&lt;/&gt;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rtl w:val="0"/>
        </w:rPr>
        <w:t xml:space="preserve">关于较旧版本 React（18 及更早）的说明：React 已经会将未知的 props 转为小写并当作属性处理，因此像 entries 这样的字符串/JSON 属性无需任何额外封装即可工作。如果未来某个组件需要以 property（属性对象）而非 string attribute（字符串属性）的形式接收非字符串（对象/数组）值，可以使用 ref 并以命令式方式设置该属性（el.current.someProp = value）—— 当前目录中的任何组件都不需要这样做。</w:t>
      </w:r>
    </w:p>
    <w:p w:rsidR="00000000" w:rsidDel="00000000" w:rsidP="00000000" w:rsidRDefault="00000000" w:rsidRPr="00000000" w14:paraId="00000098">
      <w:pPr>
        <w:pStyle w:val="Heading2"/>
        <w:rPr/>
      </w:pPr>
      <w:r w:rsidDel="00000000" w:rsidR="00000000" w:rsidRPr="00000000">
        <w:rPr>
          <w:rtl w:val="0"/>
        </w:rPr>
        <w:t xml:space="preserve">4.3 Vue</w:t>
      </w:r>
    </w:p>
    <w:p w:rsidR="00000000" w:rsidDel="00000000" w:rsidP="00000000" w:rsidRDefault="00000000" w:rsidRPr="00000000" w14:paraId="00000099">
      <w:pPr>
        <w:spacing w:after="160" w:lineRule="auto"/>
        <w:rPr/>
      </w:pPr>
      <w:r w:rsidDel="00000000" w:rsidR="00000000" w:rsidRPr="00000000">
        <w:rPr>
          <w:rtl w:val="0"/>
        </w:rPr>
        <w:t xml:space="preserve">导入同一个 ESM 打包产物，并通过 isCustomElement 告诉 Vue 编译器将 lc-* 和 journal-entry 标签视为原生自定义元素，而不是未解析的 Vue 组件：</w:t>
      </w:r>
    </w:p>
    <w:tbl>
      <w:tblPr>
        <w:tblStyle w:val="Table10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// vite.config.js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import vue from '@vitejs/plugin-vue';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export default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plugins: [vue({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template: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  compilerOptions: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    isCustomElement: (tag) =&gt; tag.startsWith('lc-') || tag === 'journal-entry',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})],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&lt;!-- App.vue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&lt;script setup&gt;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import './lc-payment-wc.esm.js';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import { ref } from 'vue';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const entries = ref(JSON.stringify([{ leg: 'Dr', account: 'CA-001', ccy: 'USD', amount: 100000, amountTwd: 3250000 }]));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&lt;/script&gt;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&lt;template&gt;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&lt;lc-export-advise&gt;&lt;/lc-export-advise&gt;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&lt;journal-entry :entries="entries"&gt;&lt;/journal-entry&gt;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&lt;/template&gt;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2"/>
        <w:rPr/>
      </w:pPr>
      <w:r w:rsidDel="00000000" w:rsidR="00000000" w:rsidRPr="00000000">
        <w:rPr>
          <w:rtl w:val="0"/>
        </w:rPr>
        <w:t xml:space="preserve">4.4 Angular</w:t>
      </w:r>
    </w:p>
    <w:p w:rsidR="00000000" w:rsidDel="00000000" w:rsidP="00000000" w:rsidRDefault="00000000" w:rsidRPr="00000000" w14:paraId="000000B2">
      <w:pPr>
        <w:spacing w:after="160" w:lineRule="auto"/>
        <w:rPr/>
      </w:pPr>
      <w:r w:rsidDel="00000000" w:rsidR="00000000" w:rsidRPr="00000000">
        <w:rPr>
          <w:rtl w:val="0"/>
        </w:rPr>
        <w:t xml:space="preserve">本项目自身的界面 —— features/lc-payment/ —— 就是这一模式的一个真实、可运行的示例，而非假设。它是将这些组件嵌入任何 Angular 应用的参考实现。三个要素是：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将 web-components/index.ts 作为副作用导入一次，使每个 customElements.define(...) 调用都在模板渲染之前执行。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在任何模板中使用这些标签的组件的 @Component 装饰器上添加 schemas: [CUSTOM_ELEMENTS_SCHEMA] —— 这会告诉 Angular 的模板编译器允许未知元素，而不是抛出 "is not a known element" 错误。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在组件的 HTML 模板中直接使用这些标签，与纯 HTML 中完全一样 —— Angular 的 *ngIf / *ngFor 结构型指令可以正常地围绕它们工作，因为在 Angular 看来它们只是普通的 DOM 元素。</w:t>
      </w:r>
    </w:p>
    <w:p w14:paraId="797877D2" w14:textId="77777777" w:rsidR="00E5136B" w:rsidRDefault="00000000">
      <w:pPr>
        <w:spacing w:after="160"/>
      </w:pPr>
      <w:r>
        <w:t>该界面后来新增了第三个顶层标签页 —— Payment Component Simulator（付款组件模拟器）—— 它完全不属于这十个组件；而是一个原生的 Formly/Angular 组件（&lt;app-business-case-runner&gt;），与另一个独立的微服务通信。下方的代码示例是包含该标签页接线的当前文件；第 6 节完整说明了该模拟器本身。</w:t>
      </w:r>
    </w:p>
    <w:p w:rsidR="00000000" w:rsidDel="00000000" w:rsidP="00000000" w:rsidRDefault="00000000" w:rsidRPr="00000000" w14:paraId="000000B6">
      <w:pPr>
        <w:pStyle w:val="Heading3"/>
        <w:rPr/>
      </w:pPr>
      <w:r w:rsidDel="00000000" w:rsidR="00000000" w:rsidRPr="00000000">
        <w:rPr>
          <w:rtl w:val="0"/>
        </w:rPr>
        <w:t xml:space="preserve">4.4.1 组件类 —— src/app/features/lc-payment/lc-payment.component.ts</w:t>
      </w:r>
    </w:p>
    <w:p w:rsidR="00000000" w:rsidDel="00000000" w:rsidP="00000000" w:rsidRDefault="00000000" w:rsidRPr="00000000" w14:paraId="000000B7">
      <w:pPr>
        <w:spacing w:after="160" w:lineRule="auto"/>
        <w:rPr/>
      </w:pPr>
      <w:r w:rsidDel="00000000" w:rsidR="00000000" w:rsidRPr="00000000">
        <w:rPr>
          <w:rtl w:val="0"/>
        </w:rPr>
        <w:t xml:space="preserve">以下是该文件的完整、未修改内容：</w:t>
      </w:r>
    </w:p>
    <w:tbl>
      <w:tblPr>
        <w:tblStyle w:val="Table11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14:paraId="76D68DB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import { Component, CUSTOM_ELEMENTS_SCHEMA, OnInit } from '@angular/core';</w:t>
            </w:r>
          </w:p>
          <w:p w14:paraId="0625BCF8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import { CommonModule } from '@angular/common';</w:t>
            </w:r>
          </w:p>
          <w:p w14:paraId="59A4941D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11EA0157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// Register all LC Payment web components as a side-effect</w:t>
            </w:r>
          </w:p>
          <w:p w14:paraId="3234C63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import '../../web-components/index';</w:t>
            </w:r>
          </w:p>
          <w:p w14:paraId="485CE87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import { BusinessCaseRunnerComponent } from '../../payment-component/business-case-runner.component';</w:t>
            </w:r>
          </w:p>
          <w:p w14:paraId="2425DCE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2913418D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type ImportTab = 'issue' | 'settlement' | 'sight-payment' | 'sight-settlement';</w:t>
            </w:r>
          </w:p>
          <w:p w14:paraId="31ACF27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type ExportTab = 'advise' | 'confirmed' | 'nego' | 'settlement' | 'collection';</w:t>
            </w:r>
          </w:p>
          <w:p w14:paraId="6B704081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type MainTab   = 'import' | 'export' | 'payment-component';</w:t>
            </w:r>
          </w:p>
          <w:p w14:paraId="7B854197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656F7064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@Component({</w:t>
            </w:r>
          </w:p>
          <w:p w14:paraId="70AC42B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selector: 'app-lc-payment',</w:t>
            </w:r>
          </w:p>
          <w:p w14:paraId="7A58958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standalone: true,</w:t>
            </w:r>
          </w:p>
          <w:p w14:paraId="0FE89F20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imports: [CommonModule, BusinessCaseRunnerComponent],</w:t>
            </w:r>
          </w:p>
          <w:p w14:paraId="7F96F8B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templateUrl: './lc-payment.component.html',</w:t>
            </w:r>
          </w:p>
          <w:p w14:paraId="6EEA0B6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styleUrls: ['./lc-payment.component.scss'],</w:t>
            </w:r>
          </w:p>
          <w:p w14:paraId="06C84E7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schemas: [CUSTOM_ELEMENTS_SCHEMA],</w:t>
            </w:r>
          </w:p>
          <w:p w14:paraId="1F6CFEEF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})</w:t>
            </w:r>
          </w:p>
          <w:p w14:paraId="1DDE48BB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export class LcPaymentComponent implements OnInit {</w:t>
            </w:r>
          </w:p>
          <w:p w14:paraId="3975F5F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activeTab: MainTab   = 'import';</w:t>
            </w:r>
          </w:p>
          <w:p w14:paraId="74B71AFB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importTab: ImportTab = 'issue';</w:t>
            </w:r>
          </w:p>
          <w:p w14:paraId="2F1BFC17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exportTab: ExportTab = 'advise';</w:t>
            </w:r>
          </w:p>
          <w:p w14:paraId="413A43E0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143765B2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readonly importTabs: { id: ImportTab; label: string }[] = [</w:t>
            </w:r>
          </w:p>
          <w:p w14:paraId="0137CCC2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'issue',            label: 'LC Issue'           },</w:t>
            </w:r>
          </w:p>
          <w:p w14:paraId="23A35EEE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'settlement',       label: 'Settlement'         },</w:t>
            </w:r>
          </w:p>
          <w:p w14:paraId="5405A00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'sight-payment',    label: 'Sight Payment'      },</w:t>
            </w:r>
          </w:p>
          <w:p w14:paraId="5F7B1D3F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'sight-settlement', label: 'Sight Settlement'   },</w:t>
            </w:r>
          </w:p>
          <w:p w14:paraId="4E96F218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];</w:t>
            </w:r>
          </w:p>
          <w:p w14:paraId="060A394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3A8A5CA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readonly exportTabs: { id: ExportTab; label: string }[] = [</w:t>
            </w:r>
          </w:p>
          <w:p w14:paraId="5AD9BEE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'advise',     label: 'LC Advise'    },</w:t>
            </w:r>
          </w:p>
          <w:p w14:paraId="127EAAA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'confirmed',  label: 'Confirmed'    },</w:t>
            </w:r>
          </w:p>
          <w:p w14:paraId="6C35EC76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'nego',       label: 'Negotiation'  },</w:t>
            </w:r>
          </w:p>
          <w:p w14:paraId="1F3D1D89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'settlement', label: 'Settlement'   },</w:t>
            </w:r>
          </w:p>
          <w:p w14:paraId="5DB3FB1F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{ id: 'collection', label: 'On Collection' },</w:t>
            </w:r>
          </w:p>
          <w:p w14:paraId="62F6E728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];</w:t>
            </w:r>
          </w:p>
          <w:p w14:paraId="718374D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0906DF37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ngOnInit(): void {}</w:t>
            </w:r>
          </w:p>
          <w:p w14:paraId="1BDE206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61FF573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setMainTab(tab: MainTab): void {</w:t>
            </w:r>
          </w:p>
          <w:p w14:paraId="277D3074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this.activeTab = tab;</w:t>
            </w:r>
          </w:p>
          <w:p w14:paraId="65A593A1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}</w:t>
            </w:r>
          </w:p>
          <w:p w14:paraId="33BBB0C1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2E8A5D9D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setImportTab(tab: ImportTab): void {</w:t>
            </w:r>
          </w:p>
          <w:p w14:paraId="10F6D796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this.importTab = tab;</w:t>
            </w:r>
          </w:p>
          <w:p w14:paraId="3EAABC5A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}</w:t>
            </w:r>
          </w:p>
          <w:p w14:paraId="50A00C29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75441D70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setExportTab(tab: ExportTab): void {</w:t>
            </w:r>
          </w:p>
          <w:p w14:paraId="2BA19F22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this.exportTab = tab;</w:t>
            </w:r>
          </w:p>
          <w:p w14:paraId="731989C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}</w:t>
            </w:r>
          </w:p>
          <w:p w14:paraId="72DAAA97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E4">
      <w:pPr>
        <w:spacing w:after="160" w:lineRule="auto"/>
        <w:rPr/>
      </w:pPr>
      <w:r w:rsidDel="00000000" w:rsidR="00000000" w:rsidRPr="00000000">
        <w:rPr>
          <w:rtl w:val="0"/>
        </w:rPr>
        <w:t xml:space="preserve">类体之上的所有内容都是第 4.4 节所述的 Web Components 接线（导入、schema）；类体内部的所有内容则是用于驱动标签栏的普通 Angular 状态 —— 与组件本身毫无关系。</w:t>
      </w:r>
    </w:p>
    <w:p w:rsidR="00000000" w:rsidDel="00000000" w:rsidP="00000000" w:rsidRDefault="00000000" w:rsidRPr="00000000" w14:paraId="000000E5">
      <w:pPr>
        <w:pStyle w:val="Heading3"/>
        <w:rPr/>
      </w:pPr>
      <w:r w:rsidDel="00000000" w:rsidR="00000000" w:rsidRPr="00000000">
        <w:rPr>
          <w:rtl w:val="0"/>
        </w:rPr>
        <w:t xml:space="preserve">4.4.2 模板 —— src/app/features/lc-payment/lc-payment.component.html</w:t>
      </w:r>
    </w:p>
    <w:p w:rsidR="00000000" w:rsidDel="00000000" w:rsidP="00000000" w:rsidRDefault="00000000" w:rsidRPr="00000000" w14:paraId="000000E6">
      <w:pPr>
        <w:spacing w:after="160" w:lineRule="auto"/>
        <w:rPr/>
      </w:pPr>
      <w:r w:rsidDel="00000000" w:rsidR="00000000" w:rsidRPr="00000000">
        <w:rPr>
          <w:rtl w:val="0"/>
        </w:rPr>
        <w:t xml:space="preserve">Angular 负责页面框架（页眉、标签栏、由 *ngIf 控制的标签切换）；每个标签页主体恰好是一个 Web Component 标签，与第 2.5 节的目录相对应：</w:t>
      </w:r>
    </w:p>
    <w:tbl>
      <w:tblPr>
        <w:tblStyle w:val="Table12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&lt;!-- Import Sub-tab Content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&lt;div class="component-wrapper"&gt;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&lt;!-- A1: LC Issue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*ngIf="importTab === 'issue'"&gt;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&lt;lc-issue-payment&gt;&lt;/lc-issue-payment&gt;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&lt;!-- A2: Settlement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*ngIf="importTab === 'settlement'"&gt;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&lt;lc-import-settlement&gt;&lt;/lc-import-settlement&gt;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&lt;!-- A3: Sight Payment (IBL)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*ngIf="importTab === 'sight-payment'"&gt;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&lt;lc-sight-payment&gt;&lt;/lc-sight-payment&gt;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&lt;!-- A4: Sight Settlement (IBL → Customer)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*ngIf="importTab === 'sight-settlement'"&gt;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  &lt;lc-sight-settlement&gt;&lt;/lc-sight-settlement&gt;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&lt;!-- Export Sub-tab Content — same pattern, one tag per B1–B5 scenario --&gt;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&lt;div class="component-wrapper"&gt;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*ngIf="exportTab === 'advise'"&gt;     &lt;lc-export-advise&gt;&lt;/lc-export-advise&gt;     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*ngIf="exportTab === 'confirmed'"&gt;  &lt;lc-export-confirmed&gt;&lt;/lc-export-confirmed&gt;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*ngIf="exportTab === 'nego'"&gt;        &lt;lc-export-nego&gt;&lt;/lc-export-nego&gt;            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*ngIf="exportTab === 'settlement'"&gt; &lt;lc-export-settlement&gt;&lt;/lc-export-settlement&gt;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&lt;div *ngIf="exportTab === 'collection'"&gt; &lt;lc-export-collection&gt;&lt;/lc-export-collection&gt; &lt;/div&gt;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&lt;/div&gt;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lineRule="auto"/>
        <w:rPr/>
      </w:pPr>
      <w:r w:rsidDel="00000000" w:rsidR="00000000" w:rsidRPr="00000000">
        <w:rPr>
          <w:rtl w:val="0"/>
        </w:rPr>
        <w:t xml:space="preserve">Angular 的 property/attribute 绑定语法在这些标签上的作用方式与普通属性相同：[attr.entries]="entriesJson" 或普通的 entries="..." 都会设置组件读取的底层属性 —— 与第 4.2–4.3 节中的 React 或 Vue 并无不同。</w:t>
      </w:r>
    </w:p>
    <w:p w14:paraId="378A2283" w14:textId="77777777" w:rsidR="00E5136B" w:rsidRDefault="00000000">
      <w:pPr>
        <w:spacing w:after="160"/>
      </w:pPr>
      <w:r>
        <w:t>同一个模板中还有第三个分支 *ngIf="activeTab === 'payment-component'"，其内容是一个非 Web Component 标签 &lt;app-business-case-runner&gt;&lt;/app-business-case-runner&gt; —— 参见第 6 节。</w:t>
      </w:r>
    </w:p>
    <w:p w:rsidR="00000000" w:rsidDel="00000000" w:rsidP="00000000" w:rsidRDefault="00000000" w:rsidRPr="00000000" w14:paraId="00000108">
      <w:pPr>
        <w:pStyle w:val="Heading3"/>
        <w:rPr/>
      </w:pPr>
      <w:r w:rsidDel="00000000" w:rsidR="00000000" w:rsidRPr="00000000">
        <w:rPr>
          <w:rtl w:val="0"/>
        </w:rPr>
        <w:t xml:space="preserve">4.4.3 在运行中的应用里验证</w:t>
      </w:r>
    </w:p>
    <w:p w:rsidR="00000000" w:rsidDel="00000000" w:rsidP="00000000" w:rsidRDefault="00000000" w:rsidRPr="00000000" w14:paraId="00000109">
      <w:pPr>
        <w:spacing w:after="160" w:lineRule="auto"/>
        <w:rPr/>
      </w:pPr>
      <w:r w:rsidDel="00000000" w:rsidR="00000000" w:rsidRPr="00000000">
        <w:rPr>
          <w:rtl w:val="0"/>
        </w:rPr>
        <w:t xml:space="preserve">这不仅仅是源代码 —— 它就是 Angular 开发服务器实际交付的内容。抓取由 ng serve（localhost:4200）提供的、经过编译并按需懒加载的代码块并进行搜索，可以确认全部十个 customElements.define(...) 调用和 CUSTOM_ELEMENTS_SCHEMA 标志都存在于发送到浏览器的实时 JavaScript 中，与上面接线的方式完全一致。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4.5 小结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00"/>
        <w:gridCol w:w="2700"/>
        <w:gridCol w:w="4850"/>
        <w:tblGridChange w:id="0">
          <w:tblGrid>
            <w:gridCol w:w="1800"/>
            <w:gridCol w:w="2700"/>
            <w:gridCol w:w="4850"/>
          </w:tblGrid>
        </w:tblGridChange>
      </w:tblGrid>
      <w:tr>
        <w:trPr>
          <w:cantSplit w:val="0"/>
          <w:tblHeader w:val="1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环境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使用的打包产物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所需的额外步骤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纯 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lc-payment-wc.js (IIFE)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无 —— 只需一个 &lt;script&gt; 标签。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lc-payment-wc.esm.js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无 —— 未知的 JSX 标签会作为 DOM 元素直接透传。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Vue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lc-payment-wc.esm.js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在 Vue 编译器选项中注册 isCustomElement。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Angular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lc-payment-wc.esm.js 或源码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在使用方的 @Component 中添加 CUSTOM_ELEMENTS_SCHEMA。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r w:rsidDel="00000000" w:rsidR="00000000" w:rsidRPr="00000000">
        <w:rPr>
          <w:rtl w:val="0"/>
        </w:rPr>
        <w:t xml:space="preserve">5. 后端访问 —— server.js</w:t>
      </w:r>
    </w:p>
    <w:p w:rsidR="00000000" w:rsidDel="00000000" w:rsidP="00000000" w:rsidRDefault="00000000" w:rsidRPr="00000000" w14:paraId="0000011C">
      <w:pPr>
        <w:spacing w:after="160" w:lineRule="auto"/>
        <w:rPr/>
      </w:pPr>
      <w:r w:rsidDel="00000000" w:rsidR="00000000" w:rsidRPr="00000000">
        <w:rPr>
          <w:rtl w:val="0"/>
        </w:rPr>
        <w:t xml:space="preserve">backend/server.js 是一个小型 Express 应用，承担两项工作：（1）在 REST API 背后运行 LC 会计计算；（2）为独立演示静态托管已构建的 Web Components 打包产物。它监听 3001 端口。这只是完整应用所依赖的两个后端之一 —— Payment Component Simulator（第 6 节）会与另一个独立的微服务通信，运行在 3000 端口，详见第 6.4 节。</w:t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rtl w:val="0"/>
        </w:rPr>
        <w:t xml:space="preserve">5.1 中间件配置</w:t>
      </w:r>
    </w:p>
    <w:tbl>
      <w:tblPr>
        <w:tblStyle w:val="Table14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const express = require('express');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const cors = require('cors');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const path = require('path');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const app = express();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app.use(cors());          // allow requests from any origin (e.g. ng serve on :4200)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app.use(express.json());  // parse JSON request bodies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app.use('/demo', express.static(path.join(__dirname, '..', 'dist', 'wc')));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cors() —— 计算 API 会被运行在不同端口（4200）的 Angular 开发服务器调用，也可能被其他使用方应用调用，因此对所有来源开放 CORS。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express.json() —— 每个计算端点都以 JSON POST 请求体的形式接收其表单数据；该中间件会将其解析到 req.body 中。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挂载在 /demo 上的 express.static(...) —— 将 dist/wc/ 下的每个文件（Web Components 的构建输出）作为静态资源提供到 /demo 路径下。请求 /demo/ 或 /demo（不带文件名）会自动提供 dist/wc/index.html，独立演示页面正是通过这种方式在以下地址访问：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ee0000"/>
          <w:sz w:val="21"/>
          <w:szCs w:val="21"/>
          <w:u w:val="none"/>
          <w:shd w:fill="auto" w:val="clear"/>
          <w:vertAlign w:val="baseline"/>
          <w:rtl w:val="0"/>
        </w:rPr>
        <w:t xml:space="preserve">http://localhost:3001/demo/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。</w:t>
      </w:r>
    </w:p>
    <w:p w:rsidR="00000000" w:rsidDel="00000000" w:rsidP="00000000" w:rsidRDefault="00000000" w:rsidRPr="00000000" w14:paraId="0000012A">
      <w:pPr>
        <w:pStyle w:val="Heading2"/>
        <w:rPr/>
      </w:pPr>
      <w:r w:rsidDel="00000000" w:rsidR="00000000" w:rsidRPr="00000000">
        <w:rPr>
          <w:rtl w:val="0"/>
        </w:rPr>
        <w:t xml:space="preserve">5.2 为什么演示页面必须由后端提供</w:t>
      </w:r>
    </w:p>
    <w:p w:rsidR="00000000" w:rsidDel="00000000" w:rsidP="00000000" w:rsidRDefault="00000000" w:rsidRPr="00000000" w14:paraId="0000012B">
      <w:pPr>
        <w:spacing w:after="160" w:lineRule="auto"/>
        <w:rPr/>
      </w:pPr>
      <w:r w:rsidDel="00000000" w:rsidR="00000000" w:rsidRPr="00000000">
        <w:rPr>
          <w:rtl w:val="0"/>
        </w:rPr>
        <w:t xml:space="preserve">组件使用相对路径 fetch('/api/...') 进行调用，该路径会相对页面自身的来源（origin）解析。如果将 dist/wc/index.html 作为本地文件（file://）直接打开，或从一个单独的静态服务器打开，/api/... 会被解析到错误的来源（或没有来源），因此即使组件本身能正确渲染，计算按钮也会失败。由同一个暴露 /api/... 的 Express 应用来提供演示页面，可让二者处于同一来源（http://localhost:3001）之下，因此相对 fetch 无需任何额外配置即可工作。</w:t>
      </w:r>
    </w:p>
    <w:p w:rsidR="00000000" w:rsidDel="00000000" w:rsidP="00000000" w:rsidRDefault="00000000" w:rsidRPr="00000000" w14:paraId="0000012C">
      <w:pPr>
        <w:pStyle w:val="Heading2"/>
        <w:rPr/>
      </w:pPr>
      <w:r w:rsidDel="00000000" w:rsidR="00000000" w:rsidRPr="00000000">
        <w:rPr>
          <w:rtl w:val="0"/>
        </w:rPr>
        <w:t xml:space="preserve">5.3 计算 API</w:t>
      </w:r>
    </w:p>
    <w:p w:rsidR="00000000" w:rsidDel="00000000" w:rsidP="00000000" w:rsidRDefault="00000000" w:rsidRPr="00000000" w14:paraId="0000012D">
      <w:pPr>
        <w:spacing w:after="160" w:lineRule="auto"/>
        <w:rPr/>
      </w:pPr>
      <w:r w:rsidDel="00000000" w:rsidR="00000000" w:rsidRPr="00000000">
        <w:rPr>
          <w:rtl w:val="0"/>
        </w:rPr>
        <w:t xml:space="preserve">每个业务场景组件都会将其表单数据 POST 到一个专用端点，并收到一个 JournalResult：一个借/贷会计分录数组、一个 summary 对象、所用的外汇汇率，以及一个时间戳。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0"/>
        <w:gridCol w:w="5300"/>
        <w:gridCol w:w="2650"/>
        <w:tblGridChange w:id="0">
          <w:tblGrid>
            <w:gridCol w:w="1400"/>
            <w:gridCol w:w="5300"/>
            <w:gridCol w:w="2650"/>
          </w:tblGrid>
        </w:tblGridChange>
      </w:tblGrid>
      <w:tr>
        <w:trPr>
          <w:cantSplit w:val="0"/>
          <w:tblHeader w:val="1"/>
        </w:trPr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方法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路径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5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场景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/api/fx/rates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 w:rsidR="00E5136B" w14:paraId="58C27DEE" w14:textId="77777777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3BCE8" w14:textId="77777777" w:rsidR="00E5136B" w:rsidRDefault="00000000"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53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D0B24" w14:textId="77777777" w:rsidR="00E5136B" w:rsidRDefault="00000000">
            <w:r>
              <w:rPr>
                <w:sz w:val="18"/>
                <w:szCs w:val="18"/>
              </w:rPr>
              <w:t xml:space="preserve">/api/currencies</w:t>
            </w:r>
          </w:p>
        </w:tc>
        <w:tc>
          <w:tcPr>
            <w:tcW w:w="26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DA9B0" w14:textId="77777777" w:rsidR="00E5136B" w:rsidRDefault="00000000"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/api/import/issue/calc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/api/import/settlement/calc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/api/import/sight-payment/calc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/api/import/sight-settlement/calc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/api/export/advise/calc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/api/export/confirmed/calc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/api/export/nego/calc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/api/export/settlement/calc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8fafc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/api/export/collection/calc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Rule="auto"/>
        <w:rPr/>
      </w:pPr>
      <w:r w:rsidDel="00000000" w:rsidR="00000000" w:rsidRPr="00000000">
        <w:rPr>
          <w:rtl w:val="0"/>
        </w:rPr>
        <w:t xml:space="preserve">A1（进口信用证开证）的请求/响应示例：</w:t>
      </w:r>
    </w:p>
    <w:tbl>
      <w:tblPr>
        <w:tblStyle w:val="Table16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POST /api/import/issue/calc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Content-Type: application/json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{ "lcAmount": 100000, "lcCurrency": "USD", "marginRate": 10,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"commRate": 0.25, "applicantId": "C-001", "beneficiaryCountry": "US"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"entries": [ { "leg": "Dr", "account": "CA - C-001", "ccy": "USD", "amount": 10000, ... }, ... 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"summary": { "lcAmount": 100000, "marginTwd": 325000, "totalDrCaTwd": 333925, ...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"rates": { "USD/TWD": 32.5, "EUR/TWD": 35.2, ... 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  "at": "2026-07-21T06:49:58Z"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e293b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160" w:lineRule="auto"/>
        <w:rPr/>
      </w:pPr>
      <w:r w:rsidDel="00000000" w:rsidR="00000000" w:rsidRPr="00000000">
        <w:rPr>
          <w:rtl w:val="0"/>
        </w:rPr>
        <w:t xml:space="preserve">在客户端一侧，组件会通过共享的 renderChargeSection() 辅助函数（费用网格 + 付款收款账户选择器）渲染该响应，并将 entries 数组交给一个嵌套的 &lt;journal-entry entries="..."&gt; 元素进行显示 —— 也就是第 2.5 节所述的同一个组件。</w:t>
      </w:r>
    </w:p>
    <w:p w:rsidR="00000000" w:rsidDel="00000000" w:rsidP="00000000" w:rsidRDefault="00000000" w:rsidRPr="00000000" w14:paraId="00000161">
      <w:pPr>
        <w:pStyle w:val="Heading2"/>
        <w:rPr/>
      </w:pPr>
      <w:r w:rsidDel="00000000" w:rsidR="00000000" w:rsidRPr="00000000">
        <w:rPr>
          <w:rtl w:val="0"/>
        </w:rPr>
        <w:t xml:space="preserve">5.4 与 Angular 开发服务器的关系</w:t>
      </w:r>
    </w:p>
    <w:p w:rsidR="00000000" w:rsidDel="00000000" w:rsidP="00000000" w:rsidRDefault="00000000" w:rsidRPr="00000000" w14:paraId="00000162">
      <w:pPr>
        <w:spacing w:after="160" w:lineRule="auto"/>
        <w:rPr/>
      </w:pPr>
      <w:r w:rsidDel="00000000" w:rsidR="00000000" w:rsidRPr="00000000">
        <w:rPr>
          <w:rtl w:val="0"/>
        </w:rPr>
        <w:t xml:space="preserve">proxy.conf.json 配置 ng serve 将任何发往 /api 的请求转发到 http://localhost:3001，因此位于 http://localhost:4200 的 Angular 应用会透明地与同一个后端通信。独立演示页面则直接访问后端，因为它由同一个后端在 3001 端口上提供 —— 无需代理。</w:t>
      </w:r>
    </w:p>
    <w:p w:rsidR="00000000" w:rsidDel="00000000" w:rsidP="00000000" w:rsidRDefault="00000000" w:rsidRPr="00000000" w14:paraId="00000163">
      <w:pPr>
        <w:pStyle w:val="Heading2"/>
        <w:rPr/>
      </w:pPr>
      <w:r w:rsidDel="00000000" w:rsidR="00000000" w:rsidRPr="00000000">
        <w:rPr>
          <w:rtl w:val="0"/>
        </w:rPr>
        <w:t xml:space="preserve">5.5 快速参考 —— 在本地运行所有服务</w:t>
      </w:r>
    </w:p>
    <w:tbl>
      <w:tblPr>
        <w:tblStyle w:val="Table17"/>
        <w:tblW w:w="9350.0" w:type="dxa"/>
        <w:jc w:val="left"/>
        <w:tblBorders>
          <w:top w:color="2563eb" w:space="0" w:sz="4" w:val="single"/>
          <w:left w:color="2563eb" w:space="0" w:sz="24" w:val="single"/>
          <w:bottom w:color="e2e8f0" w:space="0" w:sz="4" w:val="single"/>
          <w:right w:color="e2e8f0" w:space="0" w:sz="4" w:val="single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14:paraId="191EF25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cd backend &amp;&amp; npm start                              # legacy Import/Export LC calculators, :3001</w:t>
            </w:r>
          </w:p>
          <w:p w14:paraId="7904E9F1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cd microservices/payment-component &amp;&amp; npm run dev    # Payment Component microservice, :3000</w:t>
            </w:r>
          </w:p>
          <w:p w14:paraId="6CB87E5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start                                             # ng serve --open — Angular app, :4200</w:t>
            </w:r>
          </w:p>
          <w:p w14:paraId="14464E7C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5CAE22C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# ...or start all three together, from the project root:</w:t>
            </w:r>
          </w:p>
          <w:p w14:paraId="2770FE81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run dev:all</w:t>
            </w:r>
          </w:p>
          <w:p w14:paraId="24355B8D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46138FCD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run build:wc     # (re)builds dist/wc/ whenever Web Component source changes</w:t>
            </w:r>
          </w:p>
          <w:p w14:paraId="25C850E4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test             # jest — Angular app unit tests (jest-preset-angular)</w:t>
            </w:r>
          </w:p>
          <w:p w14:paraId="04BDC69F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02DCB9C0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Open </w:t>
            </w:r>
            <w:r>
              <w:rPr>
                <w:rFonts w:ascii="Consolas" w:eastAsia="Consolas" w:hAnsi="Consolas" w:cs="Consolas"/>
                <w:b/>
                <w:bCs/>
                <w:color w:val="EE0000"/>
                <w:sz w:val="18"/>
                <w:szCs w:val="18"/>
              </w:rPr>
              <w:t>http://localhost:3001/demo/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# standalone demo — Import/Export widgets only, live API calls</w:t>
            </w:r>
          </w:p>
          <w:p w14:paraId="578EE7A1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Open </w:t>
            </w:r>
            <w:r>
              <w:rPr>
                <w:rFonts w:ascii="Consolas" w:eastAsia="Consolas" w:hAnsi="Consolas" w:cs="Consolas"/>
                <w:b/>
                <w:bCs/>
                <w:color w:val="EE0000"/>
                <w:sz w:val="18"/>
                <w:szCs w:val="18"/>
              </w:rPr>
              <w:t>http://localhost:4200</w:t>
            </w:r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         # full Angular app (npm start) — all three tabs, via proxy.conf.json</w:t>
            </w:r>
          </w:p>
        </w:tc>
      </w:tr>
    </w:tbl>
    <w:p w14:paraId="798E3E39" w14:textId="77777777" w:rsidR="00E5136B" w:rsidRDefault="00000000">
      <w:pPr>
        <w:pStyle w:val="Heading1"/>
      </w:pPr>
      <w:r>
        <w:t>6. Payment Component Business Case Simulator（付款组件模拟器）</w:t>
      </w:r>
    </w:p>
    <w:p w14:paraId="43F7E93E" w14:textId="77777777" w:rsidR="00E5136B" w:rsidRDefault="00000000">
      <w:pPr>
        <w:spacing w:after="160"/>
      </w:pPr>
      <w:r>
        <w:t>本应用的第三个顶层标签页 —— Payment Component Simulator —— 与第 2–5 节是完全不同性质的功能：它直接对接 microservices/payment-component 微服务，可从 23 个已溯源的 Confirm 按钮函数中任选一个，编辑借/贷分录，并实时观察分类结果、余额校验、分录明细与 SWIFT 报文的重新计算。</w:t>
      </w:r>
    </w:p>
    <w:p w14:paraId="560E775C" w14:textId="77777777" w:rsidR="00E5136B" w:rsidRDefault="00000000">
      <w:pPr>
        <w:pStyle w:val="Heading2"/>
      </w:pPr>
      <w:r>
        <w:t>6.1 范围 —— 并非 Web Component</w:t>
      </w:r>
    </w:p>
    <w:p w14:paraId="72658EEE" w14:textId="77777777" w:rsidR="00E5136B" w:rsidRDefault="00000000">
      <w:pPr>
        <w:spacing w:after="160"/>
      </w:pPr>
      <w:r>
        <w:t>与第 2 节目录中的十个组件不同，该模拟器（app-business-case-runner，位于 src/app/payment-component/）被刻意排除在 build:wc 打包产物（第 3 节）之外 —— 它依赖 @ngx-formly/core 和 Angular 的 HttpClient，因此只存在于完整的 ng serve 应用中（http://localhost:4200，Payment Component Simulator 标签页），永远不会出现在 dist/wc/index.html 或任何非 Angular 宿主中。它对接的也是一个完全不同的后端：运行在 3000 端口的 microservices/payment-component Node/TypeScript 服务，而不是为第 2–5 节提供支持、运行在 3001 端口的 backend/server.js。</w:t>
      </w:r>
    </w:p>
    <w:p w14:paraId="2D712F0B" w14:textId="77777777" w:rsidR="00E5136B" w:rsidRDefault="00000000">
      <w:pPr>
        <w:pStyle w:val="Heading2"/>
      </w:pPr>
      <w:r>
        <w:t>6.2 23 个业务案例</w:t>
      </w:r>
    </w:p>
    <w:p w14:paraId="77B8AF77" w14:textId="77777777" w:rsidR="00E5136B" w:rsidRDefault="00000000">
      <w:pPr>
        <w:spacing w:after="160"/>
      </w:pPr>
      <w:r>
        <w:t>business-case-registry.ts 列出了每一个针对遗留源代码溯源验证过的真实 Confirm 按钮函数，横跨 11 个模块（IPLC、EPLC、IMCO、EXCO、GTEE、IWGT、RPFM、CFNC、SBLC、REIM、PYMT），每一项都标注了判定结果：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6750"/>
      </w:tblGrid>
      <w:tr w:rsidR="00E5136B" w14:paraId="4A232C34" w14:textId="77777777">
        <w:trPr>
          <w:tblHeader/>
        </w:trPr>
        <w:tc>
          <w:tcPr>
            <w:tcW w:w="14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B56273" w14:textId="77777777" w:rsidR="00E5136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判定结果</w:t>
            </w:r>
          </w:p>
        </w:tc>
        <w:tc>
          <w:tcPr>
            <w:tcW w:w="1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59A7B" w14:textId="77777777" w:rsidR="00E5136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数量</w:t>
            </w:r>
          </w:p>
        </w:tc>
        <w:tc>
          <w:tcPr>
            <w:tcW w:w="675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9D1E3" w14:textId="77777777" w:rsidR="00E5136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</w:tr>
      <w:tr w:rsidR="00E5136B" w14:paraId="71888B8B" w14:textId="77777777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70EA5" w14:textId="77777777" w:rsidR="00E5136B" w:rsidRDefault="00000000">
            <w:r>
              <w:rPr>
                <w:sz w:val="18"/>
                <w:szCs w:val="18"/>
              </w:rPr>
              <w:t xml:space="preserve">PASS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54D70" w14:textId="77777777" w:rsidR="00E5136B" w:rsidRDefault="00000000"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6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25398" w14:textId="77777777" w:rsidR="00E5136B" w:rsidRDefault="00000000">
            <w:r>
              <w:rPr>
                <w:sz w:val="18"/>
                <w:szCs w:val="18"/>
              </w:rPr>
              <w:t xml:space="preserve">已确认的 Payment Component 调用方，源代码中有可运作的分录组装流程 —— 模拟器会端到端驱动真实微服务（即时预览 + 真实 Confirm）。</w:t>
            </w:r>
          </w:p>
        </w:tc>
      </w:tr>
      <w:tr w:rsidR="00E5136B" w14:paraId="02380835" w14:textId="77777777">
        <w:tc>
          <w:tcPr>
            <w:tcW w:w="14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A1B2EC" w14:textId="77777777" w:rsidR="00E5136B" w:rsidRDefault="00000000">
            <w:r>
              <w:rPr>
                <w:sz w:val="18"/>
                <w:szCs w:val="18"/>
              </w:rPr>
              <w:t xml:space="preserve">GAP</w:t>
            </w:r>
          </w:p>
        </w:tc>
        <w:tc>
          <w:tcPr>
            <w:tcW w:w="12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36B14B" w14:textId="77777777" w:rsidR="00E5136B" w:rsidRDefault="00000000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75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A0D8A" w14:textId="77777777" w:rsidR="00E5136B" w:rsidRDefault="00000000">
            <w:r>
              <w:rPr>
                <w:sz w:val="18"/>
                <w:szCs w:val="18"/>
              </w:rPr>
              <w:t xml:space="preserve">RPFM 的 4 个部分整合函数 —— 确认会调用分类步骤，但源代码中没有分录组装流程，因此没有 Confirm 动作；模拟器只预览分类结果。</w:t>
            </w:r>
          </w:p>
        </w:tc>
      </w:tr>
      <w:tr w:rsidR="00E5136B" w14:paraId="5D310A03" w14:textId="77777777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658F3D" w14:textId="77777777" w:rsidR="00E5136B" w:rsidRDefault="00000000">
            <w:r>
              <w:rPr>
                <w:sz w:val="18"/>
                <w:szCs w:val="18"/>
              </w:rPr>
              <w:t xml:space="preserve">N/A</w:t>
            </w:r>
          </w:p>
        </w:tc>
        <w:tc>
          <w:tcPr>
            <w:tcW w:w="1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8A975" w14:textId="77777777" w:rsidR="00E5136B" w:rsidRDefault="00000000"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6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8381B" w14:textId="77777777" w:rsidR="00E5136B" w:rsidRDefault="00000000">
            <w:r>
              <w:rPr>
                <w:sz w:val="18"/>
                <w:szCs w:val="18"/>
              </w:rPr>
              <w:t xml:space="preserve">已确认的非调用方（CFNC、SBLC、REIM，以及 PYMT 的 IMLC Payment）—— 以静态说明卡片呈现，没有表单，也不会调用 API。</w:t>
            </w:r>
          </w:p>
        </w:tc>
      </w:tr>
    </w:tbl>
    <w:p w14:paraId="7C3CA394" w14:textId="77777777" w:rsidR="00E5136B" w:rsidRDefault="00000000">
      <w:pPr>
        <w:spacing w:after="160"/>
      </w:pPr>
      <w:r>
        <w:t>每个案例都附有其源代码引用出处（文件:行号），以及一段说明默认分录数值重现了什么内容的备注 —— 若存在已被 FSD/回归测试验证过的场景，默认值会精确重现该场景，否则就是一个示范性的起点。</w:t>
      </w:r>
    </w:p>
    <w:p w14:paraId="4DA33162" w14:textId="77777777" w:rsidR="00E5136B" w:rsidRDefault="00000000">
      <w:pPr>
        <w:pStyle w:val="Heading2"/>
      </w:pPr>
      <w:r>
        <w:t>6.3 使用模拟器</w:t>
      </w:r>
    </w:p>
    <w:p w14:paraId="5E55E871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从上方的模块标签栏选择一个模块，再从下方的案例选择按钮中选择一个函数（标注 PASS / GAP / N/A）。</w:t>
      </w:r>
    </w:p>
    <w:p w14:paraId="219E120F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对 PASS/GAP 案例，会出现一个 Formly 表头表单，加上两个 leg-allocator 分录网格（借方、贷方各一个）。每一侧的分录都可以按百分比或金额拆分到多个账户、币别或账户类型 —— 类似 Mixed-Payment-LC 的做法 —— 且每个账户类型都可编辑，可即时观察 paymentComponentRelated 分类结果的变化。</w:t>
      </w:r>
    </w:p>
    <w:p w14:paraId="68E95D5C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PASS 案例会在每次按键时对真实微服务重新计算（dryRun:true），模拟原始画面 onChange 时的重新计算，且不会持久化任何数据。Confirm 按钮会发出真正的 dryRun:false POST 请求，并持久化到微服务的内存存储中。</w:t>
      </w:r>
    </w:p>
    <w:p w14:paraId="14F2C4C5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用同一组 Main Ref + Sequence 重复 Confirm 两次，会原样返回第一次的结果（幂等重放，HTTP 200，FSD §6.1）—— 界面会用一个独立的徽章标示这种情况，避免让重放显示旧数据被误认为是缺陷。</w:t>
      </w:r>
    </w:p>
    <w:p w14:paraId="462A1F43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GAP 案例只通过一个独立的 classify 调用预览分类结果 —— 它们没有 Confirm 动作。</w:t>
      </w:r>
    </w:p>
    <w:p w14:paraId="389D4167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N/A 案例会呈现为一张静态说明卡片，引用出处说明该模块为何从不会到达 Payment Component —— 没有表单，也不会调用 API。</w:t>
      </w:r>
    </w:p>
    <w:p w14:paraId="54E1DC4D" w14:textId="77777777" w:rsidR="00E5136B" w:rsidRDefault="00000000">
      <w:pPr>
        <w:pStyle w:val="Heading2"/>
      </w:pPr>
      <w:r>
        <w:t>6.4 与微服务通信</w:t>
      </w:r>
    </w:p>
    <w:p w14:paraId="64EDC1A8" w14:textId="77777777" w:rsidR="00E5136B" w:rsidRDefault="00000000">
      <w:pPr>
        <w:spacing w:after="160"/>
      </w:pPr>
      <w:r>
        <w:t>payment-component-api.service.ts 是模拟器唯一会调用第二个后端的地方，基础路径为 /payment-component/v1（由 proxy.conf.json 将 /payment-component/* 转发到 http://localhost:3000，与第 5.4 节所述 /api 的转发方式相同）：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200"/>
        <w:gridCol w:w="3750"/>
      </w:tblGrid>
      <w:tr w:rsidR="00E5136B" w14:paraId="69BB0469" w14:textId="77777777">
        <w:trPr>
          <w:tblHeader/>
        </w:trPr>
        <w:tc>
          <w:tcPr>
            <w:tcW w:w="14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CE7F0" w14:textId="77777777" w:rsidR="00E5136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方法</w:t>
            </w:r>
          </w:p>
        </w:tc>
        <w:tc>
          <w:tcPr>
            <w:tcW w:w="420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3CE9C" w14:textId="77777777" w:rsidR="00E5136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路径</w:t>
            </w:r>
          </w:p>
        </w:tc>
        <w:tc>
          <w:tcPr>
            <w:tcW w:w="3750" w:type="dxa"/>
            <w:shd w:val="clear" w:color="auto" w:fill="1E3A5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1597A" w14:textId="77777777" w:rsidR="00E5136B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 w:rsidR="00E5136B" w14:paraId="39A0A3E0" w14:textId="77777777">
        <w:tc>
          <w:tcPr>
            <w:tcW w:w="14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BC29C4" w14:textId="77777777" w:rsidR="00E5136B" w:rsidRDefault="00000000"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20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6B0BC4" w14:textId="77777777" w:rsidR="00E5136B" w:rsidRDefault="00000000">
            <w:r>
              <w:rPr>
                <w:sz w:val="18"/>
                <w:szCs w:val="18"/>
              </w:rPr>
              <w:t xml:space="preserve">/payment-component/v1/payment-instructions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09DE5" w14:textId="77777777" w:rsidR="00E5136B" w:rsidRDefault="00000000">
            <w:r>
              <w:rPr>
                <w:sz w:val="18"/>
                <w:szCs w:val="18"/>
              </w:rPr>
              <w:t xml:space="preserve">PASS 案例 —— 即时预览（dryRun:true）与 Confirm（dryRun:false）</w:t>
            </w:r>
          </w:p>
        </w:tc>
      </w:tr>
      <w:tr w:rsidR="00E5136B" w14:paraId="0C974F0B" w14:textId="77777777">
        <w:tc>
          <w:tcPr>
            <w:tcW w:w="14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1E380F" w14:textId="77777777" w:rsidR="00E5136B" w:rsidRDefault="00000000"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420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730F70" w14:textId="77777777" w:rsidR="00E5136B" w:rsidRDefault="00000000">
            <w:r>
              <w:rPr>
                <w:sz w:val="18"/>
                <w:szCs w:val="18"/>
              </w:rPr>
              <w:t xml:space="preserve">/payment-component/v1/payment-instructions/classify</w:t>
            </w:r>
          </w:p>
        </w:tc>
        <w:tc>
          <w:tcPr>
            <w:tcW w:w="3750" w:type="dxa"/>
            <w:shd w:val="clear" w:color="auto" w:fill="F8FA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4DE8EA" w14:textId="77777777" w:rsidR="00E5136B" w:rsidRDefault="00000000">
            <w:r>
              <w:rPr>
                <w:sz w:val="18"/>
                <w:szCs w:val="18"/>
              </w:rPr>
              <w:t xml:space="preserve">GAP 案例 —— 仅分类预览</w:t>
            </w:r>
          </w:p>
        </w:tc>
      </w:tr>
    </w:tbl>
    <w:p w14:paraId="499DEBF6" w14:textId="77777777" w:rsidR="00E5136B" w:rsidRDefault="00000000">
      <w:pPr>
        <w:pStyle w:val="Heading2"/>
      </w:pPr>
      <w:r>
        <w:t>6.5 在本地运行</w:t>
      </w:r>
    </w:p>
    <w:p w14:paraId="0D962B7E" w14:textId="77777777" w:rsidR="00E5136B" w:rsidRDefault="00000000">
      <w:pPr>
        <w:spacing w:after="160"/>
      </w:pPr>
      <w:r>
        <w:t>模拟器标签页需要同时启动全部三个进程 —— 单独运行 ng serve（旧版第 5.5 节的说明）是不够的：</w:t>
      </w:r>
    </w:p>
    <w:tbl>
      <w:tblPr>
        <w:tblW w:w="9350" w:type="dxa"/>
        <w:tblBorders>
          <w:top w:val="single" w:sz="4" w:space="0" w:color="2563EB"/>
          <w:left w:val="single" w:sz="24" w:space="0" w:color="2563EB"/>
          <w:bottom w:val="single" w:sz="4" w:space="0" w:color="E2E8F0"/>
          <w:right w:val="single" w:sz="4" w:space="0" w:color="E2E8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5136B" w14:paraId="73C59EDA" w14:textId="77777777">
        <w:tc>
          <w:tcPr>
            <w:tcW w:w="935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8C5FFE6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cd microservices/payment-component &amp;&amp; npm install &amp;&amp; npm run dev   # :3000, ts-node --watch, no build step</w:t>
            </w:r>
          </w:p>
          <w:p w14:paraId="1EE4A316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cd backend &amp;&amp; npm install &amp;&amp; npm start                              # :3001</w:t>
            </w:r>
          </w:p>
          <w:p w14:paraId="33D0207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start                                                            # :4200</w:t>
            </w:r>
          </w:p>
          <w:p w14:paraId="4F36BF62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 </w:t>
            </w:r>
          </w:p>
          <w:p w14:paraId="5C1D0DB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# ...or, from the project root, all three together:</w:t>
            </w:r>
          </w:p>
          <w:p w14:paraId="7A057945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run dev:all</w:t>
            </w:r>
          </w:p>
        </w:tc>
      </w:tr>
    </w:tbl>
    <w:p w14:paraId="372F36FE" w14:textId="77777777" w:rsidR="00E5136B" w:rsidRDefault="00000000">
      <w:pPr>
        <w:spacing w:after="160"/>
      </w:pPr>
      <w:r>
        <w:t>如果 3000 端口上的微服务没有启动，模拟器标签页的即时预览就会直接返回 400 或卡住，且没有任何明显的提示说明原因 —— 在怀疑是缺陷之前，先确认该进程是否已启动。</w:t>
      </w:r>
    </w:p>
    <w:p w14:paraId="024A5AD5" w14:textId="77777777" w:rsidR="00E5136B" w:rsidRDefault="00000000">
      <w:pPr>
        <w:spacing w:after="160"/>
      </w:pPr>
      <w:r>
        <w:t>该微服务有自己独立的测试套件（与第 4 节中本项目的 npm test 是不同的 Jest 配置）：</w:t>
      </w:r>
    </w:p>
    <w:tbl>
      <w:tblPr>
        <w:tblW w:w="9350" w:type="dxa"/>
        <w:tblBorders>
          <w:top w:val="single" w:sz="4" w:space="0" w:color="2563EB"/>
          <w:left w:val="single" w:sz="24" w:space="0" w:color="2563EB"/>
          <w:bottom w:val="single" w:sz="4" w:space="0" w:color="E2E8F0"/>
          <w:right w:val="single" w:sz="4" w:space="0" w:color="E2E8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5136B" w14:paraId="07794E4C" w14:textId="77777777">
        <w:tc>
          <w:tcPr>
            <w:tcW w:w="935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294F82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cd microservices/payment-component</w:t>
            </w:r>
          </w:p>
          <w:p w14:paraId="1B4EE9FF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run typecheck        # tsc --noEmit</w:t>
            </w:r>
          </w:p>
          <w:p w14:paraId="00B81EA7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test                 # Jest unit suite, gated at 90% branches/functions/lines/statements</w:t>
            </w:r>
          </w:p>
          <w:p w14:paraId="576B8999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npm run test:regression  # replays the FSD-verified test vectors + one real HTTP smoke test</w:t>
            </w:r>
          </w:p>
        </w:tc>
      </w:tr>
    </w:tbl>
    <w:p w14:paraId="39553575" w14:textId="77777777" w:rsidR="00E5136B" w:rsidRDefault="00000000">
      <w:pPr>
        <w:pStyle w:val="Heading2"/>
      </w:pPr>
      <w:r>
        <w:t>6.6 Suspense Debit / Suspense Credit —— Charge Component 桥接</w:t>
      </w:r>
    </w:p>
    <w:p w14:paraId="2418778B" w14:textId="77777777" w:rsidR="00E5136B" w:rsidRDefault="00000000">
      <w:pPr>
        <w:spacing w:after="160"/>
      </w:pPr>
      <w:r>
        <w:t>NOT FSD-sourced —— 一个仅存在于 Simulator 的扩展，用于模拟外部“Charge Component”（会记 Dr Suspense - Debit / Dr Suspense - Credit，对应 Cr Commission 科目）与本 Payment Component 之间的记账桥接。两个 &lt;app-suspense-entries&gt; 重复输入组件会显示在 Unit Code 那一行下方 —— Suspense Debit 与 Suspense Credit —— 每一个都是可选的金额+币别条目列表。每一侧都可以有多笔条目（例如多笔不同币别的 Charge Component 手续费明细）。</w:t>
      </w:r>
    </w:p>
    <w:tbl>
      <w:tblPr>
        <w:tblW w:w="9350" w:type="dxa"/>
        <w:tblBorders>
          <w:top w:val="single" w:sz="4" w:space="0" w:color="2563EB"/>
          <w:left w:val="single" w:sz="24" w:space="0" w:color="2563EB"/>
          <w:bottom w:val="single" w:sz="4" w:space="0" w:color="E2E8F0"/>
          <w:right w:val="single" w:sz="4" w:space="0" w:color="E2E8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E5136B" w14:paraId="6AAC3CC5" w14:textId="77777777">
        <w:tc>
          <w:tcPr>
            <w:tcW w:w="9350" w:type="dxa"/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B667B9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Debit Leg #1  = Total Amount + Σ Suspense Debit entries  (Trx Equivalent)</w:t>
            </w:r>
          </w:p>
          <w:p w14:paraId="6C0DBC43" w14:textId="77777777" w:rsidR="00E5136B" w:rsidRDefault="00000000">
            <w:r>
              <w:rPr>
                <w:rFonts w:ascii="Consolas" w:eastAsia="Consolas" w:hAnsi="Consolas" w:cs="Consolas"/>
                <w:color w:val="1E293B"/>
                <w:sz w:val="18"/>
                <w:szCs w:val="18"/>
              </w:rPr>
              <w:t xml:space="preserve">Credit Leg #1 = Total Amount - Σ Suspense Credit entries (Trx Equivalent)</w:t>
            </w:r>
          </w:p>
        </w:tc>
      </w:tr>
    </w:tbl>
    <w:p w14:paraId="7FB0F4D4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每一笔非零条目都会各自产生一笔真实的 Cr “Suspense - Debit” / Cr “Suspense - Credit” 分录 —— 两者都记在贷方（而不是一借一贷）—— 这正是让整笔指示保持平衡、且不需要额外逻辑的关键：Suspense Credit 的各项会自我抵销（“少付”情境），而 Suspense Debit 是唯一会改变指示净额大小的项目（“多收”情境）。</w:t>
      </w:r>
    </w:p>
    <w:p w14:paraId="4911FE4C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当某条目自身币别与交易币别不同时，会额外加入一组对应的 FX Exchange 配平分录（accountType 为 INTERNAL），让传票不仅在交易币别等值层面平衡，也能按各别币别平衡 —— 完整的推导过程见 business-case-runner.component.ts 的 suspenseBridgeLeg() / fxExchangePairLegs() / suspenseBridgeLegs() 文件注释。</w:t>
      </w:r>
    </w:p>
    <w:p w14:paraId="16C4F498" w14:textId="77777777" w:rsidR="00E5136B" w:rsidRDefault="00000000">
      <w:pPr>
        <w:pStyle w:val="ListParagraph"/>
        <w:numPr>
          <w:ilvl w:val="0"/>
          <w:numId w:val="2"/>
        </w:numPr>
        <w:spacing w:after="80"/>
      </w:pPr>
      <w:r>
        <w:t>这些都是透过一般的 debitLegs/creditLegs 阵列送出的普通 PaymentLegInput 分录 —— 此功能不需要任何后端改动（accountType SUSPENSE 与 INTERNAL 在 OAS 中本来就已存在）。</w:t>
      </w:r>
    </w:p>
    <w:p w:rsidR="00000000" w:rsidDel="00000000" w:rsidP="00000000" w:rsidRDefault="00000000" w:rsidRPr="00000000" w14:paraId="00000169">
      <w:pPr>
        <w:pBdr>
          <w:bottom w:color="cbd5e1" w:space="1" w:sz="6" w:val="single"/>
        </w:pBdr>
        <w:spacing w:after="240" w:before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–"/>
      <w:lvlJc w:val="left"/>
      <w:pPr>
        <w:ind w:left="720" w:hanging="26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d4ed8" w:space="4" w:sz="8" w:val="single"/>
        <w:right w:space="0" w:sz="0" w:val="nil"/>
        <w:between w:space="0" w:sz="0" w:val="nil"/>
      </w:pBdr>
      <w:shd w:fill="auto" w:val="clear"/>
      <w:spacing w:after="160" w:before="36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d4ed8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76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e3a5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