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E3A8A"/>
          <w:sz w:val="44"/>
          <w:szCs w:val="44"/>
        </w:rPr>
        <w:t xml:space="preserve">Payment Component OAS</w:t>
      </w:r>
    </w:p>
    <w:p>
      <w:pPr>
        <w:spacing w:after="80"/>
        <w:jc w:val="center"/>
      </w:pPr>
      <w:r>
        <w:rPr>
          <w:color w:val="2563EB"/>
          <w:sz w:val="30"/>
          <w:szCs w:val="30"/>
        </w:rPr>
        <w:t xml:space="preserve">Functional Specification Document</w:t>
      </w:r>
    </w:p>
    <w:p>
      <w:pPr>
        <w:spacing w:after="40"/>
        <w:jc w:val="center"/>
      </w:pPr>
      <w:r>
        <w:rPr>
          <w:i/>
          <w:iCs/>
          <w:color w:val="64748B"/>
          <w:sz w:val="22"/>
          <w:szCs w:val="22"/>
        </w:rPr>
        <w:t xml:space="preserve">POST /payment-instructions — Trade Finance Business Scenarios</w:t>
      </w:r>
    </w:p>
    <w:p>
      <w:pPr>
        <w:spacing w:after="400"/>
        <w:jc w:val="center"/>
      </w:pPr>
      <w:r>
        <w:rPr>
          <w:color w:val="64748B"/>
          <w:sz w:val="20"/>
          <w:szCs w:val="20"/>
        </w:rPr>
        <w:t xml:space="preserve">OAS version 1.8.0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8A" w:val="clear"/>
            <w:tcMar>
              <w:top w:type="dxa" w:w="80"/>
              <w:left w:type="dxa" w:w="100"/>
              <w:bottom w:type="dxa" w:w="80"/>
              <w:right w:type="dxa" w:w="100"/>
            </w:tcMar>
          </w:tcPr>
          <w:p>
            <w:r>
              <w:rPr>
                <w:b/>
                <w:bCs/>
                <w:color w:val="FFFFFF"/>
                <w:sz w:val="18"/>
                <w:szCs w:val="18"/>
              </w:rPr>
              <w:t xml:space="preserve">Item</w:t>
            </w:r>
          </w:p>
        </w:tc>
        <w:tc>
          <w:tcPr>
            <w:tcW w:type="dxa" w:w="6750"/>
            <w:shd w:fill="1E3A8A" w:val="clear"/>
            <w:tcMar>
              <w:top w:type="dxa" w:w="80"/>
              <w:left w:type="dxa" w:w="100"/>
              <w:bottom w:type="dxa" w:w="80"/>
              <w:right w:type="dxa" w:w="100"/>
            </w:tcMar>
          </w:tcPr>
          <w:p>
            <w:r>
              <w:rPr>
                <w:b/>
                <w:bCs/>
                <w:color w:val="FFFFFF"/>
                <w:sz w:val="18"/>
                <w:szCs w:val="18"/>
              </w:rPr>
              <w:t xml:space="preserve">Detail</w:t>
            </w:r>
          </w:p>
        </w:tc>
      </w:tr>
      <w:tr>
        <w:tc>
          <w:tcPr>
            <w:tcW w:type="dxa" w:w="2600"/>
            <w:tcMar>
              <w:top w:type="dxa" w:w="80"/>
              <w:left w:type="dxa" w:w="100"/>
              <w:bottom w:type="dxa" w:w="80"/>
              <w:right w:type="dxa" w:w="100"/>
            </w:tcMar>
          </w:tcPr>
          <w:p>
            <w:r>
              <w:rPr>
                <w:color w:val="1E293B"/>
                <w:sz w:val="18"/>
                <w:szCs w:val="18"/>
              </w:rPr>
              <w:t xml:space="preserve">Document Type</w:t>
            </w:r>
          </w:p>
        </w:tc>
        <w:tc>
          <w:tcPr>
            <w:tcW w:type="dxa" w:w="6750"/>
            <w:tcMar>
              <w:top w:type="dxa" w:w="80"/>
              <w:left w:type="dxa" w:w="100"/>
              <w:bottom w:type="dxa" w:w="80"/>
              <w:right w:type="dxa" w:w="100"/>
            </w:tcMar>
          </w:tcPr>
          <w:p>
            <w:r>
              <w:rPr>
                <w:color w:val="1E293B"/>
                <w:sz w:val="18"/>
                <w:szCs w:val="18"/>
              </w:rPr>
              <w:t xml:space="preserve">Functional Specification Document (FSD)</w:t>
            </w:r>
          </w:p>
        </w:tc>
      </w:tr>
      <w:tr>
        <w:tc>
          <w:tcPr>
            <w:tcW w:type="dxa" w:w="2600"/>
            <w:tcMar>
              <w:top w:type="dxa" w:w="80"/>
              <w:left w:type="dxa" w:w="100"/>
              <w:bottom w:type="dxa" w:w="80"/>
              <w:right w:type="dxa" w:w="100"/>
            </w:tcMar>
          </w:tcPr>
          <w:p>
            <w:r>
              <w:rPr>
                <w:color w:val="1E293B"/>
                <w:sz w:val="18"/>
                <w:szCs w:val="18"/>
              </w:rPr>
              <w:t xml:space="preserve">Target System</w:t>
            </w:r>
          </w:p>
        </w:tc>
        <w:tc>
          <w:tcPr>
            <w:tcW w:type="dxa" w:w="6750"/>
            <w:tcMar>
              <w:top w:type="dxa" w:w="80"/>
              <w:left w:type="dxa" w:w="100"/>
              <w:bottom w:type="dxa" w:w="80"/>
              <w:right w:type="dxa" w:w="100"/>
            </w:tcMar>
          </w:tcPr>
          <w:p>
            <w:r>
              <w:rPr>
                <w:color w:val="1E293B"/>
                <w:sz w:val="18"/>
                <w:szCs w:val="18"/>
              </w:rPr>
              <w:t xml:space="preserve">Payment Component microservice — POST /payment-instructions</w:t>
            </w:r>
          </w:p>
        </w:tc>
      </w:tr>
      <w:tr>
        <w:tc>
          <w:tcPr>
            <w:tcW w:type="dxa" w:w="2600"/>
            <w:tcMar>
              <w:top w:type="dxa" w:w="80"/>
              <w:left w:type="dxa" w:w="100"/>
              <w:bottom w:type="dxa" w:w="80"/>
              <w:right w:type="dxa" w:w="100"/>
            </w:tcMar>
          </w:tcPr>
          <w:p>
            <w:r>
              <w:rPr>
                <w:color w:val="1E293B"/>
                <w:sz w:val="18"/>
                <w:szCs w:val="18"/>
              </w:rPr>
              <w:t xml:space="preserve">Source Contract</w:t>
            </w:r>
          </w:p>
        </w:tc>
        <w:tc>
          <w:tcPr>
            <w:tcW w:type="dxa" w:w="6750"/>
            <w:tcMar>
              <w:top w:type="dxa" w:w="80"/>
              <w:left w:type="dxa" w:w="100"/>
              <w:bottom w:type="dxa" w:w="80"/>
              <w:right w:type="dxa" w:w="100"/>
            </w:tcMar>
          </w:tcPr>
          <w:p>
            <w:r>
              <w:rPr>
                <w:color w:val="1E293B"/>
                <w:sz w:val="18"/>
                <w:szCs w:val="18"/>
              </w:rPr>
              <w:t xml:space="preserve">analysis/payment-instructions-post.yaml (OpenAPI 3.0.3, v1.8.0)</w:t>
            </w:r>
          </w:p>
        </w:tc>
      </w:tr>
      <w:tr>
        <w:tc>
          <w:tcPr>
            <w:tcW w:type="dxa" w:w="2600"/>
            <w:tcMar>
              <w:top w:type="dxa" w:w="80"/>
              <w:left w:type="dxa" w:w="100"/>
              <w:bottom w:type="dxa" w:w="80"/>
              <w:right w:type="dxa" w:w="100"/>
            </w:tcMar>
          </w:tcPr>
          <w:p>
            <w:r>
              <w:rPr>
                <w:color w:val="1E293B"/>
                <w:sz w:val="18"/>
                <w:szCs w:val="18"/>
              </w:rPr>
              <w:t xml:space="preserve">Modules Covered</w:t>
            </w:r>
          </w:p>
        </w:tc>
        <w:tc>
          <w:tcPr>
            <w:tcW w:type="dxa" w:w="6750"/>
            <w:tcMar>
              <w:top w:type="dxa" w:w="80"/>
              <w:left w:type="dxa" w:w="100"/>
              <w:bottom w:type="dxa" w:w="80"/>
              <w:right w:type="dxa" w:w="100"/>
            </w:tcMar>
          </w:tcPr>
          <w:p>
            <w:r>
              <w:rPr>
                <w:color w:val="1E293B"/>
                <w:sz w:val="18"/>
                <w:szCs w:val="18"/>
              </w:rPr>
              <w:t xml:space="preserve">IPLC, EPLC, IMCO, EXCO, GTEE, IWGT (users), RPFM (partial integration), CFNC, SBLC, REIM, PYMT (confirmed non-users) — 11 modules, verified</w:t>
            </w:r>
          </w:p>
        </w:tc>
      </w:tr>
      <w:tr>
        <w:tc>
          <w:tcPr>
            <w:tcW w:type="dxa" w:w="2600"/>
            <w:tcMar>
              <w:top w:type="dxa" w:w="80"/>
              <w:left w:type="dxa" w:w="100"/>
              <w:bottom w:type="dxa" w:w="80"/>
              <w:right w:type="dxa" w:w="100"/>
            </w:tcMar>
          </w:tcPr>
          <w:p>
            <w:r>
              <w:rPr>
                <w:color w:val="1E293B"/>
                <w:sz w:val="18"/>
                <w:szCs w:val="18"/>
              </w:rPr>
              <w:t xml:space="preserve">Author Role</w:t>
            </w:r>
          </w:p>
        </w:tc>
        <w:tc>
          <w:tcPr>
            <w:tcW w:type="dxa" w:w="6750"/>
            <w:tcMar>
              <w:top w:type="dxa" w:w="80"/>
              <w:left w:type="dxa" w:w="100"/>
              <w:bottom w:type="dxa" w:w="80"/>
              <w:right w:type="dxa" w:w="100"/>
            </w:tcMar>
          </w:tcPr>
          <w:p>
            <w:r>
              <w:rPr>
                <w:color w:val="1E293B"/>
                <w:sz w:val="18"/>
                <w:szCs w:val="18"/>
              </w:rPr>
              <w:t xml:space="preserve">Trade Finance Business Analyst (CITF) / Solution Architect</w:t>
            </w:r>
          </w:p>
        </w:tc>
      </w:tr>
      <w:tr>
        <w:tc>
          <w:tcPr>
            <w:tcW w:type="dxa" w:w="2600"/>
            <w:tcMar>
              <w:top w:type="dxa" w:w="80"/>
              <w:left w:type="dxa" w:w="100"/>
              <w:bottom w:type="dxa" w:w="80"/>
              <w:right w:type="dxa" w:w="100"/>
            </w:tcMar>
          </w:tcPr>
          <w:p>
            <w:r>
              <w:rPr>
                <w:color w:val="1E293B"/>
                <w:sz w:val="18"/>
                <w:szCs w:val="18"/>
              </w:rPr>
              <w:t xml:space="preserve">Status</w:t>
            </w:r>
          </w:p>
        </w:tc>
        <w:tc>
          <w:tcPr>
            <w:tcW w:type="dxa" w:w="6750"/>
            <w:tcMar>
              <w:top w:type="dxa" w:w="80"/>
              <w:left w:type="dxa" w:w="100"/>
              <w:bottom w:type="dxa" w:w="80"/>
              <w:right w:type="dxa" w:w="100"/>
            </w:tcMar>
          </w:tcPr>
          <w:p>
            <w:r>
              <w:rPr>
                <w:color w:val="1E293B"/>
                <w:sz w:val="18"/>
                <w:szCs w:val="18"/>
              </w:rPr>
              <w:t xml:space="preserve">Verified against legacy source citations and the microservice’s own implementation/test suite</w:t>
            </w:r>
          </w:p>
        </w:tc>
      </w:tr>
    </w:tbl>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color w:val="1E3A8A"/>
        </w:rPr>
        <w:t xml:space="preserve">1. Introduction &amp; Purpose</w:t>
      </w:r>
    </w:p>
    <w:p>
      <w:pPr>
        <w:spacing w:after="160"/>
      </w:pPr>
      <w:r>
        <w:t xml:space="preserve">This Functional Specification Document (FSD) specifies the Payment Component microservice’s single API contract — POST /payment-instructions — defined in the OpenAPI 3.0.3 specification analysis/payment-instructions-post.yaml (version 1.8.0). It documents the request/response schema field by field, the business rules the service enforces, and — the focus of this document — how each field and rule maps onto real Trade Finance settlement scenarios across the bank’s Import/Export Letter of Credit, Collection, Guarantee, and Risk Participation businesses.</w:t>
      </w:r>
    </w:p>
    <w:p>
      <w:pPr>
        <w:spacing w:after="160"/>
      </w:pPr>
      <w:r>
        <w:t xml:space="preserve">The Payment Component is not a product in its own right; it is the shared Dr/Cr settlement layer that every trade finance module’s Confirm-button function calls into once it has determined a transaction is ready to settle. Its job is narrow and precise: validate that the submitted legs balance, classify whether the transaction is genuinely “Payment Component related” (as opposed to a purely internal or sub-ledger movement), assemble the GL voucher description, post the settlement Account Entries, and — where a credit leg calls for it — generate the outbound SWIFT/ISO 20022 message. Everything upstream of that (which draft to honour, what rate to apply, whether documents comply) is decided by the calling module before this API is ever invoked.</w:t>
      </w:r>
    </w:p>
    <w:p>
      <w:pPr>
        <w:pStyle w:val="Heading1"/>
        <w:spacing w:after="160" w:before="360"/>
      </w:pPr>
      <w:r>
        <w:rPr>
          <w:color w:val="1E3A8A"/>
        </w:rPr>
        <w:t xml:space="preserve">2. Scope</w:t>
      </w:r>
    </w:p>
    <w:p>
      <w:pPr>
        <w:pStyle w:val="Heading2"/>
        <w:spacing w:after="140" w:before="280"/>
      </w:pPr>
      <w:r>
        <w:rPr>
          <w:color w:val="2563EB"/>
        </w:rPr>
        <w:t xml:space="preserve">2.1 In Scope</w:t>
      </w:r>
    </w:p>
    <w:p>
      <w:pPr>
        <w:pStyle w:val="ListParagraph"/>
        <w:numPr>
          <w:ilvl w:val="0"/>
          <w:numId w:val="1"/>
        </w:numPr>
        <w:spacing w:after="60"/>
      </w:pPr>
      <w:r>
        <w:t xml:space="preserve">A single atomic endpoint, POST /payment-instructions, replacing an earlier multi-call draft design (header-create, per-leg-add, classify-preview, confirm) with one request that submits the complete header plus the fully assembled debitLegs[]/creditLegs[] arrays.</w:t>
      </w:r>
    </w:p>
    <w:p>
      <w:pPr>
        <w:pStyle w:val="ListParagraph"/>
        <w:numPr>
          <w:ilvl w:val="0"/>
          <w:numId w:val="1"/>
        </w:numPr>
        <w:spacing w:after="60"/>
      </w:pPr>
      <w:r>
        <w:t xml:space="preserve">Eleven origin modules: IPLC, EPLC, IMCO, EXCO, GTEE, IWGT (confirmed users), RPFM (partial integration — classification only), and CFNC, SBLC, REIM, PYMT (confirmed non-users, included for completeness).</w:t>
      </w:r>
    </w:p>
    <w:p>
      <w:pPr>
        <w:pStyle w:val="ListParagraph"/>
        <w:numPr>
          <w:ilvl w:val="0"/>
          <w:numId w:val="1"/>
        </w:numPr>
        <w:spacing w:after="60"/>
      </w:pPr>
      <w:r>
        <w:t xml:space="preserve">Five synchronous processing steps per request: balance validation, Payment Component Identification classification, voucher description assembly, Settlement Account Entry generation, and SWIFT/ISO 20022 message generation.</w:t>
      </w:r>
    </w:p>
    <w:p>
      <w:pPr>
        <w:pStyle w:val="ListParagraph"/>
        <w:numPr>
          <w:ilvl w:val="0"/>
          <w:numId w:val="1"/>
        </w:numPr>
        <w:spacing w:after="60"/>
      </w:pPr>
      <w:r>
        <w:t xml:space="preserve">Idempotent confirmation on the natural key (originModule, mainRef, sequence) — a resubmission returns the original result unchanged rather than re-triggering GL/SWIFT output.</w:t>
      </w:r>
    </w:p>
    <w:p>
      <w:pPr>
        <w:pStyle w:val="ListParagraph"/>
        <w:numPr>
          <w:ilvl w:val="0"/>
          <w:numId w:val="1"/>
        </w:numPr>
        <w:spacing w:after="60"/>
      </w:pPr>
      <w:r>
        <w:t xml:space="preserve">The Suspense/Charge Component accounting bridge (suspenseBridge), including the Charge Component Bridge no-Credit-Leg pattern (§7.8) used by LC issuance charge collection.</w:t>
      </w:r>
    </w:p>
    <w:p>
      <w:pPr>
        <w:pStyle w:val="Heading2"/>
        <w:spacing w:after="140" w:before="280"/>
      </w:pPr>
      <w:r>
        <w:rPr>
          <w:color w:val="2563EB"/>
        </w:rPr>
        <w:t xml:space="preserve">2.2 Out of Scope</w:t>
      </w:r>
    </w:p>
    <w:p>
      <w:pPr>
        <w:pStyle w:val="ListParagraph"/>
        <w:numPr>
          <w:ilvl w:val="0"/>
          <w:numId w:val="1"/>
        </w:numPr>
        <w:spacing w:after="60"/>
      </w:pPr>
      <w:r>
        <w:t xml:space="preserve">AML/sanctions screening and authentication/authorisation — explicitly out of scope per the OAS’s own v1.2.0 changelog; assumed handled by an upstream gateway or calling module.</w:t>
      </w:r>
    </w:p>
    <w:p>
      <w:pPr>
        <w:pStyle w:val="ListParagraph"/>
        <w:numPr>
          <w:ilvl w:val="0"/>
          <w:numId w:val="1"/>
        </w:numPr>
        <w:spacing w:after="60"/>
      </w:pPr>
      <w:r>
        <w:t xml:space="preserve">FX rate resolution — every rate field (drRate, drBuyRate, crBuyRate, sellRate, SuspenseEntry.crossRate) must be supplied by the caller, already resolved; this service performs arithmetic with rates, never looks them up.</w:t>
      </w:r>
    </w:p>
    <w:p>
      <w:pPr>
        <w:pStyle w:val="ListParagraph"/>
        <w:numPr>
          <w:ilvl w:val="0"/>
          <w:numId w:val="1"/>
        </w:numPr>
        <w:spacing w:after="60"/>
      </w:pPr>
      <w:r>
        <w:t xml:space="preserve">Charge and Liability Voucher generation (legacy §6.2/§6.3) — removed from this service entirely (architecture decision v1.6.0); a Balance or Charge Component that bridges through Suspense is expected to book its own Charge/Liability leg independently, on its own books.</w:t>
      </w:r>
    </w:p>
    <w:p>
      <w:pPr>
        <w:pStyle w:val="ListParagraph"/>
        <w:numPr>
          <w:ilvl w:val="0"/>
          <w:numId w:val="1"/>
        </w:numPr>
        <w:spacing w:after="60"/>
      </w:pPr>
      <w:r>
        <w:t xml:space="preserve">Which draft to honour, compliance determination, and rate selection — all decided by the calling module (IPLC/EPLC/IMCO/EXCO/etc.) before this API is invoked; this service only settles what it is told to settle.</w:t>
      </w:r>
    </w:p>
    <w:p>
      <w:pPr>
        <w:pStyle w:val="Heading1"/>
        <w:spacing w:after="160" w:before="360"/>
      </w:pPr>
      <w:r>
        <w:rPr>
          <w:color w:val="1E3A8A"/>
        </w:rPr>
        <w:t xml:space="preserve">3. Business Context — Trade Finance Settlement &amp; the Payment Component</w:t>
      </w:r>
    </w:p>
    <w:p>
      <w:pPr>
        <w:spacing w:after="160"/>
      </w:pPr>
      <w:r>
        <w:t xml:space="preserve">In this bank’s trade finance back office, a transaction is considered “Payment Component related” when money genuinely crosses between two different settlement account categories — a customer account, a Nostro/correspondent account, or a Vostro account — rather than moving entirely within one category (e.g. two customer sub-accounts) or through a purely internal clearing/suspense account. This distinction matters because Payment-Component-related transactions are the ones that require correspondent banking settlement and, frequently, an outbound SWIFT message — they represent real money movement across the bank’s external settlement rails, not internal bookkeeping.</w:t>
      </w:r>
    </w:p>
    <w:p>
      <w:pPr>
        <w:spacing w:after="160"/>
      </w:pPr>
      <w:r>
        <w:t xml:space="preserve">The Payment Component Identification Rule (Rev. 2) formalises this as three independent XOR terms — detailed in §7.2 — evaluated purely from the account types the calling module’s screen operator selected for each Debit/Credit leg. The rule is data-driven, not hardcoded to any particular module or function: the same classification logic runs identically whether the transaction is an LC payment, a collection settlement, or a guarantee claim.</w:t>
      </w:r>
    </w:p>
    <w:p>
      <w:pPr>
        <w:spacing w:after="160"/>
      </w:pPr>
      <w:r>
        <w:t xml:space="preserve">§8 of this document works through each of the eleven modules’ real Trade Finance scenarios — what the underlying business event is, which account is debited and credited, and why — grounded in the actual Confirm-button functions verified against the bank’s legacy source code.</w:t>
      </w:r>
    </w:p>
    <w:p>
      <w:pPr>
        <w:pStyle w:val="Heading1"/>
        <w:spacing w:after="160" w:before="360"/>
      </w:pPr>
      <w:r>
        <w:rPr>
          <w:color w:val="1E3A8A"/>
        </w:rPr>
        <w:t xml:space="preserve">4. API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8A" w:val="clear"/>
            <w:tcMar>
              <w:top w:type="dxa" w:w="80"/>
              <w:left w:type="dxa" w:w="100"/>
              <w:bottom w:type="dxa" w:w="80"/>
              <w:right w:type="dxa" w:w="100"/>
            </w:tcMar>
          </w:tcPr>
          <w:p>
            <w:r>
              <w:rPr>
                <w:b/>
                <w:bCs/>
                <w:color w:val="FFFFFF"/>
                <w:sz w:val="18"/>
                <w:szCs w:val="18"/>
              </w:rPr>
              <w:t xml:space="preserve">Item</w:t>
            </w:r>
          </w:p>
        </w:tc>
        <w:tc>
          <w:tcPr>
            <w:tcW w:type="dxa" w:w="6750"/>
            <w:shd w:fill="1E3A8A" w:val="clear"/>
            <w:tcMar>
              <w:top w:type="dxa" w:w="80"/>
              <w:left w:type="dxa" w:w="100"/>
              <w:bottom w:type="dxa" w:w="80"/>
              <w:right w:type="dxa" w:w="100"/>
            </w:tcMar>
          </w:tcPr>
          <w:p>
            <w:r>
              <w:rPr>
                <w:b/>
                <w:bCs/>
                <w:color w:val="FFFFFF"/>
                <w:sz w:val="18"/>
                <w:szCs w:val="18"/>
              </w:rPr>
              <w:t xml:space="preserve">Detail</w:t>
            </w:r>
          </w:p>
        </w:tc>
      </w:tr>
      <w:tr>
        <w:tc>
          <w:tcPr>
            <w:tcW w:type="dxa" w:w="2600"/>
            <w:tcMar>
              <w:top w:type="dxa" w:w="80"/>
              <w:left w:type="dxa" w:w="100"/>
              <w:bottom w:type="dxa" w:w="80"/>
              <w:right w:type="dxa" w:w="100"/>
            </w:tcMar>
          </w:tcPr>
          <w:p>
            <w:r>
              <w:rPr>
                <w:color w:val="1E293B"/>
                <w:sz w:val="18"/>
                <w:szCs w:val="18"/>
              </w:rPr>
              <w:t xml:space="preserve">Endpoint</w:t>
            </w:r>
          </w:p>
        </w:tc>
        <w:tc>
          <w:tcPr>
            <w:tcW w:type="dxa" w:w="6750"/>
            <w:tcMar>
              <w:top w:type="dxa" w:w="80"/>
              <w:left w:type="dxa" w:w="100"/>
              <w:bottom w:type="dxa" w:w="80"/>
              <w:right w:type="dxa" w:w="100"/>
            </w:tcMar>
          </w:tcPr>
          <w:p>
            <w:r>
              <w:rPr>
                <w:color w:val="1E293B"/>
                <w:sz w:val="18"/>
                <w:szCs w:val="18"/>
              </w:rPr>
              <w:t xml:space="preserve">POST /payment-instructions</w:t>
            </w:r>
          </w:p>
        </w:tc>
      </w:tr>
      <w:tr>
        <w:tc>
          <w:tcPr>
            <w:tcW w:type="dxa" w:w="2600"/>
            <w:tcMar>
              <w:top w:type="dxa" w:w="80"/>
              <w:left w:type="dxa" w:w="100"/>
              <w:bottom w:type="dxa" w:w="80"/>
              <w:right w:type="dxa" w:w="100"/>
            </w:tcMar>
          </w:tcPr>
          <w:p>
            <w:r>
              <w:rPr>
                <w:color w:val="1E293B"/>
                <w:sz w:val="18"/>
                <w:szCs w:val="18"/>
              </w:rPr>
              <w:t xml:space="preserve">Request body</w:t>
            </w:r>
          </w:p>
        </w:tc>
        <w:tc>
          <w:tcPr>
            <w:tcW w:type="dxa" w:w="6750"/>
            <w:tcMar>
              <w:top w:type="dxa" w:w="80"/>
              <w:left w:type="dxa" w:w="100"/>
              <w:bottom w:type="dxa" w:w="80"/>
              <w:right w:type="dxa" w:w="100"/>
            </w:tcMar>
          </w:tcPr>
          <w:p>
            <w:r>
              <w:rPr>
                <w:color w:val="1E293B"/>
                <w:sz w:val="18"/>
                <w:szCs w:val="18"/>
              </w:rPr>
              <w:t xml:space="preserve">PaymentInstructionConfirmRequest — header fields + debitLegs[] + creditLegs[] + optional suspenseBridge</w:t>
            </w:r>
          </w:p>
        </w:tc>
      </w:tr>
      <w:tr>
        <w:tc>
          <w:tcPr>
            <w:tcW w:type="dxa" w:w="2600"/>
            <w:tcMar>
              <w:top w:type="dxa" w:w="80"/>
              <w:left w:type="dxa" w:w="100"/>
              <w:bottom w:type="dxa" w:w="80"/>
              <w:right w:type="dxa" w:w="100"/>
            </w:tcMar>
          </w:tcPr>
          <w:p>
            <w:r>
              <w:rPr>
                <w:color w:val="1E293B"/>
                <w:sz w:val="18"/>
                <w:szCs w:val="18"/>
              </w:rPr>
              <w:t xml:space="preserve">Success responses</w:t>
            </w:r>
          </w:p>
        </w:tc>
        <w:tc>
          <w:tcPr>
            <w:tcW w:type="dxa" w:w="6750"/>
            <w:tcMar>
              <w:top w:type="dxa" w:w="80"/>
              <w:left w:type="dxa" w:w="100"/>
              <w:bottom w:type="dxa" w:w="80"/>
              <w:right w:type="dxa" w:w="100"/>
            </w:tcMar>
          </w:tcPr>
          <w:p>
            <w:r>
              <w:rPr>
                <w:color w:val="1E293B"/>
                <w:sz w:val="18"/>
                <w:szCs w:val="18"/>
              </w:rPr>
              <w:t xml:space="preserve">201 Created (new natural key) or 200 OK (idempotent replay of an existing natural key) — both return the full PaymentInstruction</w:t>
            </w:r>
          </w:p>
        </w:tc>
      </w:tr>
      <w:tr>
        <w:tc>
          <w:tcPr>
            <w:tcW w:type="dxa" w:w="2600"/>
            <w:tcMar>
              <w:top w:type="dxa" w:w="80"/>
              <w:left w:type="dxa" w:w="100"/>
              <w:bottom w:type="dxa" w:w="80"/>
              <w:right w:type="dxa" w:w="100"/>
            </w:tcMar>
          </w:tcPr>
          <w:p>
            <w:r>
              <w:rPr>
                <w:color w:val="1E293B"/>
                <w:sz w:val="18"/>
                <w:szCs w:val="18"/>
              </w:rPr>
              <w:t xml:space="preserve">Error responses</w:t>
            </w:r>
          </w:p>
        </w:tc>
        <w:tc>
          <w:tcPr>
            <w:tcW w:type="dxa" w:w="6750"/>
            <w:tcMar>
              <w:top w:type="dxa" w:w="80"/>
              <w:left w:type="dxa" w:w="100"/>
              <w:bottom w:type="dxa" w:w="80"/>
              <w:right w:type="dxa" w:w="100"/>
            </w:tcMar>
          </w:tcPr>
          <w:p>
            <w:r>
              <w:rPr>
                <w:color w:val="1E293B"/>
                <w:sz w:val="18"/>
                <w:szCs w:val="18"/>
              </w:rPr>
              <w:t xml:space="preserve">400 (request validation — malformed/missing fields) or 409 (business validation — e.g. legs unbalanced)</w:t>
            </w:r>
          </w:p>
        </w:tc>
      </w:tr>
      <w:tr>
        <w:tc>
          <w:tcPr>
            <w:tcW w:type="dxa" w:w="2600"/>
            <w:tcMar>
              <w:top w:type="dxa" w:w="80"/>
              <w:left w:type="dxa" w:w="100"/>
              <w:bottom w:type="dxa" w:w="80"/>
              <w:right w:type="dxa" w:w="100"/>
            </w:tcMar>
          </w:tcPr>
          <w:p>
            <w:r>
              <w:rPr>
                <w:color w:val="1E293B"/>
                <w:sz w:val="18"/>
                <w:szCs w:val="18"/>
              </w:rPr>
              <w:t xml:space="preserve">Idempotency key</w:t>
            </w:r>
          </w:p>
        </w:tc>
        <w:tc>
          <w:tcPr>
            <w:tcW w:type="dxa" w:w="6750"/>
            <w:tcMar>
              <w:top w:type="dxa" w:w="80"/>
              <w:left w:type="dxa" w:w="100"/>
              <w:bottom w:type="dxa" w:w="80"/>
              <w:right w:type="dxa" w:w="100"/>
            </w:tcMar>
          </w:tcPr>
          <w:p>
            <w:r>
              <w:rPr>
                <w:color w:val="1E293B"/>
                <w:sz w:val="18"/>
                <w:szCs w:val="18"/>
              </w:rPr>
              <w:t xml:space="preserve">(originModule, mainRef, sequence) — a resubmission against an existing key replays the ORIGINAL result unchanged</w:t>
            </w:r>
          </w:p>
        </w:tc>
      </w:tr>
    </w:tbl>
    <w:p>
      <w:pPr>
        <w:pStyle w:val="Heading2"/>
        <w:spacing w:after="140" w:before="280"/>
      </w:pPr>
      <w:r>
        <w:rPr>
          <w:color w:val="2563EB"/>
        </w:rPr>
        <w:t xml:space="preserve">4.1 The Five-Step Confirm Flow</w:t>
      </w:r>
    </w:p>
    <w:p>
      <w:pPr>
        <w:spacing w:after="160"/>
      </w:pPr>
      <w:r>
        <w:t xml:space="preserve">Every request executes the following five steps synchronously, in this exact order, within the single call — no follow-up request is needed to retrieve any of the five results, all are embedded in the response body:</w:t>
      </w:r>
    </w:p>
    <w:p>
      <w:pPr>
        <w:spacing w:after="160"/>
      </w:pPr>
      <w:r>
        <w:rPr>
          <w:b/>
          <w:bCs/>
          <w:color w:val="1E293B"/>
        </w:rPr>
        <w:t xml:space="preserve">Step 0 — Idempotency check: </w:t>
      </w:r>
      <w:r>
        <w:t xml:space="preserve">Look up the natural key. If it already exists, return the ORIGINAL stored result unchanged (200) — GL and SWIFT output are never re-triggered for a replay.</w:t>
      </w:r>
    </w:p>
    <w:p>
      <w:pPr>
        <w:spacing w:after="160"/>
      </w:pPr>
      <w:r>
        <w:rPr>
          <w:b/>
          <w:bCs/>
          <w:color w:val="1E293B"/>
        </w:rPr>
        <w:t xml:space="preserve">Step 1 — Dr/Cr Balance Validation (§7.1): </w:t>
      </w:r>
      <w:r>
        <w:t xml:space="preserve">Confirm the debit and credit leg totals agree (the “V8” rule). If suspenseBridge is present, its entries are expanded into additional legs FIRST, so this check already sees them.</w:t>
      </w:r>
    </w:p>
    <w:p>
      <w:pPr>
        <w:spacing w:after="160"/>
      </w:pPr>
      <w:r>
        <w:rPr>
          <w:b/>
          <w:bCs/>
          <w:color w:val="1E293B"/>
        </w:rPr>
        <w:t xml:space="preserve">Step 2 — Payment Component Identification (§7.2): </w:t>
      </w:r>
      <w:r>
        <w:t xml:space="preserve">Classify the transaction against the three-term XOR rule. Informational only — never blocks or gates any later step.</w:t>
      </w:r>
    </w:p>
    <w:p>
      <w:pPr>
        <w:spacing w:after="160"/>
      </w:pPr>
      <w:r>
        <w:rPr>
          <w:b/>
          <w:bCs/>
          <w:color w:val="1E293B"/>
        </w:rPr>
        <w:t xml:space="preserve">Step 3 — Voucher Description Assembly (§7.3): </w:t>
      </w:r>
      <w:r>
        <w:t xml:space="preserve">Assemble the {MODULE}{FuncCode}NULLNULLNULL{TypeChar} description code for every leg.</w:t>
      </w:r>
    </w:p>
    <w:p>
      <w:pPr>
        <w:spacing w:after="160"/>
      </w:pPr>
      <w:r>
        <w:rPr>
          <w:b/>
          <w:bCs/>
          <w:color w:val="1E293B"/>
        </w:rPr>
        <w:t xml:space="preserve">Step 4 — Settlement Account Entry Generation (§7.4): </w:t>
      </w:r>
      <w:r>
        <w:t xml:space="preserve">Post one GL Account Entry per leg, unconditionally — independent of the Step 2 classification result.</w:t>
      </w:r>
    </w:p>
    <w:p>
      <w:pPr>
        <w:spacing w:after="160"/>
      </w:pPr>
      <w:r>
        <w:rPr>
          <w:b/>
          <w:bCs/>
          <w:color w:val="1E293B"/>
        </w:rPr>
        <w:t xml:space="preserve">Step 5 — SWIFT/ISO 20022 Message Generation (§7.5): </w:t>
      </w:r>
      <w:r>
        <w:t xml:space="preserve">Generate an outbound message for any credit leg whose payAdviceMsgType/payCoverMsgType resolves to a non-None value.</w:t>
      </w:r>
    </w:p>
    <w:p>
      <w:pPr>
        <w:pStyle w:val="Heading1"/>
        <w:spacing w:after="160" w:before="360"/>
      </w:pPr>
      <w:r>
        <w:rPr>
          <w:color w:val="1E3A8A"/>
        </w:rPr>
        <w:t xml:space="preserve">5. Functional Requirements — Request Schema</w:t>
      </w:r>
    </w:p>
    <w:p>
      <w:pPr>
        <w:pStyle w:val="Heading2"/>
        <w:spacing w:after="140" w:before="280"/>
      </w:pPr>
      <w:r>
        <w:rPr>
          <w:color w:val="2563EB"/>
        </w:rPr>
        <w:t xml:space="preserve">5.1 Header Fields (PaymentInstructionConfirmRequest)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550"/>
      </w:tblGrid>
      <w:tr>
        <w:trPr>
          <w:tblHeader/>
        </w:trPr>
        <w:tc>
          <w:tcPr>
            <w:tcW w:type="dxa" w:w="1900"/>
            <w:shd w:fill="1E3A8A" w:val="clear"/>
            <w:tcMar>
              <w:top w:type="dxa" w:w="80"/>
              <w:left w:type="dxa" w:w="100"/>
              <w:bottom w:type="dxa" w:w="80"/>
              <w:right w:type="dxa" w:w="100"/>
            </w:tcMar>
          </w:tcPr>
          <w:p>
            <w:r>
              <w:rPr>
                <w:b/>
                <w:bCs/>
                <w:color w:val="FFFFFF"/>
                <w:sz w:val="18"/>
                <w:szCs w:val="18"/>
              </w:rPr>
              <w:t xml:space="preserve">Field</w:t>
            </w:r>
          </w:p>
        </w:tc>
        <w:tc>
          <w:tcPr>
            <w:tcW w:type="dxa" w:w="1900"/>
            <w:shd w:fill="1E3A8A" w:val="clear"/>
            <w:tcMar>
              <w:top w:type="dxa" w:w="80"/>
              <w:left w:type="dxa" w:w="100"/>
              <w:bottom w:type="dxa" w:w="80"/>
              <w:right w:type="dxa" w:w="100"/>
            </w:tcMar>
          </w:tcPr>
          <w:p>
            <w:r>
              <w:rPr>
                <w:b/>
                <w:bCs/>
                <w:color w:val="FFFFFF"/>
                <w:sz w:val="18"/>
                <w:szCs w:val="18"/>
              </w:rPr>
              <w:t xml:space="preserve">Type</w:t>
            </w:r>
          </w:p>
        </w:tc>
        <w:tc>
          <w:tcPr>
            <w:tcW w:type="dxa" w:w="5550"/>
            <w:shd w:fill="1E3A8A" w:val="clear"/>
            <w:tcMar>
              <w:top w:type="dxa" w:w="80"/>
              <w:left w:type="dxa" w:w="100"/>
              <w:bottom w:type="dxa" w:w="80"/>
              <w:right w:type="dxa" w:w="100"/>
            </w:tcMar>
          </w:tcPr>
          <w:p>
            <w:r>
              <w:rPr>
                <w:b/>
                <w:bCs/>
                <w:color w:val="FFFFFF"/>
                <w:sz w:val="18"/>
                <w:szCs w:val="18"/>
              </w:rPr>
              <w:t xml:space="preserve">Business Meaning</w:t>
            </w:r>
          </w:p>
        </w:tc>
      </w:tr>
      <w:tr>
        <w:tc>
          <w:tcPr>
            <w:tcW w:type="dxa" w:w="1900"/>
            <w:tcMar>
              <w:top w:type="dxa" w:w="80"/>
              <w:left w:type="dxa" w:w="100"/>
              <w:bottom w:type="dxa" w:w="80"/>
              <w:right w:type="dxa" w:w="100"/>
            </w:tcMar>
          </w:tcPr>
          <w:p>
            <w:r>
              <w:rPr>
                <w:color w:val="1E293B"/>
                <w:sz w:val="18"/>
                <w:szCs w:val="18"/>
              </w:rPr>
              <w:t xml:space="preserve">originModule</w:t>
            </w:r>
          </w:p>
        </w:tc>
        <w:tc>
          <w:tcPr>
            <w:tcW w:type="dxa" w:w="1900"/>
            <w:tcMar>
              <w:top w:type="dxa" w:w="80"/>
              <w:left w:type="dxa" w:w="100"/>
              <w:bottom w:type="dxa" w:w="80"/>
              <w:right w:type="dxa" w:w="100"/>
            </w:tcMar>
          </w:tcPr>
          <w:p>
            <w:r>
              <w:rPr>
                <w:color w:val="1E293B"/>
                <w:sz w:val="18"/>
                <w:szCs w:val="18"/>
              </w:rPr>
              <w:t xml:space="preserve">enum (11 values)</w:t>
            </w:r>
          </w:p>
        </w:tc>
        <w:tc>
          <w:tcPr>
            <w:tcW w:type="dxa" w:w="5550"/>
            <w:tcMar>
              <w:top w:type="dxa" w:w="80"/>
              <w:left w:type="dxa" w:w="100"/>
              <w:bottom w:type="dxa" w:w="80"/>
              <w:right w:type="dxa" w:w="100"/>
            </w:tcMar>
          </w:tcPr>
          <w:p>
            <w:r>
              <w:rPr>
                <w:color w:val="1E293B"/>
                <w:sz w:val="18"/>
                <w:szCs w:val="18"/>
              </w:rPr>
              <w:t xml:space="preserve">Which trade finance module is confirming this transaction — IPLC, EPLC, IMCO, EXCO, GTEE, IWGT, RPFM, CFNC, SBLC, REIM, or PYMT. Drives voucher-description-prefix resolution.</w:t>
            </w:r>
          </w:p>
        </w:tc>
      </w:tr>
      <w:tr>
        <w:tc>
          <w:tcPr>
            <w:tcW w:type="dxa" w:w="1900"/>
            <w:tcMar>
              <w:top w:type="dxa" w:w="80"/>
              <w:left w:type="dxa" w:w="100"/>
              <w:bottom w:type="dxa" w:w="80"/>
              <w:right w:type="dxa" w:w="100"/>
            </w:tcMar>
          </w:tcPr>
          <w:p>
            <w:r>
              <w:rPr>
                <w:color w:val="1E293B"/>
                <w:sz w:val="18"/>
                <w:szCs w:val="18"/>
              </w:rPr>
              <w:t xml:space="preserve">mainRef</w:t>
            </w:r>
          </w:p>
        </w:tc>
        <w:tc>
          <w:tcPr>
            <w:tcW w:type="dxa" w:w="1900"/>
            <w:tcMar>
              <w:top w:type="dxa" w:w="80"/>
              <w:left w:type="dxa" w:w="100"/>
              <w:bottom w:type="dxa" w:w="80"/>
              <w:right w:type="dxa" w:w="100"/>
            </w:tcMar>
          </w:tcPr>
          <w:p>
            <w:r>
              <w:rPr>
                <w:color w:val="1E293B"/>
                <w:sz w:val="18"/>
                <w:szCs w:val="18"/>
              </w:rPr>
              <w:t xml:space="preserve">string</w:t>
            </w:r>
          </w:p>
        </w:tc>
        <w:tc>
          <w:tcPr>
            <w:tcW w:type="dxa" w:w="5550"/>
            <w:tcMar>
              <w:top w:type="dxa" w:w="80"/>
              <w:left w:type="dxa" w:w="100"/>
              <w:bottom w:type="dxa" w:w="80"/>
              <w:right w:type="dxa" w:w="100"/>
            </w:tcMar>
          </w:tcPr>
          <w:p>
            <w:r>
              <w:rPr>
                <w:color w:val="1E293B"/>
                <w:sz w:val="18"/>
                <w:szCs w:val="18"/>
              </w:rPr>
              <w:t xml:space="preserve">The underlying transaction’s main reference (e.g. the LC number or collection reference) — source CPYT_C_REF.</w:t>
            </w:r>
          </w:p>
        </w:tc>
      </w:tr>
      <w:tr>
        <w:tc>
          <w:tcPr>
            <w:tcW w:type="dxa" w:w="1900"/>
            <w:tcMar>
              <w:top w:type="dxa" w:w="80"/>
              <w:left w:type="dxa" w:w="100"/>
              <w:bottom w:type="dxa" w:w="80"/>
              <w:right w:type="dxa" w:w="100"/>
            </w:tcMar>
          </w:tcPr>
          <w:p>
            <w:r>
              <w:rPr>
                <w:color w:val="1E293B"/>
                <w:sz w:val="18"/>
                <w:szCs w:val="18"/>
              </w:rPr>
              <w:t xml:space="preserve">sequence</w:t>
            </w:r>
          </w:p>
        </w:tc>
        <w:tc>
          <w:tcPr>
            <w:tcW w:type="dxa" w:w="1900"/>
            <w:tcMar>
              <w:top w:type="dxa" w:w="80"/>
              <w:left w:type="dxa" w:w="100"/>
              <w:bottom w:type="dxa" w:w="80"/>
              <w:right w:type="dxa" w:w="100"/>
            </w:tcMar>
          </w:tcPr>
          <w:p>
            <w:r>
              <w:rPr>
                <w:color w:val="1E293B"/>
                <w:sz w:val="18"/>
                <w:szCs w:val="18"/>
              </w:rPr>
              <w:t xml:space="preserve">integer, required</w:t>
            </w:r>
          </w:p>
        </w:tc>
        <w:tc>
          <w:tcPr>
            <w:tcW w:type="dxa" w:w="5550"/>
            <w:tcMar>
              <w:top w:type="dxa" w:w="80"/>
              <w:left w:type="dxa" w:w="100"/>
              <w:bottom w:type="dxa" w:w="80"/>
              <w:right w:type="dxa" w:w="100"/>
            </w:tcMar>
          </w:tcPr>
          <w:p>
            <w:r>
              <w:rPr>
                <w:color w:val="1E293B"/>
                <w:sz w:val="18"/>
                <w:szCs w:val="18"/>
              </w:rPr>
              <w:t xml:space="preserve">Combined with originModule + mainRef as the idempotency natural key. A partial payment against the same LC/collection is a distinct sequence, never mistaken for a resubmission.</w:t>
            </w:r>
          </w:p>
        </w:tc>
      </w:tr>
      <w:tr>
        <w:tc>
          <w:tcPr>
            <w:tcW w:type="dxa" w:w="1900"/>
            <w:tcMar>
              <w:top w:type="dxa" w:w="80"/>
              <w:left w:type="dxa" w:w="100"/>
              <w:bottom w:type="dxa" w:w="80"/>
              <w:right w:type="dxa" w:w="100"/>
            </w:tcMar>
          </w:tcPr>
          <w:p>
            <w:r>
              <w:rPr>
                <w:color w:val="1E293B"/>
                <w:sz w:val="18"/>
                <w:szCs w:val="18"/>
              </w:rPr>
              <w:t xml:space="preserve">unitCode</w:t>
            </w:r>
          </w:p>
        </w:tc>
        <w:tc>
          <w:tcPr>
            <w:tcW w:type="dxa" w:w="1900"/>
            <w:tcMar>
              <w:top w:type="dxa" w:w="80"/>
              <w:left w:type="dxa" w:w="100"/>
              <w:bottom w:type="dxa" w:w="80"/>
              <w:right w:type="dxa" w:w="100"/>
            </w:tcMar>
          </w:tcPr>
          <w:p>
            <w:r>
              <w:rPr>
                <w:color w:val="1E293B"/>
                <w:sz w:val="18"/>
                <w:szCs w:val="18"/>
              </w:rPr>
              <w:t xml:space="preserve">string</w:t>
            </w:r>
          </w:p>
        </w:tc>
        <w:tc>
          <w:tcPr>
            <w:tcW w:type="dxa" w:w="5550"/>
            <w:tcMar>
              <w:top w:type="dxa" w:w="80"/>
              <w:left w:type="dxa" w:w="100"/>
              <w:bottom w:type="dxa" w:w="80"/>
              <w:right w:type="dxa" w:w="100"/>
            </w:tcMar>
          </w:tcPr>
          <w:p>
            <w:r>
              <w:rPr>
                <w:color w:val="1E293B"/>
                <w:sz w:val="18"/>
                <w:szCs w:val="18"/>
              </w:rPr>
              <w:t xml:space="preserve">The processing branch/business unit code.</w:t>
            </w:r>
          </w:p>
        </w:tc>
      </w:tr>
      <w:tr>
        <w:tc>
          <w:tcPr>
            <w:tcW w:type="dxa" w:w="1900"/>
            <w:tcMar>
              <w:top w:type="dxa" w:w="80"/>
              <w:left w:type="dxa" w:w="100"/>
              <w:bottom w:type="dxa" w:w="80"/>
              <w:right w:type="dxa" w:w="100"/>
            </w:tcMar>
          </w:tcPr>
          <w:p>
            <w:r>
              <w:rPr>
                <w:color w:val="1E293B"/>
                <w:sz w:val="18"/>
                <w:szCs w:val="18"/>
              </w:rPr>
              <w:t xml:space="preserve">tenorType</w:t>
            </w:r>
          </w:p>
        </w:tc>
        <w:tc>
          <w:tcPr>
            <w:tcW w:type="dxa" w:w="1900"/>
            <w:tcMar>
              <w:top w:type="dxa" w:w="80"/>
              <w:left w:type="dxa" w:w="100"/>
              <w:bottom w:type="dxa" w:w="80"/>
              <w:right w:type="dxa" w:w="100"/>
            </w:tcMar>
          </w:tcPr>
          <w:p>
            <w:r>
              <w:rPr>
                <w:color w:val="1E293B"/>
                <w:sz w:val="18"/>
                <w:szCs w:val="18"/>
              </w:rPr>
              <w:t xml:space="preserve">string, optional</w:t>
            </w:r>
          </w:p>
        </w:tc>
        <w:tc>
          <w:tcPr>
            <w:tcW w:type="dxa" w:w="5550"/>
            <w:tcMar>
              <w:top w:type="dxa" w:w="80"/>
              <w:left w:type="dxa" w:w="100"/>
              <w:bottom w:type="dxa" w:w="80"/>
              <w:right w:type="dxa" w:w="100"/>
            </w:tcMar>
          </w:tcPr>
          <w:p>
            <w:r>
              <w:rPr>
                <w:color w:val="1E293B"/>
                <w:sz w:val="18"/>
                <w:szCs w:val="18"/>
              </w:rPr>
              <w:t xml:space="preserve">Sight / Usance / D-P / D-A tenor classification of the underlying instrument.</w:t>
            </w:r>
          </w:p>
        </w:tc>
      </w:tr>
      <w:tr>
        <w:tc>
          <w:tcPr>
            <w:tcW w:type="dxa" w:w="1900"/>
            <w:tcMar>
              <w:top w:type="dxa" w:w="80"/>
              <w:left w:type="dxa" w:w="100"/>
              <w:bottom w:type="dxa" w:w="80"/>
              <w:right w:type="dxa" w:w="100"/>
            </w:tcMar>
          </w:tcPr>
          <w:p>
            <w:r>
              <w:rPr>
                <w:color w:val="1E293B"/>
                <w:sz w:val="18"/>
                <w:szCs w:val="18"/>
              </w:rPr>
              <w:t xml:space="preserve">tenorStartDate / maturityDate</w:t>
            </w:r>
          </w:p>
        </w:tc>
        <w:tc>
          <w:tcPr>
            <w:tcW w:type="dxa" w:w="1900"/>
            <w:tcMar>
              <w:top w:type="dxa" w:w="80"/>
              <w:left w:type="dxa" w:w="100"/>
              <w:bottom w:type="dxa" w:w="80"/>
              <w:right w:type="dxa" w:w="100"/>
            </w:tcMar>
          </w:tcPr>
          <w:p>
            <w:r>
              <w:rPr>
                <w:color w:val="1E293B"/>
                <w:sz w:val="18"/>
                <w:szCs w:val="18"/>
              </w:rPr>
              <w:t xml:space="preserve">date, optional</w:t>
            </w:r>
          </w:p>
        </w:tc>
        <w:tc>
          <w:tcPr>
            <w:tcW w:type="dxa" w:w="5550"/>
            <w:tcMar>
              <w:top w:type="dxa" w:w="80"/>
              <w:left w:type="dxa" w:w="100"/>
              <w:bottom w:type="dxa" w:w="80"/>
              <w:right w:type="dxa" w:w="100"/>
            </w:tcMar>
          </w:tcPr>
          <w:p>
            <w:r>
              <w:rPr>
                <w:color w:val="1E293B"/>
                <w:sz w:val="18"/>
                <w:szCs w:val="18"/>
              </w:rPr>
              <w:t xml:space="preserve">The tenor clock start date and the date the obligation falls due — relevant for any Payment at Maturity / Settlement at Maturity scenario.</w:t>
            </w:r>
          </w:p>
        </w:tc>
      </w:tr>
      <w:tr>
        <w:tc>
          <w:tcPr>
            <w:tcW w:type="dxa" w:w="1900"/>
            <w:tcMar>
              <w:top w:type="dxa" w:w="80"/>
              <w:left w:type="dxa" w:w="100"/>
              <w:bottom w:type="dxa" w:w="80"/>
              <w:right w:type="dxa" w:w="100"/>
            </w:tcMar>
          </w:tcPr>
          <w:p>
            <w:r>
              <w:rPr>
                <w:color w:val="1E293B"/>
                <w:sz w:val="18"/>
                <w:szCs w:val="18"/>
              </w:rPr>
              <w:t xml:space="preserve">payInstrFlag</w:t>
            </w:r>
          </w:p>
        </w:tc>
        <w:tc>
          <w:tcPr>
            <w:tcW w:type="dxa" w:w="1900"/>
            <w:tcMar>
              <w:top w:type="dxa" w:w="80"/>
              <w:left w:type="dxa" w:w="100"/>
              <w:bottom w:type="dxa" w:w="80"/>
              <w:right w:type="dxa" w:w="100"/>
            </w:tcMar>
          </w:tcPr>
          <w:p>
            <w:r>
              <w:rPr>
                <w:color w:val="1E293B"/>
                <w:sz w:val="18"/>
                <w:szCs w:val="18"/>
              </w:rPr>
              <w:t xml:space="preserve">enum [F, A], optional</w:t>
            </w:r>
          </w:p>
        </w:tc>
        <w:tc>
          <w:tcPr>
            <w:tcW w:type="dxa" w:w="5550"/>
            <w:tcMar>
              <w:top w:type="dxa" w:w="80"/>
              <w:left w:type="dxa" w:w="100"/>
              <w:bottom w:type="dxa" w:w="80"/>
              <w:right w:type="dxa" w:w="100"/>
            </w:tcMar>
          </w:tcPr>
          <w:p>
            <w:r>
              <w:rPr>
                <w:color w:val="1E293B"/>
                <w:sz w:val="18"/>
                <w:szCs w:val="18"/>
              </w:rPr>
              <w:t xml:space="preserve">F (sight) or A (acceptance/deferred) — derived from whether the underlying instrument is Sight or Usance/Deferred tenor.</w:t>
            </w:r>
          </w:p>
        </w:tc>
      </w:tr>
    </w:tbl>
    <w:p>
      <w:pPr>
        <w:pStyle w:val="Heading2"/>
        <w:spacing w:after="140" w:before="280"/>
      </w:pPr>
      <w:r>
        <w:rPr>
          <w:color w:val="2563EB"/>
        </w:rPr>
        <w:t xml:space="preserve">5.2 Leg Fields (PaymentLegInput — one entry per debitLegs[]/creditLegs[]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5450"/>
      </w:tblGrid>
      <w:tr>
        <w:trPr>
          <w:tblHeader/>
        </w:trPr>
        <w:tc>
          <w:tcPr>
            <w:tcW w:type="dxa" w:w="1700"/>
            <w:shd w:fill="1E3A8A" w:val="clear"/>
            <w:tcMar>
              <w:top w:type="dxa" w:w="80"/>
              <w:left w:type="dxa" w:w="100"/>
              <w:bottom w:type="dxa" w:w="80"/>
              <w:right w:type="dxa" w:w="100"/>
            </w:tcMar>
          </w:tcPr>
          <w:p>
            <w:r>
              <w:rPr>
                <w:b/>
                <w:bCs/>
                <w:color w:val="FFFFFF"/>
                <w:sz w:val="18"/>
                <w:szCs w:val="18"/>
              </w:rPr>
              <w:t xml:space="preserve">Field</w:t>
            </w:r>
          </w:p>
        </w:tc>
        <w:tc>
          <w:tcPr>
            <w:tcW w:type="dxa" w:w="2200"/>
            <w:shd w:fill="1E3A8A" w:val="clear"/>
            <w:tcMar>
              <w:top w:type="dxa" w:w="80"/>
              <w:left w:type="dxa" w:w="100"/>
              <w:bottom w:type="dxa" w:w="80"/>
              <w:right w:type="dxa" w:w="100"/>
            </w:tcMar>
          </w:tcPr>
          <w:p>
            <w:r>
              <w:rPr>
                <w:b/>
                <w:bCs/>
                <w:color w:val="FFFFFF"/>
                <w:sz w:val="18"/>
                <w:szCs w:val="18"/>
              </w:rPr>
              <w:t xml:space="preserve">Type</w:t>
            </w:r>
          </w:p>
        </w:tc>
        <w:tc>
          <w:tcPr>
            <w:tcW w:type="dxa" w:w="5450"/>
            <w:shd w:fill="1E3A8A" w:val="clear"/>
            <w:tcMar>
              <w:top w:type="dxa" w:w="80"/>
              <w:left w:type="dxa" w:w="100"/>
              <w:bottom w:type="dxa" w:w="80"/>
              <w:right w:type="dxa" w:w="100"/>
            </w:tcMar>
          </w:tcPr>
          <w:p>
            <w:r>
              <w:rPr>
                <w:b/>
                <w:bCs/>
                <w:color w:val="FFFFFF"/>
                <w:sz w:val="18"/>
                <w:szCs w:val="18"/>
              </w:rPr>
              <w:t xml:space="preserve">Business Meaning</w:t>
            </w:r>
          </w:p>
        </w:tc>
      </w:tr>
      <w:tr>
        <w:tc>
          <w:tcPr>
            <w:tcW w:type="dxa" w:w="1700"/>
            <w:tcMar>
              <w:top w:type="dxa" w:w="80"/>
              <w:left w:type="dxa" w:w="100"/>
              <w:bottom w:type="dxa" w:w="80"/>
              <w:right w:type="dxa" w:w="100"/>
            </w:tcMar>
          </w:tcPr>
          <w:p>
            <w:r>
              <w:rPr>
                <w:color w:val="1E293B"/>
                <w:sz w:val="18"/>
                <w:szCs w:val="18"/>
              </w:rPr>
              <w:t xml:space="preserve">accountNo</w:t>
            </w:r>
          </w:p>
        </w:tc>
        <w:tc>
          <w:tcPr>
            <w:tcW w:type="dxa" w:w="2200"/>
            <w:tcMar>
              <w:top w:type="dxa" w:w="80"/>
              <w:left w:type="dxa" w:w="100"/>
              <w:bottom w:type="dxa" w:w="80"/>
              <w:right w:type="dxa" w:w="100"/>
            </w:tcMar>
          </w:tcPr>
          <w:p>
            <w:r>
              <w:rPr>
                <w:color w:val="1E293B"/>
                <w:sz w:val="18"/>
                <w:szCs w:val="18"/>
              </w:rPr>
              <w:t xml:space="preserve">string, required</w:t>
            </w:r>
          </w:p>
        </w:tc>
        <w:tc>
          <w:tcPr>
            <w:tcW w:type="dxa" w:w="5450"/>
            <w:tcMar>
              <w:top w:type="dxa" w:w="80"/>
              <w:left w:type="dxa" w:w="100"/>
              <w:bottom w:type="dxa" w:w="80"/>
              <w:right w:type="dxa" w:w="100"/>
            </w:tcMar>
          </w:tcPr>
          <w:p>
            <w:r>
              <w:rPr>
                <w:color w:val="1E293B"/>
                <w:sz w:val="18"/>
                <w:szCs w:val="18"/>
              </w:rPr>
              <w:t xml:space="preserve">The GL/customer/correspondent account number being debited or credited.</w:t>
            </w:r>
          </w:p>
        </w:tc>
      </w:tr>
      <w:tr>
        <w:tc>
          <w:tcPr>
            <w:tcW w:type="dxa" w:w="1700"/>
            <w:tcMar>
              <w:top w:type="dxa" w:w="80"/>
              <w:left w:type="dxa" w:w="100"/>
              <w:bottom w:type="dxa" w:w="80"/>
              <w:right w:type="dxa" w:w="100"/>
            </w:tcMar>
          </w:tcPr>
          <w:p>
            <w:r>
              <w:rPr>
                <w:color w:val="1E293B"/>
                <w:sz w:val="18"/>
                <w:szCs w:val="18"/>
              </w:rPr>
              <w:t xml:space="preserve">accountType</w:t>
            </w:r>
          </w:p>
        </w:tc>
        <w:tc>
          <w:tcPr>
            <w:tcW w:type="dxa" w:w="2200"/>
            <w:tcMar>
              <w:top w:type="dxa" w:w="80"/>
              <w:left w:type="dxa" w:w="100"/>
              <w:bottom w:type="dxa" w:w="80"/>
              <w:right w:type="dxa" w:w="100"/>
            </w:tcMar>
          </w:tcPr>
          <w:p>
            <w:r>
              <w:rPr>
                <w:color w:val="1E293B"/>
                <w:sz w:val="18"/>
                <w:szCs w:val="18"/>
              </w:rPr>
              <w:t xml:space="preserve">enum: CUSTOMER, NOSTRO, VOSTRO, SUSPENSE, INTERNAL</w:t>
            </w:r>
          </w:p>
        </w:tc>
        <w:tc>
          <w:tcPr>
            <w:tcW w:type="dxa" w:w="5450"/>
            <w:tcMar>
              <w:top w:type="dxa" w:w="80"/>
              <w:left w:type="dxa" w:w="100"/>
              <w:bottom w:type="dxa" w:w="80"/>
              <w:right w:type="dxa" w:w="100"/>
            </w:tcMar>
          </w:tcPr>
          <w:p>
            <w:r>
              <w:rPr>
                <w:color w:val="1E293B"/>
                <w:sz w:val="18"/>
                <w:szCs w:val="18"/>
              </w:rPr>
              <w:t xml:space="preserve">What KIND of account this leg touches — the input to the Payment Component Identification Rule (§7.2). CUSTOMER = the bank’s own client; NOSTRO = the bank’s account held AT a correspondent; VOSTRO = a correspondent’s account held at THIS bank; SUSPENSE/INTERNAL = clearing/bridge accounts, never a real external counterparty.</w:t>
            </w:r>
          </w:p>
        </w:tc>
      </w:tr>
      <w:tr>
        <w:tc>
          <w:tcPr>
            <w:tcW w:type="dxa" w:w="1700"/>
            <w:tcMar>
              <w:top w:type="dxa" w:w="80"/>
              <w:left w:type="dxa" w:w="100"/>
              <w:bottom w:type="dxa" w:w="80"/>
              <w:right w:type="dxa" w:w="100"/>
            </w:tcMar>
          </w:tcPr>
          <w:p>
            <w:r>
              <w:rPr>
                <w:color w:val="1E293B"/>
                <w:sz w:val="18"/>
                <w:szCs w:val="18"/>
              </w:rPr>
              <w:t xml:space="preserve">rtgsIndicator</w:t>
            </w:r>
          </w:p>
        </w:tc>
        <w:tc>
          <w:tcPr>
            <w:tcW w:type="dxa" w:w="2200"/>
            <w:tcMar>
              <w:top w:type="dxa" w:w="80"/>
              <w:left w:type="dxa" w:w="100"/>
              <w:bottom w:type="dxa" w:w="80"/>
              <w:right w:type="dxa" w:w="100"/>
            </w:tcMar>
          </w:tcPr>
          <w:p>
            <w:r>
              <w:rPr>
                <w:color w:val="1E293B"/>
                <w:sz w:val="18"/>
                <w:szCs w:val="18"/>
              </w:rPr>
              <w:t xml:space="preserve">boolean, optional (RPFM only)</w:t>
            </w:r>
          </w:p>
        </w:tc>
        <w:tc>
          <w:tcPr>
            <w:tcW w:type="dxa" w:w="5450"/>
            <w:tcMar>
              <w:top w:type="dxa" w:w="80"/>
              <w:left w:type="dxa" w:w="100"/>
              <w:bottom w:type="dxa" w:w="80"/>
              <w:right w:type="dxa" w:w="100"/>
            </w:tcMar>
          </w:tcPr>
          <w:p>
            <w:r>
              <w:rPr>
                <w:color w:val="1E293B"/>
                <w:sz w:val="18"/>
                <w:szCs w:val="18"/>
              </w:rPr>
              <w:t xml:space="preserve">Marks a NOSTRO leg as clearing via the domestic RTGS rail instead of SWIFT correspondent messaging — used for Indonesian Rupiah (IDR) domestic settlement in RPFM. Does not change the leg’s classification (still counts as NOSTRO), only its voucher-description type character and GL routing.</w:t>
            </w:r>
          </w:p>
        </w:tc>
      </w:tr>
      <w:tr>
        <w:tc>
          <w:tcPr>
            <w:tcW w:type="dxa" w:w="1700"/>
            <w:tcMar>
              <w:top w:type="dxa" w:w="80"/>
              <w:left w:type="dxa" w:w="100"/>
              <w:bottom w:type="dxa" w:w="80"/>
              <w:right w:type="dxa" w:w="100"/>
            </w:tcMar>
          </w:tcPr>
          <w:p>
            <w:r>
              <w:rPr>
                <w:color w:val="1E293B"/>
                <w:sz w:val="18"/>
                <w:szCs w:val="18"/>
              </w:rPr>
              <w:t xml:space="preserve">currency / amountTxCcy / amountAccountCcy</w:t>
            </w:r>
          </w:p>
        </w:tc>
        <w:tc>
          <w:tcPr>
            <w:tcW w:type="dxa" w:w="2200"/>
            <w:tcMar>
              <w:top w:type="dxa" w:w="80"/>
              <w:left w:type="dxa" w:w="100"/>
              <w:bottom w:type="dxa" w:w="80"/>
              <w:right w:type="dxa" w:w="100"/>
            </w:tcMar>
          </w:tcPr>
          <w:p>
            <w:r>
              <w:rPr>
                <w:color w:val="1E293B"/>
                <w:sz w:val="18"/>
                <w:szCs w:val="18"/>
              </w:rPr>
              <w:t xml:space="preserve">string / decimal-string / decimal-string</w:t>
            </w:r>
          </w:p>
        </w:tc>
        <w:tc>
          <w:tcPr>
            <w:tcW w:type="dxa" w:w="5450"/>
            <w:tcMar>
              <w:top w:type="dxa" w:w="80"/>
              <w:left w:type="dxa" w:w="100"/>
              <w:bottom w:type="dxa" w:w="80"/>
              <w:right w:type="dxa" w:w="100"/>
            </w:tcMar>
          </w:tcPr>
          <w:p>
            <w:r>
              <w:rPr>
                <w:color w:val="1E293B"/>
                <w:sz w:val="18"/>
                <w:szCs w:val="18"/>
              </w:rPr>
              <w:t xml:space="preserve">The leg’s own settlement currency, its amount in the single transaction currency (for aggregate balance checking), and its amount in the leg’s own account currency (for the account holder’s own books) when they differ.</w:t>
            </w:r>
          </w:p>
        </w:tc>
      </w:tr>
      <w:tr>
        <w:tc>
          <w:tcPr>
            <w:tcW w:type="dxa" w:w="1700"/>
            <w:tcMar>
              <w:top w:type="dxa" w:w="80"/>
              <w:left w:type="dxa" w:w="100"/>
              <w:bottom w:type="dxa" w:w="80"/>
              <w:right w:type="dxa" w:w="100"/>
            </w:tcMar>
          </w:tcPr>
          <w:p>
            <w:r>
              <w:rPr>
                <w:color w:val="1E293B"/>
                <w:sz w:val="18"/>
                <w:szCs w:val="18"/>
              </w:rPr>
              <w:t xml:space="preserve">drRate / drBuyRate / crBuyRate / sellRate</w:t>
            </w:r>
          </w:p>
        </w:tc>
        <w:tc>
          <w:tcPr>
            <w:tcW w:type="dxa" w:w="2200"/>
            <w:tcMar>
              <w:top w:type="dxa" w:w="80"/>
              <w:left w:type="dxa" w:w="100"/>
              <w:bottom w:type="dxa" w:w="80"/>
              <w:right w:type="dxa" w:w="100"/>
            </w:tcMar>
          </w:tcPr>
          <w:p>
            <w:r>
              <w:rPr>
                <w:color w:val="1E293B"/>
                <w:sz w:val="18"/>
                <w:szCs w:val="18"/>
              </w:rPr>
              <w:t xml:space="preserve">decimal-string, optional</w:t>
            </w:r>
          </w:p>
        </w:tc>
        <w:tc>
          <w:tcPr>
            <w:tcW w:type="dxa" w:w="5450"/>
            <w:tcMar>
              <w:top w:type="dxa" w:w="80"/>
              <w:left w:type="dxa" w:w="100"/>
              <w:bottom w:type="dxa" w:w="80"/>
              <w:right w:type="dxa" w:w="100"/>
            </w:tcMar>
          </w:tcPr>
          <w:p>
            <w:r>
              <w:rPr>
                <w:color w:val="1E293B"/>
                <w:sz w:val="18"/>
                <w:szCs w:val="18"/>
              </w:rPr>
              <w:t xml:space="preserve">FX rates applied to this leg, already resolved by the caller — e.g. an IMCO import collection’s buying-rate or selling-rate conversion.</w:t>
            </w:r>
          </w:p>
        </w:tc>
      </w:tr>
      <w:tr>
        <w:tc>
          <w:tcPr>
            <w:tcW w:type="dxa" w:w="1700"/>
            <w:tcMar>
              <w:top w:type="dxa" w:w="80"/>
              <w:left w:type="dxa" w:w="100"/>
              <w:bottom w:type="dxa" w:w="80"/>
              <w:right w:type="dxa" w:w="100"/>
            </w:tcMar>
          </w:tcPr>
          <w:p>
            <w:r>
              <w:rPr>
                <w:color w:val="1E293B"/>
                <w:sz w:val="18"/>
                <w:szCs w:val="18"/>
              </w:rPr>
              <w:t xml:space="preserve">valueDate</w:t>
            </w:r>
          </w:p>
        </w:tc>
        <w:tc>
          <w:tcPr>
            <w:tcW w:type="dxa" w:w="2200"/>
            <w:tcMar>
              <w:top w:type="dxa" w:w="80"/>
              <w:left w:type="dxa" w:w="100"/>
              <w:bottom w:type="dxa" w:w="80"/>
              <w:right w:type="dxa" w:w="100"/>
            </w:tcMar>
          </w:tcPr>
          <w:p>
            <w:r>
              <w:rPr>
                <w:color w:val="1E293B"/>
                <w:sz w:val="18"/>
                <w:szCs w:val="18"/>
              </w:rPr>
              <w:t xml:space="preserve">date, optional</w:t>
            </w:r>
          </w:p>
        </w:tc>
        <w:tc>
          <w:tcPr>
            <w:tcW w:type="dxa" w:w="5450"/>
            <w:tcMar>
              <w:top w:type="dxa" w:w="80"/>
              <w:left w:type="dxa" w:w="100"/>
              <w:bottom w:type="dxa" w:w="80"/>
              <w:right w:type="dxa" w:w="100"/>
            </w:tcMar>
          </w:tcPr>
          <w:p>
            <w:r>
              <w:rPr>
                <w:color w:val="1E293B"/>
                <w:sz w:val="18"/>
                <w:szCs w:val="18"/>
              </w:rPr>
              <w:t xml:space="preserve">The date value passes for this leg.</w:t>
            </w:r>
          </w:p>
        </w:tc>
      </w:tr>
      <w:tr>
        <w:tc>
          <w:tcPr>
            <w:tcW w:type="dxa" w:w="1700"/>
            <w:tcMar>
              <w:top w:type="dxa" w:w="80"/>
              <w:left w:type="dxa" w:w="100"/>
              <w:bottom w:type="dxa" w:w="80"/>
              <w:right w:type="dxa" w:w="100"/>
            </w:tcMar>
          </w:tcPr>
          <w:p>
            <w:r>
              <w:rPr>
                <w:color w:val="1E293B"/>
                <w:sz w:val="18"/>
                <w:szCs w:val="18"/>
              </w:rPr>
              <w:t xml:space="preserve">sdaFlag</w:t>
            </w:r>
          </w:p>
        </w:tc>
        <w:tc>
          <w:tcPr>
            <w:tcW w:type="dxa" w:w="2200"/>
            <w:tcMar>
              <w:top w:type="dxa" w:w="80"/>
              <w:left w:type="dxa" w:w="100"/>
              <w:bottom w:type="dxa" w:w="80"/>
              <w:right w:type="dxa" w:w="100"/>
            </w:tcMar>
          </w:tcPr>
          <w:p>
            <w:r>
              <w:rPr>
                <w:color w:val="1E293B"/>
                <w:sz w:val="18"/>
                <w:szCs w:val="18"/>
              </w:rPr>
              <w:t xml:space="preserve">string, optional</w:t>
            </w:r>
          </w:p>
        </w:tc>
        <w:tc>
          <w:tcPr>
            <w:tcW w:type="dxa" w:w="5450"/>
            <w:tcMar>
              <w:top w:type="dxa" w:w="80"/>
              <w:left w:type="dxa" w:w="100"/>
              <w:bottom w:type="dxa" w:w="80"/>
              <w:right w:type="dxa" w:w="100"/>
            </w:tcMar>
          </w:tcPr>
          <w:p>
            <w:r>
              <w:rPr>
                <w:color w:val="1E293B"/>
                <w:sz w:val="18"/>
                <w:szCs w:val="18"/>
              </w:rPr>
              <w:t xml:space="preserve">Sight/Usance/D-P/D-A classification carried at the leg level.</w:t>
            </w:r>
          </w:p>
        </w:tc>
      </w:tr>
      <w:tr>
        <w:tc>
          <w:tcPr>
            <w:tcW w:type="dxa" w:w="1700"/>
            <w:tcMar>
              <w:top w:type="dxa" w:w="80"/>
              <w:left w:type="dxa" w:w="100"/>
              <w:bottom w:type="dxa" w:w="80"/>
              <w:right w:type="dxa" w:w="100"/>
            </w:tcMar>
          </w:tcPr>
          <w:p>
            <w:r>
              <w:rPr>
                <w:color w:val="1E293B"/>
                <w:sz w:val="18"/>
                <w:szCs w:val="18"/>
              </w:rPr>
              <w:t xml:space="preserve">payAdviceMsgType / payCoverMsgType</w:t>
            </w:r>
          </w:p>
        </w:tc>
        <w:tc>
          <w:tcPr>
            <w:tcW w:type="dxa" w:w="2200"/>
            <w:tcMar>
              <w:top w:type="dxa" w:w="80"/>
              <w:left w:type="dxa" w:w="100"/>
              <w:bottom w:type="dxa" w:w="80"/>
              <w:right w:type="dxa" w:w="100"/>
            </w:tcMar>
          </w:tcPr>
          <w:p>
            <w:r>
              <w:rPr>
                <w:color w:val="1E293B"/>
                <w:sz w:val="18"/>
                <w:szCs w:val="18"/>
              </w:rPr>
              <w:t xml:space="preserve">enum, optional (credit legs only)</w:t>
            </w:r>
          </w:p>
        </w:tc>
        <w:tc>
          <w:tcPr>
            <w:tcW w:type="dxa" w:w="5450"/>
            <w:tcMar>
              <w:top w:type="dxa" w:w="80"/>
              <w:left w:type="dxa" w:w="100"/>
              <w:bottom w:type="dxa" w:w="80"/>
              <w:right w:type="dxa" w:w="100"/>
            </w:tcMar>
          </w:tcPr>
          <w:p>
            <w:r>
              <w:rPr>
                <w:color w:val="1E293B"/>
                <w:sz w:val="18"/>
                <w:szCs w:val="18"/>
              </w:rPr>
              <w:t xml:space="preserve">Which outbound SWIFT/ISO 20022 message this credit leg should trigger — e.g. MT103 (customer payment advice) or MT202/MT202COV (correspondent cover payment). None means no message.</w:t>
            </w:r>
          </w:p>
        </w:tc>
      </w:tr>
    </w:tbl>
    <w:p>
      <w:pPr>
        <w:pStyle w:val="Heading2"/>
        <w:spacing w:after="140" w:before="280"/>
      </w:pPr>
      <w:r>
        <w:rPr>
          <w:color w:val="2563EB"/>
        </w:rPr>
        <w:t xml:space="preserve">5.3 MonetaryAmount &amp; ExchangeRate — Decimal-String Types</w:t>
      </w:r>
    </w:p>
    <w:p>
      <w:pPr>
        <w:spacing w:after="160"/>
      </w:pPr>
      <w:r>
        <w:t xml:space="preserve">Every monetary amount and FX rate on the wire is a decimal STRING (pattern-validated), never a binary JSON number — e.g. "800000.20", never 800000.20 as a number. This is a deliberate correctness requirement: IEEE-754 binary floats cannot represent every decimal fraction exactly, and even a one-minor-unit rounding drift would fail the balance check in §7.1. Server-side arithmetic uses arbitrary-precision decimal math throughout, never a binary float, for exactly this reason.</w:t>
      </w:r>
    </w:p>
    <w:p>
      <w:pPr>
        <w:pStyle w:val="Heading2"/>
        <w:spacing w:after="140" w:before="280"/>
      </w:pPr>
      <w:r>
        <w:rPr>
          <w:color w:val="2563EB"/>
        </w:rPr>
        <w:t xml:space="preserve">5.4 Suspense Bridge (Charge/Balance Component Integration)</w:t>
      </w:r>
    </w:p>
    <w:p>
      <w:pPr>
        <w:spacing w:after="160"/>
      </w:pPr>
      <w:r>
        <w:t xml:space="preserve">An external Balance Component or Charge Component that has already booked its own leg against a Suspense contra-account (e.g. a Charge Component posting Dr Suspense — Credit / Cr Margin, Cr Commission on its own books) can bridge that through the Payment Component by submitting the raw amounts under suspenseBridge.debitEntries[] / .creditEntries[] rather than requiring every caller to reimplement the self-offsetting arithmetic. Full mechanism and worked examples in §7.7–§7.8.</w:t>
      </w:r>
    </w:p>
    <w:p>
      <w:pPr>
        <w:pStyle w:val="Heading1"/>
        <w:spacing w:after="160" w:before="360"/>
      </w:pPr>
      <w:r>
        <w:rPr>
          <w:color w:val="1E3A8A"/>
        </w:rPr>
        <w:t xml:space="preserve">6. Functional Requirements — Response Schema</w:t>
      </w:r>
    </w:p>
    <w:p>
      <w:pPr>
        <w:pStyle w:val="Heading2"/>
        <w:spacing w:after="140" w:before="280"/>
      </w:pPr>
      <w:r>
        <w:rPr>
          <w:color w:val="2563EB"/>
        </w:rPr>
        <w:t xml:space="preserve">6.1 PaymentInstruction</w:t>
      </w:r>
    </w:p>
    <w:p>
      <w:pPr>
        <w:spacing w:after="160"/>
      </w:pPr>
      <w:r>
        <w:t xml:space="preserve">The single response object embeds every result of the Confirm flow — the enriched legs (with server-derived accountDesc/accountCategory), the classification result, the generated Account Entries, and any SWIFT messages — so no follow-up call is needed to assemble a complete picture of what was confirmed.</w:t>
      </w:r>
    </w:p>
    <w:p>
      <w:pPr>
        <w:pStyle w:val="Heading2"/>
        <w:spacing w:after="140" w:before="280"/>
      </w:pPr>
      <w:r>
        <w:rPr>
          <w:color w:val="2563EB"/>
        </w:rPr>
        <w:t xml:space="preserve">6.2 ClassificationResult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shd w:fill="1E3A8A" w:val="clear"/>
            <w:tcMar>
              <w:top w:type="dxa" w:w="80"/>
              <w:left w:type="dxa" w:w="100"/>
              <w:bottom w:type="dxa" w:w="80"/>
              <w:right w:type="dxa" w:w="100"/>
            </w:tcMar>
          </w:tcPr>
          <w:p>
            <w:r>
              <w:rPr>
                <w:b/>
                <w:bCs/>
                <w:color w:val="FFFFFF"/>
                <w:sz w:val="18"/>
                <w:szCs w:val="18"/>
              </w:rPr>
              <w:t xml:space="preserve">Field</w:t>
            </w:r>
          </w:p>
        </w:tc>
        <w:tc>
          <w:tcPr>
            <w:tcW w:type="dxa" w:w="6750"/>
            <w:shd w:fill="1E3A8A" w:val="clear"/>
            <w:tcMar>
              <w:top w:type="dxa" w:w="80"/>
              <w:left w:type="dxa" w:w="100"/>
              <w:bottom w:type="dxa" w:w="80"/>
              <w:right w:type="dxa" w:w="100"/>
            </w:tcMar>
          </w:tcPr>
          <w:p>
            <w:r>
              <w:rPr>
                <w:b/>
                <w:bCs/>
                <w:color w:val="FFFFFF"/>
                <w:sz w:val="18"/>
                <w:szCs w:val="18"/>
              </w:rPr>
              <w:t xml:space="preserve">Business Meaning</w:t>
            </w:r>
          </w:p>
        </w:tc>
      </w:tr>
      <w:tr>
        <w:tc>
          <w:tcPr>
            <w:tcW w:type="dxa" w:w="2600"/>
            <w:tcMar>
              <w:top w:type="dxa" w:w="80"/>
              <w:left w:type="dxa" w:w="100"/>
              <w:bottom w:type="dxa" w:w="80"/>
              <w:right w:type="dxa" w:w="100"/>
            </w:tcMar>
          </w:tcPr>
          <w:p>
            <w:r>
              <w:rPr>
                <w:color w:val="1E293B"/>
                <w:sz w:val="18"/>
                <w:szCs w:val="18"/>
              </w:rPr>
              <w:t xml:space="preserve">debitTypes / creditTypes</w:t>
            </w:r>
          </w:p>
        </w:tc>
        <w:tc>
          <w:tcPr>
            <w:tcW w:type="dxa" w:w="6750"/>
            <w:tcMar>
              <w:top w:type="dxa" w:w="80"/>
              <w:left w:type="dxa" w:w="100"/>
              <w:bottom w:type="dxa" w:w="80"/>
              <w:right w:type="dxa" w:w="100"/>
            </w:tcMar>
          </w:tcPr>
          <w:p>
            <w:r>
              <w:rPr>
                <w:color w:val="1E293B"/>
                <w:sz w:val="18"/>
                <w:szCs w:val="18"/>
              </w:rPr>
              <w:t xml:space="preserve">The distinct account types present across all debit / all credit legs — the support sets the XOR rule below evaluates.</w:t>
            </w:r>
          </w:p>
        </w:tc>
      </w:tr>
      <w:tr>
        <w:tc>
          <w:tcPr>
            <w:tcW w:type="dxa" w:w="2600"/>
            <w:tcMar>
              <w:top w:type="dxa" w:w="80"/>
              <w:left w:type="dxa" w:w="100"/>
              <w:bottom w:type="dxa" w:w="80"/>
              <w:right w:type="dxa" w:w="100"/>
            </w:tcMar>
          </w:tcPr>
          <w:p>
            <w:r>
              <w:rPr>
                <w:color w:val="1E293B"/>
                <w:sz w:val="18"/>
                <w:szCs w:val="18"/>
              </w:rPr>
              <w:t xml:space="preserve">customerXor</w:t>
            </w:r>
          </w:p>
        </w:tc>
        <w:tc>
          <w:tcPr>
            <w:tcW w:type="dxa" w:w="6750"/>
            <w:tcMar>
              <w:top w:type="dxa" w:w="80"/>
              <w:left w:type="dxa" w:w="100"/>
              <w:bottom w:type="dxa" w:w="80"/>
              <w:right w:type="dxa" w:w="100"/>
            </w:tcMar>
          </w:tcPr>
          <w:p>
            <w:r>
              <w:rPr>
                <w:color w:val="1E293B"/>
                <w:sz w:val="18"/>
                <w:szCs w:val="18"/>
              </w:rPr>
              <w:t xml:space="preserve">True when exactly one side (debit or credit) has a CUSTOMER leg — a real external customer settlement.</w:t>
            </w:r>
          </w:p>
        </w:tc>
      </w:tr>
      <w:tr>
        <w:tc>
          <w:tcPr>
            <w:tcW w:type="dxa" w:w="2600"/>
            <w:tcMar>
              <w:top w:type="dxa" w:w="80"/>
              <w:left w:type="dxa" w:w="100"/>
              <w:bottom w:type="dxa" w:w="80"/>
              <w:right w:type="dxa" w:w="100"/>
            </w:tcMar>
          </w:tcPr>
          <w:p>
            <w:r>
              <w:rPr>
                <w:color w:val="1E293B"/>
                <w:sz w:val="18"/>
                <w:szCs w:val="18"/>
              </w:rPr>
              <w:t xml:space="preserve">nostroXor / vostroXor</w:t>
            </w:r>
          </w:p>
        </w:tc>
        <w:tc>
          <w:tcPr>
            <w:tcW w:type="dxa" w:w="6750"/>
            <w:tcMar>
              <w:top w:type="dxa" w:w="80"/>
              <w:left w:type="dxa" w:w="100"/>
              <w:bottom w:type="dxa" w:w="80"/>
              <w:right w:type="dxa" w:w="100"/>
            </w:tcMar>
          </w:tcPr>
          <w:p>
            <w:r>
              <w:rPr>
                <w:color w:val="1E293B"/>
                <w:sz w:val="18"/>
                <w:szCs w:val="18"/>
              </w:rPr>
              <w:t xml:space="preserve">True when exactly one side has a NOSTRO / VOSTRO leg — a real correspondent settlement.</w:t>
            </w:r>
          </w:p>
        </w:tc>
      </w:tr>
      <w:tr>
        <w:tc>
          <w:tcPr>
            <w:tcW w:type="dxa" w:w="2600"/>
            <w:tcMar>
              <w:top w:type="dxa" w:w="80"/>
              <w:left w:type="dxa" w:w="100"/>
              <w:bottom w:type="dxa" w:w="80"/>
              <w:right w:type="dxa" w:w="100"/>
            </w:tcMar>
          </w:tcPr>
          <w:p>
            <w:r>
              <w:rPr>
                <w:color w:val="1E293B"/>
                <w:sz w:val="18"/>
                <w:szCs w:val="18"/>
              </w:rPr>
              <w:t xml:space="preserve">paymentComponentRelated</w:t>
            </w:r>
          </w:p>
        </w:tc>
        <w:tc>
          <w:tcPr>
            <w:tcW w:type="dxa" w:w="6750"/>
            <w:tcMar>
              <w:top w:type="dxa" w:w="80"/>
              <w:left w:type="dxa" w:w="100"/>
              <w:bottom w:type="dxa" w:w="80"/>
              <w:right w:type="dxa" w:w="100"/>
            </w:tcMar>
          </w:tcPr>
          <w:p>
            <w:r>
              <w:rPr>
                <w:color w:val="1E293B"/>
                <w:sz w:val="18"/>
                <w:szCs w:val="18"/>
              </w:rPr>
              <w:t xml:space="preserve">customerXor OR nostroXor OR vostroXor — the overall verdict. Informational only; never gates Account Entry or SWIFT generation.</w:t>
            </w:r>
          </w:p>
        </w:tc>
      </w:tr>
    </w:tbl>
    <w:p>
      <w:pPr>
        <w:pStyle w:val="Heading2"/>
        <w:spacing w:after="140" w:before="280"/>
      </w:pPr>
      <w:r>
        <w:rPr>
          <w:color w:val="2563EB"/>
        </w:rPr>
        <w:t xml:space="preserve">6.3 AccountEntry — GL Posting Line</w:t>
      </w:r>
    </w:p>
    <w:p>
      <w:pPr>
        <w:spacing w:after="160"/>
      </w:pPr>
      <w:r>
        <w:t xml:space="preserve">One AccountEntry is generated per submitted leg (debit and credit), unconditionally — independent of whether the transaction classified as Payment Component related. Each carries the GL account, currency, amount, Dr/Cr indicator, the assembled voucher description, and value/booking dates. As of the current baseline this service only ever produces SETTLEMENT entries (voucherType: SETTLEMENT) — see §7.4.</w:t>
      </w:r>
    </w:p>
    <w:p>
      <w:pPr>
        <w:pStyle w:val="Heading2"/>
        <w:spacing w:after="140" w:before="280"/>
      </w:pPr>
      <w:r>
        <w:rPr>
          <w:color w:val="2563EB"/>
        </w:rPr>
        <w:t xml:space="preserve">6.4 SwiftMessage</w:t>
      </w:r>
    </w:p>
    <w:p>
      <w:pPr>
        <w:spacing w:after="160"/>
      </w:pPr>
      <w:r>
        <w:t xml:space="preserve">One SwiftMessage record per credit leg whose payAdviceMsgType or payCoverMsgType resolves to a real message type — MT103, MT202, MT202COV, PACS008, PACS009, or PACS009COV, covering SWIFT Category 1/2 and the equivalent ISO 20022 pacs.008/pacs.009 message families.</w:t>
      </w:r>
    </w:p>
    <w:p>
      <w:pPr>
        <w:pStyle w:val="Heading1"/>
        <w:spacing w:after="160" w:before="360"/>
      </w:pPr>
      <w:r>
        <w:rPr>
          <w:color w:val="1E3A8A"/>
        </w:rPr>
        <w:t xml:space="preserve">7. Business Rules</w:t>
      </w:r>
    </w:p>
    <w:p>
      <w:pPr>
        <w:pStyle w:val="Heading2"/>
        <w:spacing w:after="140" w:before="280"/>
      </w:pPr>
      <w:r>
        <w:rPr>
          <w:color w:val="2563EB"/>
        </w:rPr>
        <w:t xml:space="preserve">7.1 Dr/Cr Balance Validation ("V8")</w:t>
      </w:r>
    </w:p>
    <w:p>
      <w:pPr>
        <w:spacing w:after="160"/>
      </w:pPr>
      <w:r>
        <w:t xml:space="preserve">The single-POST request carries only the two leg arrays — no separate “target total” field the way the original screens’ independent per-side checks did. This service therefore implements V8: exact equality between the sum of all debitLegs’ amountTxCcy and the sum of all creditLegs’ amountTxCcy (in the single transaction currency), with an optional tolerance for modules whose legacy screens allowed small rounding slack. A mismatch is a business rule violation — HTTP 409, code LEGS_UNBALANCED — not a malformed-request 400.</w:t>
      </w:r>
    </w:p>
    <w:p>
      <w:pPr>
        <w:pStyle w:val="Heading2"/>
        <w:spacing w:after="140" w:before="280"/>
      </w:pPr>
      <w:r>
        <w:rPr>
          <w:color w:val="2563EB"/>
        </w:rPr>
        <w:t xml:space="preserve">7.2 Payment Component Identification Rule (Rev. 2)</w:t>
      </w:r>
    </w:p>
    <w:p>
      <w:pPr>
        <w:pBdr>
          <w:left w:val="single" w:color="2563EB" w:sz="24" w:space="8"/>
        </w:pBdr>
        <w:shd w:fill="F1F5F9" w:val="clear"/>
        <w:spacing w:after="160" w:before="60"/>
        <w:ind w:left="120"/>
      </w:pPr>
      <w:r>
        <w:rPr>
          <w:rFonts w:ascii="Consolas" w:cs="Consolas" w:eastAsia="Consolas" w:hAnsi="Consolas"/>
          <w:color w:val="1E293B"/>
          <w:sz w:val="18"/>
          <w:szCs w:val="18"/>
        </w:rPr>
        <w:t xml:space="preserve">paymentComponentRelated =
    (Dr has CUSTOMER  XOR  Cr has CUSTOMER)
 OR (Dr has NOSTRO    XOR  Cr has NOSTRO)
 OR (Dr has VOSTRO    XOR  Cr has VOSTRO)</w:t>
      </w:r>
    </w:p>
    <w:p>
      <w:pPr>
        <w:spacing w:after="160"/>
      </w:pPr>
      <w:r>
        <w:t xml:space="preserve">SUSPENSE and INTERNAL account types deliberately participate in NONE of the three XOR terms: they represent internal clearing/bridge postings, not a real external counterparty, so their presence should never by itself flag a transaction as requiring correspondent settlement. The rule is evaluated identically across all eleven modules — it is data-driven from whichever account types the operator actually selected, never hardcoded per module or function.</w:t>
      </w:r>
    </w:p>
    <w:p>
      <w:pPr>
        <w:pStyle w:val="Heading2"/>
        <w:spacing w:after="140" w:before="280"/>
      </w:pPr>
      <w:r>
        <w:rPr>
          <w:color w:val="2563EB"/>
        </w:rPr>
        <w:t xml:space="preserve">7.3 Voucher Description Assembly</w:t>
      </w:r>
    </w:p>
    <w:p>
      <w:pPr>
        <w:spacing w:after="160"/>
      </w:pPr>
      <w:r>
        <w:t xml:space="preserve">Every leg’s GL posting carries an assembled description code of the form {MODULE}{FuncCode}NULLNULLNULL{TypeChar} — e.g. IPLC03NULLNULLNULLC for an IPLC Pay/Accept debit leg. {MODULE}{FuncCode} is resolved from the calling function (a caller-supplied sourceFunctionCode, since originModule alone is ambiguous across a module’s several functions), and {TypeChar} is derived from the leg’s own accountType (‘C’ for CUSTOMER, ‘N’ for NOSTRO, ‘R’ for an RTGS-flagged NOSTRO, etc.).</w:t>
      </w:r>
    </w:p>
    <w:p>
      <w:pPr>
        <w:pStyle w:val="Heading2"/>
        <w:spacing w:after="140" w:before="280"/>
      </w:pPr>
      <w:r>
        <w:rPr>
          <w:color w:val="2563EB"/>
        </w:rPr>
        <w:t xml:space="preserve">7.4 Settlement Account Entry Generation</w:t>
      </w:r>
    </w:p>
    <w:p>
      <w:pPr>
        <w:spacing w:after="160"/>
      </w:pPr>
      <w:r>
        <w:t xml:space="preserve">One SETTLEMENT-type Account Entry is posted per leg, unconditionally — this step never checks the Step 2 classification result. As a deliberate architecture decision, this service no longer generates Charge Voucher or Liability Voucher entries itself: a Balance or Charge Component that participates via the Suspense bridge (§7.7) is expected to book its own Charge/Liability leg independently on its own books, avoiding any risk of double-booking the same money twice.</w:t>
      </w:r>
    </w:p>
    <w:p>
      <w:pPr>
        <w:pStyle w:val="Heading2"/>
        <w:spacing w:after="140" w:before="280"/>
      </w:pPr>
      <w:r>
        <w:rPr>
          <w:color w:val="2563EB"/>
        </w:rPr>
        <w:t xml:space="preserve">7.5 SWIFT / ISO 20022 Message Generation</w:t>
      </w:r>
    </w:p>
    <w:p>
      <w:pPr>
        <w:spacing w:after="160"/>
      </w:pPr>
      <w:r>
        <w:t xml:space="preserve">For each credit leg, if payAdviceMsgType or payCoverMsgType resolves to a real value (not None), the corresponding outbound message is generated after cross-field validation. This covers the bank’s own customer payment advices (MT103/PACS008) and correspondent cover payments (MT202/MT202COV/PACS009COV) — exactly the messages a correspondent or the beneficiary’s own bank needs to receive to complete settlement outside the bank’s own books.</w:t>
      </w:r>
    </w:p>
    <w:p>
      <w:pPr>
        <w:pStyle w:val="Heading2"/>
        <w:spacing w:after="140" w:before="280"/>
      </w:pPr>
      <w:r>
        <w:rPr>
          <w:color w:val="2563EB"/>
        </w:rPr>
        <w:t xml:space="preserve">7.6 Idempotency</w:t>
      </w:r>
    </w:p>
    <w:p>
      <w:pPr>
        <w:spacing w:after="160"/>
      </w:pPr>
      <w:r>
        <w:t xml:space="preserve">A resubmission of the same (originModule, mainRef, sequence) natural key — e.g. a network retry after a timeout, or an operator resubmitting by mistake — returns the ORIGINAL confirmed result unchanged (HTTP 200), without re-running any of the five steps and, critically, without re-triggering GL postings or a duplicate SWIFT message. A genuinely new natural key (a true new transaction, or a distinct partial-payment sequence) creates a new instruction (HTTP 201).</w:t>
      </w:r>
    </w:p>
    <w:p>
      <w:pPr>
        <w:pStyle w:val="Heading2"/>
        <w:spacing w:after="140" w:before="280"/>
      </w:pPr>
      <w:r>
        <w:rPr>
          <w:color w:val="2563EB"/>
        </w:rPr>
        <w:t xml:space="preserve">7.7 Suspense / Charge Component Bridge — General Mechanism</w:t>
      </w:r>
    </w:p>
    <w:p>
      <w:pPr>
        <w:spacing w:after="160"/>
      </w:pPr>
      <w:r>
        <w:t xml:space="preserve">A Balance Component (tracking Import/Export Bill Liability) or a Charge Component (calculating margin/commission/fees) frequently needs to hand its own Suspense-account posting to the Payment Component to complete the accounting picture, without the Payment Component needing to understand or recompute what that upstream component calculated. suspenseBridge.debitEntries[]/.creditEntries[] carries the raw amounts; this service expands each into its own offsetting Suspense leg — always posted at the entry’s own full gross amount, always credit-direction regardless of which list it came from — plus, for any entry in a currency other than the transaction currency, an FX Exchange pair so the settlement voucher balances by currency, not only in aggregate.</w:t>
      </w:r>
    </w:p>
    <w:p>
      <w:pPr>
        <w:pBdr>
          <w:left w:val="single" w:color="2563EB" w:sz="24" w:space="8"/>
        </w:pBdr>
        <w:shd w:fill="F1F5F9" w:val="clear"/>
        <w:spacing w:after="160" w:before="60"/>
        <w:ind w:left="120"/>
      </w:pPr>
      <w:r>
        <w:rPr>
          <w:rFonts w:ascii="Consolas" w:cs="Consolas" w:eastAsia="Consolas" w:hAnsi="Consolas"/>
          <w:color w:val="1E293B"/>
          <w:sz w:val="18"/>
          <w:szCs w:val="18"/>
        </w:rPr>
        <w:t xml:space="preserve">Worked example — Balance Component Import Bill Liability bridge:
Balance Component (its own books):   Dr IBL  /  Cr Suspense
Payment Component (this service):    Dr Suspense  /  Cr Nostro</w:t>
      </w:r>
    </w:p>
    <w:p>
      <w:pPr>
        <w:pStyle w:val="Heading2"/>
        <w:spacing w:after="140" w:before="280"/>
      </w:pPr>
      <w:r>
        <w:rPr>
          <w:color w:val="2563EB"/>
        </w:rPr>
        <w:t xml:space="preserve">7.8 Charge Component Bridge — No-Credit-Leg Case</w:t>
      </w:r>
    </w:p>
    <w:p>
      <w:pPr>
        <w:spacing w:after="160"/>
      </w:pPr>
      <w:r>
        <w:t xml:space="preserve">One specific, business-requirement-confirmed usage of the Suspense bridge deserves its own explanation: LC issuance charge collection (§8’s IPLC “Issue — Charge Component Bridge” scenario), where the Payment Component collects the customer’s total charge in one debit and has NO real credit leg of its own — the entire credit side is the Suspense bridge to a separate Charge Component that itemises Margin/Commission/Charge lines on its own books.</w:t>
      </w:r>
    </w:p>
    <w:p>
      <w:pPr>
        <w:spacing w:after="160"/>
      </w:pPr>
      <w:r>
        <w:rPr>
          <w:b/>
          <w:bCs/>
        </w:rPr>
        <w:t xml:space="preserve">Wire signal: </w:t>
      </w:r>
      <w:r>
        <w:t xml:space="preserve">the request carries a boolean chargeComponentBridge extension flag (not part of the formal OAS schema, following the same precedent as the sourceFunctionCode extension). creditLegs may be an empty array only when chargeComponentBridge is true AND suspenseBridge.creditEntries is non-empty — every other request still requires at least one credit leg.</w:t>
      </w:r>
    </w:p>
    <w:p>
      <w:pPr>
        <w:spacing w:after="160"/>
      </w:pPr>
      <w:r>
        <w:rPr>
          <w:b/>
          <w:bCs/>
        </w:rPr>
        <w:t xml:space="preserve">FX Exchange sizing: </w:t>
      </w:r>
      <w:r>
        <w:t xml:space="preserve">because this pattern’s real debit legs sit on the OPPOSITE side from the Suspense Credit entries (rather than the same side the general mechanism in §7.7 compares against), this service computes, per foreign-currency bucket, the DIFFERENCE between the Suspense Credit amount and the matching debit legs’ own amount in that currency — generating an FX Exchange entry only for the residual, never the gross amount, and none at all when the difference is exactly zero (the debit legs already balance that currency on their own).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5750"/>
      </w:tblGrid>
      <w:tr>
        <w:trPr>
          <w:tblHeader/>
        </w:trPr>
        <w:tc>
          <w:tcPr>
            <w:tcW w:type="dxa" w:w="3600"/>
            <w:shd w:fill="1E3A8A" w:val="clear"/>
            <w:tcMar>
              <w:top w:type="dxa" w:w="80"/>
              <w:left w:type="dxa" w:w="100"/>
              <w:bottom w:type="dxa" w:w="80"/>
              <w:right w:type="dxa" w:w="100"/>
            </w:tcMar>
          </w:tcPr>
          <w:p>
            <w:r>
              <w:rPr>
                <w:b/>
                <w:bCs/>
                <w:color w:val="FFFFFF"/>
                <w:sz w:val="18"/>
                <w:szCs w:val="18"/>
              </w:rPr>
              <w:t xml:space="preserve">Scenario</w:t>
            </w:r>
          </w:p>
        </w:tc>
        <w:tc>
          <w:tcPr>
            <w:tcW w:type="dxa" w:w="5750"/>
            <w:shd w:fill="1E3A8A" w:val="clear"/>
            <w:tcMar>
              <w:top w:type="dxa" w:w="80"/>
              <w:left w:type="dxa" w:w="100"/>
              <w:bottom w:type="dxa" w:w="80"/>
              <w:right w:type="dxa" w:w="100"/>
            </w:tcMar>
          </w:tcPr>
          <w:p>
            <w:r>
              <w:rPr>
                <w:b/>
                <w:bCs/>
                <w:color w:val="FFFFFF"/>
                <w:sz w:val="18"/>
                <w:szCs w:val="18"/>
              </w:rPr>
              <w:t xml:space="preserve">Result</w:t>
            </w:r>
          </w:p>
        </w:tc>
      </w:tr>
      <w:tr>
        <w:tc>
          <w:tcPr>
            <w:tcW w:type="dxa" w:w="3600"/>
            <w:tcMar>
              <w:top w:type="dxa" w:w="80"/>
              <w:left w:type="dxa" w:w="100"/>
              <w:bottom w:type="dxa" w:w="80"/>
              <w:right w:type="dxa" w:w="100"/>
            </w:tcMar>
          </w:tcPr>
          <w:p>
            <w:r>
              <w:rPr>
                <w:color w:val="1E293B"/>
                <w:sz w:val="18"/>
                <w:szCs w:val="18"/>
              </w:rPr>
              <w:t xml:space="preserve">Debit legs exactly match Suspense Credit, per currency</w:t>
            </w:r>
          </w:p>
        </w:tc>
        <w:tc>
          <w:tcPr>
            <w:tcW w:type="dxa" w:w="5750"/>
            <w:tcMar>
              <w:top w:type="dxa" w:w="80"/>
              <w:left w:type="dxa" w:w="100"/>
              <w:bottom w:type="dxa" w:w="80"/>
              <w:right w:type="dxa" w:w="100"/>
            </w:tcMar>
          </w:tcPr>
          <w:p>
            <w:r>
              <w:rPr>
                <w:color w:val="1E293B"/>
                <w:sz w:val="18"/>
                <w:szCs w:val="18"/>
              </w:rPr>
              <w:t xml:space="preserve">No FX Exchange entries at all — a clean Dr Customer A/C / Cr Suspense — Credit posting in each currency</w:t>
            </w:r>
          </w:p>
        </w:tc>
      </w:tr>
      <w:tr>
        <w:tc>
          <w:tcPr>
            <w:tcW w:type="dxa" w:w="3600"/>
            <w:tcMar>
              <w:top w:type="dxa" w:w="80"/>
              <w:left w:type="dxa" w:w="100"/>
              <w:bottom w:type="dxa" w:w="80"/>
              <w:right w:type="dxa" w:w="100"/>
            </w:tcMar>
          </w:tcPr>
          <w:p>
            <w:r>
              <w:rPr>
                <w:color w:val="1E293B"/>
                <w:sz w:val="18"/>
                <w:szCs w:val="18"/>
              </w:rPr>
              <w:t xml:space="preserve">No matching debit leg in a currency</w:t>
            </w:r>
          </w:p>
        </w:tc>
        <w:tc>
          <w:tcPr>
            <w:tcW w:type="dxa" w:w="5750"/>
            <w:tcMar>
              <w:top w:type="dxa" w:w="80"/>
              <w:left w:type="dxa" w:w="100"/>
              <w:bottom w:type="dxa" w:w="80"/>
              <w:right w:type="dxa" w:w="100"/>
            </w:tcMar>
          </w:tcPr>
          <w:p>
            <w:r>
              <w:rPr>
                <w:color w:val="1E293B"/>
                <w:sz w:val="18"/>
                <w:szCs w:val="18"/>
              </w:rPr>
              <w:t xml:space="preserve">A full FX Exchange pair for the whole amount (same as the general mechanism, §7.7)</w:t>
            </w:r>
          </w:p>
        </w:tc>
      </w:tr>
      <w:tr>
        <w:tc>
          <w:tcPr>
            <w:tcW w:type="dxa" w:w="3600"/>
            <w:tcMar>
              <w:top w:type="dxa" w:w="80"/>
              <w:left w:type="dxa" w:w="100"/>
              <w:bottom w:type="dxa" w:w="80"/>
              <w:right w:type="dxa" w:w="100"/>
            </w:tcMar>
          </w:tcPr>
          <w:p>
            <w:r>
              <w:rPr>
                <w:color w:val="1E293B"/>
                <w:sz w:val="18"/>
                <w:szCs w:val="18"/>
              </w:rPr>
              <w:t xml:space="preserve">Debit legs partially cover the Suspense Credit bucket</w:t>
            </w:r>
          </w:p>
        </w:tc>
        <w:tc>
          <w:tcPr>
            <w:tcW w:type="dxa" w:w="5750"/>
            <w:tcMar>
              <w:top w:type="dxa" w:w="80"/>
              <w:left w:type="dxa" w:w="100"/>
              <w:bottom w:type="dxa" w:w="80"/>
              <w:right w:type="dxa" w:w="100"/>
            </w:tcMar>
          </w:tcPr>
          <w:p>
            <w:r>
              <w:rPr>
                <w:color w:val="1E293B"/>
                <w:sz w:val="18"/>
                <w:szCs w:val="18"/>
              </w:rPr>
              <w:t xml:space="preserve">An FX Exchange pair sized to just the uncovered residual</w:t>
            </w:r>
          </w:p>
        </w:tc>
      </w:tr>
      <w:tr>
        <w:tc>
          <w:tcPr>
            <w:tcW w:type="dxa" w:w="3600"/>
            <w:tcMar>
              <w:top w:type="dxa" w:w="80"/>
              <w:left w:type="dxa" w:w="100"/>
              <w:bottom w:type="dxa" w:w="80"/>
              <w:right w:type="dxa" w:w="100"/>
            </w:tcMar>
          </w:tcPr>
          <w:p>
            <w:r>
              <w:rPr>
                <w:color w:val="1E293B"/>
                <w:sz w:val="18"/>
                <w:szCs w:val="18"/>
              </w:rPr>
              <w:t xml:space="preserve">Debit legs exceed the Suspense Credit bucket</w:t>
            </w:r>
          </w:p>
        </w:tc>
        <w:tc>
          <w:tcPr>
            <w:tcW w:type="dxa" w:w="5750"/>
            <w:tcMar>
              <w:top w:type="dxa" w:w="80"/>
              <w:left w:type="dxa" w:w="100"/>
              <w:bottom w:type="dxa" w:w="80"/>
              <w:right w:type="dxa" w:w="100"/>
            </w:tcMar>
          </w:tcPr>
          <w:p>
            <w:r>
              <w:rPr>
                <w:color w:val="1E293B"/>
                <w:sz w:val="18"/>
                <w:szCs w:val="18"/>
              </w:rPr>
              <w:t xml:space="preserve">An FX Exchange pair (opposite direction) sized to just the excess</w:t>
            </w:r>
          </w:p>
        </w:tc>
      </w:tr>
      <w:tr>
        <w:tc>
          <w:tcPr>
            <w:tcW w:type="dxa" w:w="3600"/>
            <w:tcMar>
              <w:top w:type="dxa" w:w="80"/>
              <w:left w:type="dxa" w:w="100"/>
              <w:bottom w:type="dxa" w:w="80"/>
              <w:right w:type="dxa" w:w="100"/>
            </w:tcMar>
          </w:tcPr>
          <w:p>
            <w:r>
              <w:rPr>
                <w:color w:val="1E293B"/>
                <w:sz w:val="18"/>
                <w:szCs w:val="18"/>
              </w:rPr>
              <w:t xml:space="preserve">A genuine, unexplained mismatch (no compensating leg anywhere)</w:t>
            </w:r>
          </w:p>
        </w:tc>
        <w:tc>
          <w:tcPr>
            <w:tcW w:type="dxa" w:w="5750"/>
            <w:tcMar>
              <w:top w:type="dxa" w:w="80"/>
              <w:left w:type="dxa" w:w="100"/>
              <w:bottom w:type="dxa" w:w="80"/>
              <w:right w:type="dxa" w:w="100"/>
            </w:tcMar>
          </w:tcPr>
          <w:p>
            <w:r>
              <w:rPr>
                <w:color w:val="1E293B"/>
                <w:sz w:val="18"/>
                <w:szCs w:val="18"/>
              </w:rPr>
              <w:t xml:space="preserve">Still rejected with 409 LEGS_UNBALANCED — this sizing rule only ever removes an already-redundant entry, never hides a real imbalance</w:t>
            </w:r>
          </w:p>
        </w:tc>
      </w:tr>
    </w:tbl>
    <w:p>
      <w:r>
        <w:br w:type="page"/>
      </w:r>
    </w:p>
    <w:p>
      <w:pPr>
        <w:pStyle w:val="Heading1"/>
        <w:spacing w:after="160" w:before="360"/>
      </w:pPr>
      <w:r>
        <w:rPr>
          <w:color w:val="1E3A8A"/>
        </w:rPr>
        <w:t xml:space="preserve">8. Trade Finance Business Scenarios</w:t>
      </w:r>
    </w:p>
    <w:p>
      <w:pPr>
        <w:spacing w:after="160"/>
      </w:pPr>
      <w:r>
        <w:t xml:space="preserve">This section works through every one of the 24 Confirm-button business cases verified against the bank’s legacy source, grouped by module. Each table lists the underlying business event, which account category is debited and credited, and the source citation establishing that this function genuinely calls into the Payment Component (or, for RPFM/CFNC/SBLC/REIM/PYMT, why it does not, or does so only partially).</w:t>
      </w:r>
    </w:p>
    <w:p>
      <w:pPr>
        <w:pStyle w:val="Heading2"/>
        <w:spacing w:after="140" w:before="280"/>
      </w:pPr>
      <w:r>
        <w:rPr>
          <w:color w:val="2563EB"/>
        </w:rPr>
        <w:t xml:space="preserve">IPLC — Import Letter of Credit</w:t>
      </w:r>
    </w:p>
    <w:p>
      <w:pPr>
        <w:spacing w:after="160"/>
      </w:pPr>
      <w:r>
        <w:t xml:space="preserve">IPLC covers the issuing bank’s obligations under a documentary Letter of Credit issued on behalf of an importer (the Applicant), in favour of an exporter (the Beneficiary). Once the issuing bank determines a presentation complies with the LC’s terms, it is irrevocably obligated to pay — whether that payment falls due immediately (sight) or on a future date (usance/deferred). The Payment Component records that settlement obligation and, separately (via the Charge Component Bridge), the fees the bank earns for extending its credit.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Pay/Accept</w:t>
            </w:r>
          </w:p>
        </w:tc>
        <w:tc>
          <w:tcPr>
            <w:tcW w:type="dxa" w:w="4550"/>
            <w:tcMar>
              <w:top w:type="dxa" w:w="80"/>
              <w:left w:type="dxa" w:w="100"/>
              <w:bottom w:type="dxa" w:w="80"/>
              <w:right w:type="dxa" w:w="100"/>
            </w:tcMar>
          </w:tcPr>
          <w:p>
            <w:r>
              <w:rPr>
                <w:color w:val="1E293B"/>
                <w:sz w:val="18"/>
                <w:szCs w:val="18"/>
              </w:rPr>
              <w:t xml:space="preserve">A complying sight or acceptance presentation is honoured: the issuing bank pays or accepts the draft, settling directly with its correspondent (Nostro) and debiting the applicant’s account.</w:t>
            </w:r>
          </w:p>
        </w:tc>
        <w:tc>
          <w:tcPr>
            <w:tcW w:type="dxa" w:w="1350"/>
            <w:tcMar>
              <w:top w:type="dxa" w:w="80"/>
              <w:left w:type="dxa" w:w="100"/>
              <w:bottom w:type="dxa" w:w="80"/>
              <w:right w:type="dxa" w:w="100"/>
            </w:tcMar>
          </w:tcPr>
          <w:p>
            <w:r>
              <w:rPr>
                <w:color w:val="1E293B"/>
                <w:sz w:val="18"/>
                <w:szCs w:val="18"/>
              </w:rPr>
              <w:t xml:space="preserve">Customer A/C (Applicant)</w:t>
            </w:r>
          </w:p>
        </w:tc>
        <w:tc>
          <w:tcPr>
            <w:tcW w:type="dxa" w:w="1700"/>
            <w:tcMar>
              <w:top w:type="dxa" w:w="80"/>
              <w:left w:type="dxa" w:w="100"/>
              <w:bottom w:type="dxa" w:w="80"/>
              <w:right w:type="dxa" w:w="100"/>
            </w:tcMar>
          </w:tcPr>
          <w:p>
            <w:r>
              <w:rPr>
                <w:color w:val="1E293B"/>
                <w:sz w:val="18"/>
                <w:szCs w:val="18"/>
              </w:rPr>
              <w:t xml:space="preserve">Nostro A/C (correspondent settlement)</w:t>
            </w:r>
          </w:p>
        </w:tc>
      </w:tr>
      <w:tr>
        <w:tc>
          <w:tcPr>
            <w:tcW w:type="dxa" w:w="1750"/>
            <w:tcMar>
              <w:top w:type="dxa" w:w="80"/>
              <w:left w:type="dxa" w:w="100"/>
              <w:bottom w:type="dxa" w:w="80"/>
              <w:right w:type="dxa" w:w="100"/>
            </w:tcMar>
          </w:tcPr>
          <w:p>
            <w:r>
              <w:rPr>
                <w:color w:val="1E293B"/>
                <w:sz w:val="18"/>
                <w:szCs w:val="18"/>
              </w:rPr>
              <w:t xml:space="preserve">Pay/Accept With Discount</w:t>
            </w:r>
          </w:p>
        </w:tc>
        <w:tc>
          <w:tcPr>
            <w:tcW w:type="dxa" w:w="4550"/>
            <w:tcMar>
              <w:top w:type="dxa" w:w="80"/>
              <w:left w:type="dxa" w:w="100"/>
              <w:bottom w:type="dxa" w:w="80"/>
              <w:right w:type="dxa" w:w="100"/>
            </w:tcMar>
          </w:tcPr>
          <w:p>
            <w:r>
              <w:rPr>
                <w:color w:val="1E293B"/>
                <w:sz w:val="18"/>
                <w:szCs w:val="18"/>
              </w:rPr>
              <w:t xml:space="preserve">A usance draft is honoured with an early-payment discount applied — the bank settles net of the discount it charges for advancing funds ahead of the draft’s maturity.</w:t>
            </w:r>
          </w:p>
        </w:tc>
        <w:tc>
          <w:tcPr>
            <w:tcW w:type="dxa" w:w="1350"/>
            <w:tcMar>
              <w:top w:type="dxa" w:w="80"/>
              <w:left w:type="dxa" w:w="100"/>
              <w:bottom w:type="dxa" w:w="80"/>
              <w:right w:type="dxa" w:w="100"/>
            </w:tcMar>
          </w:tcPr>
          <w:p>
            <w:r>
              <w:rPr>
                <w:color w:val="1E293B"/>
                <w:sz w:val="18"/>
                <w:szCs w:val="18"/>
              </w:rPr>
              <w:t xml:space="preserve">Customer A/C (Applicant)</w:t>
            </w:r>
          </w:p>
        </w:tc>
        <w:tc>
          <w:tcPr>
            <w:tcW w:type="dxa" w:w="1700"/>
            <w:tcMar>
              <w:top w:type="dxa" w:w="80"/>
              <w:left w:type="dxa" w:w="100"/>
              <w:bottom w:type="dxa" w:w="80"/>
              <w:right w:type="dxa" w:w="100"/>
            </w:tcMar>
          </w:tcPr>
          <w:p>
            <w:r>
              <w:rPr>
                <w:color w:val="1E293B"/>
                <w:sz w:val="18"/>
                <w:szCs w:val="18"/>
              </w:rPr>
              <w:t xml:space="preserve">Internal A/C (discount clearing)</w:t>
            </w:r>
          </w:p>
        </w:tc>
      </w:tr>
      <w:tr>
        <w:tc>
          <w:tcPr>
            <w:tcW w:type="dxa" w:w="1750"/>
            <w:tcMar>
              <w:top w:type="dxa" w:w="80"/>
              <w:left w:type="dxa" w:w="100"/>
              <w:bottom w:type="dxa" w:w="80"/>
              <w:right w:type="dxa" w:w="100"/>
            </w:tcMar>
          </w:tcPr>
          <w:p>
            <w:r>
              <w:rPr>
                <w:color w:val="1E293B"/>
                <w:sz w:val="18"/>
                <w:szCs w:val="18"/>
              </w:rPr>
              <w:t xml:space="preserve">Payment at Maturity</w:t>
            </w:r>
          </w:p>
        </w:tc>
        <w:tc>
          <w:tcPr>
            <w:tcW w:type="dxa" w:w="4550"/>
            <w:tcMar>
              <w:top w:type="dxa" w:w="80"/>
              <w:left w:type="dxa" w:w="100"/>
              <w:bottom w:type="dxa" w:w="80"/>
              <w:right w:type="dxa" w:w="100"/>
            </w:tcMar>
          </w:tcPr>
          <w:p>
            <w:r>
              <w:rPr>
                <w:color w:val="1E293B"/>
                <w:sz w:val="18"/>
                <w:szCs w:val="18"/>
              </w:rPr>
              <w:t xml:space="preserve">A deferred-payment or usance LC obligation falls due and is settled on its maturity date, independent of any earlier acceptance event.</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Customer A/C (secondary settlement account)</w:t>
            </w:r>
          </w:p>
        </w:tc>
      </w:tr>
      <w:tr>
        <w:tc>
          <w:tcPr>
            <w:tcW w:type="dxa" w:w="1750"/>
            <w:tcMar>
              <w:top w:type="dxa" w:w="80"/>
              <w:left w:type="dxa" w:w="100"/>
              <w:bottom w:type="dxa" w:w="80"/>
              <w:right w:type="dxa" w:w="100"/>
            </w:tcMar>
          </w:tcPr>
          <w:p>
            <w:r>
              <w:rPr>
                <w:color w:val="1E293B"/>
                <w:sz w:val="18"/>
                <w:szCs w:val="18"/>
              </w:rPr>
              <w:t xml:space="preserve">Issue — Charge Component Bridge (PASS — architecture pattern, not legacy-traced)</w:t>
            </w:r>
          </w:p>
        </w:tc>
        <w:tc>
          <w:tcPr>
            <w:tcW w:type="dxa" w:w="4550"/>
            <w:tcMar>
              <w:top w:type="dxa" w:w="80"/>
              <w:left w:type="dxa" w:w="100"/>
              <w:bottom w:type="dxa" w:w="80"/>
              <w:right w:type="dxa" w:w="100"/>
            </w:tcMar>
          </w:tcPr>
          <w:p>
            <w:r>
              <w:rPr>
                <w:color w:val="1E293B"/>
                <w:sz w:val="18"/>
                <w:szCs w:val="18"/>
              </w:rPr>
              <w:t xml:space="preserve">At LC issuance, the bank collects its issuance commission, margin, and ancillary charges from the applicant in a single debit, while a separate Charge Component calculates and books the itemised Margin/Commission/Charge lines. See §7.8 for the full mechanism.</w:t>
            </w:r>
          </w:p>
        </w:tc>
        <w:tc>
          <w:tcPr>
            <w:tcW w:type="dxa" w:w="1350"/>
            <w:tcMar>
              <w:top w:type="dxa" w:w="80"/>
              <w:left w:type="dxa" w:w="100"/>
              <w:bottom w:type="dxa" w:w="80"/>
              <w:right w:type="dxa" w:w="100"/>
            </w:tcMar>
          </w:tcPr>
          <w:p>
            <w:r>
              <w:rPr>
                <w:color w:val="1E293B"/>
                <w:sz w:val="18"/>
                <w:szCs w:val="18"/>
              </w:rPr>
              <w:t xml:space="preserve">Customer A/C (Applicant)</w:t>
            </w:r>
          </w:p>
        </w:tc>
        <w:tc>
          <w:tcPr>
            <w:tcW w:type="dxa" w:w="1700"/>
            <w:tcMar>
              <w:top w:type="dxa" w:w="80"/>
              <w:left w:type="dxa" w:w="100"/>
              <w:bottom w:type="dxa" w:w="80"/>
              <w:right w:type="dxa" w:w="100"/>
            </w:tcMar>
          </w:tcPr>
          <w:p>
            <w:r>
              <w:rPr>
                <w:color w:val="1E293B"/>
                <w:sz w:val="18"/>
                <w:szCs w:val="18"/>
              </w:rPr>
              <w:t xml:space="preserve">Suspense — Credit (clearing to the Charge Component)</w:t>
            </w:r>
          </w:p>
        </w:tc>
      </w:tr>
    </w:tbl>
    <w:p>
      <w:pPr>
        <w:spacing w:after="120" w:before="40"/>
      </w:pPr>
      <w:r>
        <w:rPr>
          <w:i/>
          <w:iCs/>
          <w:color w:val="64748B"/>
          <w:sz w:val="16"/>
          <w:szCs w:val="16"/>
        </w:rPr>
        <w:t xml:space="preserve">Pay/Accept — source citation: </w:t>
      </w:r>
      <w:r>
        <w:rPr>
          <w:i/>
          <w:iCs/>
          <w:color w:val="64748B"/>
          <w:sz w:val="16"/>
          <w:szCs w:val="16"/>
        </w:rPr>
        <w:t xml:space="preserve">SYF_IPLC_IPLC_PayAccept.js:23</w:t>
      </w:r>
    </w:p>
    <w:p>
      <w:pPr>
        <w:spacing w:after="120" w:before="40"/>
      </w:pPr>
      <w:r>
        <w:rPr>
          <w:i/>
          <w:iCs/>
          <w:color w:val="64748B"/>
          <w:sz w:val="16"/>
          <w:szCs w:val="16"/>
        </w:rPr>
        <w:t xml:space="preserve">Pay/Accept With Discount — source citation: </w:t>
      </w:r>
      <w:r>
        <w:rPr>
          <w:i/>
          <w:iCs/>
          <w:color w:val="64748B"/>
          <w:sz w:val="16"/>
          <w:szCs w:val="16"/>
        </w:rPr>
        <w:t xml:space="preserve">SYF_IPLC_IPLC_PayAcceptWithDiscount.js:23</w:t>
      </w:r>
    </w:p>
    <w:p>
      <w:pPr>
        <w:spacing w:after="120" w:before="40"/>
      </w:pPr>
      <w:r>
        <w:rPr>
          <w:i/>
          <w:iCs/>
          <w:color w:val="64748B"/>
          <w:sz w:val="16"/>
          <w:szCs w:val="16"/>
        </w:rPr>
        <w:t xml:space="preserve">Payment at Maturity — source citation: </w:t>
      </w:r>
      <w:r>
        <w:rPr>
          <w:i/>
          <w:iCs/>
          <w:color w:val="64748B"/>
          <w:sz w:val="16"/>
          <w:szCs w:val="16"/>
        </w:rPr>
        <w:t xml:space="preserve">SYF_IPLC_IPLC_PaymentAtMaturity.js:20</w:t>
      </w:r>
    </w:p>
    <w:p>
      <w:pPr>
        <w:spacing w:after="120" w:before="40"/>
      </w:pPr>
      <w:r>
        <w:rPr>
          <w:i/>
          <w:iCs/>
          <w:color w:val="64748B"/>
          <w:sz w:val="16"/>
          <w:szCs w:val="16"/>
        </w:rPr>
        <w:t xml:space="preserve">Issue — Charge Component Bridge — source citation: </w:t>
      </w:r>
      <w:r>
        <w:rPr>
          <w:i/>
          <w:iCs/>
          <w:color w:val="64748B"/>
          <w:sz w:val="16"/>
          <w:szCs w:val="16"/>
        </w:rPr>
        <w:t xml:space="preserve">Reviewer-confirmed architecture pattern (2026-08-09) — not one of the legacy-traced Payment Component consumers</w:t>
      </w:r>
    </w:p>
    <w:p>
      <w:pPr>
        <w:pStyle w:val="Heading2"/>
        <w:spacing w:after="140" w:before="280"/>
      </w:pPr>
      <w:r>
        <w:rPr>
          <w:color w:val="2563EB"/>
        </w:rPr>
        <w:t xml:space="preserve">EPLC — Export Letter of Credit</w:t>
      </w:r>
    </w:p>
    <w:p>
      <w:pPr>
        <w:spacing w:after="160"/>
      </w:pPr>
      <w:r>
        <w:t xml:space="preserve">EPLC covers the advising, confirming, or negotiating bank’s side of an LC where the bank’s own customer is the Beneficiary (exporter). The bank’s obligation runs the other way from IPLC: it pays out to its own customer, then recovers from the issuing bank’s correspondent (Nostro) or, if it has discounted the draft, carries that exposure until the issuing bank actually reimburses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Pay/Accept</w:t>
            </w:r>
          </w:p>
        </w:tc>
        <w:tc>
          <w:tcPr>
            <w:tcW w:type="dxa" w:w="4550"/>
            <w:tcMar>
              <w:top w:type="dxa" w:w="80"/>
              <w:left w:type="dxa" w:w="100"/>
              <w:bottom w:type="dxa" w:w="80"/>
              <w:right w:type="dxa" w:w="100"/>
            </w:tcMar>
          </w:tcPr>
          <w:p>
            <w:r>
              <w:rPr>
                <w:color w:val="1E293B"/>
                <w:sz w:val="18"/>
                <w:szCs w:val="18"/>
              </w:rPr>
              <w:t xml:space="preserve">The bank honours a complying presentation by paying its own customer (the exporter/beneficiary) and looks to its Nostro correspondent for reimbursement from the issuing bank.</w:t>
            </w:r>
          </w:p>
        </w:tc>
        <w:tc>
          <w:tcPr>
            <w:tcW w:type="dxa" w:w="1350"/>
            <w:tcMar>
              <w:top w:type="dxa" w:w="80"/>
              <w:left w:type="dxa" w:w="100"/>
              <w:bottom w:type="dxa" w:w="80"/>
              <w:right w:type="dxa" w:w="100"/>
            </w:tcMar>
          </w:tcPr>
          <w:p>
            <w:r>
              <w:rPr>
                <w:color w:val="1E293B"/>
                <w:sz w:val="18"/>
                <w:szCs w:val="18"/>
              </w:rPr>
              <w:t xml:space="preserve">Nostro A/C (reimbursement receivable)</w:t>
            </w:r>
          </w:p>
        </w:tc>
        <w:tc>
          <w:tcPr>
            <w:tcW w:type="dxa" w:w="1700"/>
            <w:tcMar>
              <w:top w:type="dxa" w:w="80"/>
              <w:left w:type="dxa" w:w="100"/>
              <w:bottom w:type="dxa" w:w="80"/>
              <w:right w:type="dxa" w:w="100"/>
            </w:tcMar>
          </w:tcPr>
          <w:p>
            <w:r>
              <w:rPr>
                <w:color w:val="1E293B"/>
                <w:sz w:val="18"/>
                <w:szCs w:val="18"/>
              </w:rPr>
              <w:t xml:space="preserve">Customer A/C (Beneficiary)</w:t>
            </w:r>
          </w:p>
        </w:tc>
      </w:tr>
      <w:tr>
        <w:tc>
          <w:tcPr>
            <w:tcW w:type="dxa" w:w="1750"/>
            <w:tcMar>
              <w:top w:type="dxa" w:w="80"/>
              <w:left w:type="dxa" w:w="100"/>
              <w:bottom w:type="dxa" w:w="80"/>
              <w:right w:type="dxa" w:w="100"/>
            </w:tcMar>
          </w:tcPr>
          <w:p>
            <w:r>
              <w:rPr>
                <w:color w:val="1E293B"/>
                <w:sz w:val="18"/>
                <w:szCs w:val="18"/>
              </w:rPr>
              <w:t xml:space="preserve">Pay at Maturity</w:t>
            </w:r>
          </w:p>
        </w:tc>
        <w:tc>
          <w:tcPr>
            <w:tcW w:type="dxa" w:w="4550"/>
            <w:tcMar>
              <w:top w:type="dxa" w:w="80"/>
              <w:left w:type="dxa" w:w="100"/>
              <w:bottom w:type="dxa" w:w="80"/>
              <w:right w:type="dxa" w:w="100"/>
            </w:tcMar>
          </w:tcPr>
          <w:p>
            <w:r>
              <w:rPr>
                <w:color w:val="1E293B"/>
                <w:sz w:val="18"/>
                <w:szCs w:val="18"/>
              </w:rPr>
              <w:t xml:space="preserve">A deferred-payment or usance export LC is settled to the beneficiary on its maturity date.</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w:t>
            </w:r>
          </w:p>
        </w:tc>
      </w:tr>
      <w:tr>
        <w:tc>
          <w:tcPr>
            <w:tcW w:type="dxa" w:w="1750"/>
            <w:tcMar>
              <w:top w:type="dxa" w:w="80"/>
              <w:left w:type="dxa" w:w="100"/>
              <w:bottom w:type="dxa" w:w="80"/>
              <w:right w:type="dxa" w:w="100"/>
            </w:tcMar>
          </w:tcPr>
          <w:p>
            <w:r>
              <w:rPr>
                <w:color w:val="1E293B"/>
                <w:sz w:val="18"/>
                <w:szCs w:val="18"/>
              </w:rPr>
              <w:t xml:space="preserve">Discount</w:t>
            </w:r>
          </w:p>
        </w:tc>
        <w:tc>
          <w:tcPr>
            <w:tcW w:type="dxa" w:w="4550"/>
            <w:tcMar>
              <w:top w:type="dxa" w:w="80"/>
              <w:left w:type="dxa" w:w="100"/>
              <w:bottom w:type="dxa" w:w="80"/>
              <w:right w:type="dxa" w:w="100"/>
            </w:tcMar>
          </w:tcPr>
          <w:p>
            <w:r>
              <w:rPr>
                <w:color w:val="1E293B"/>
                <w:sz w:val="18"/>
                <w:szCs w:val="18"/>
              </w:rPr>
              <w:t xml:space="preserve">The bank gives the exporter early value for a usance draft or deferred-payment undertaking by discounting it — paying now, net of a discount charge, ahead of the issuing bank’s eventual reimbursement.</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bl>
    <w:p>
      <w:pPr>
        <w:spacing w:after="120" w:before="40"/>
      </w:pPr>
      <w:r>
        <w:rPr>
          <w:i/>
          <w:iCs/>
          <w:color w:val="64748B"/>
          <w:sz w:val="16"/>
          <w:szCs w:val="16"/>
        </w:rPr>
        <w:t xml:space="preserve">Pay/Accept — source citation: </w:t>
      </w:r>
      <w:r>
        <w:rPr>
          <w:i/>
          <w:iCs/>
          <w:color w:val="64748B"/>
          <w:sz w:val="16"/>
          <w:szCs w:val="16"/>
        </w:rPr>
        <w:t xml:space="preserve">SYF_EPLC_EPLC_PayAccept.js:19</w:t>
      </w:r>
    </w:p>
    <w:p>
      <w:pPr>
        <w:spacing w:after="120" w:before="40"/>
      </w:pPr>
      <w:r>
        <w:rPr>
          <w:i/>
          <w:iCs/>
          <w:color w:val="64748B"/>
          <w:sz w:val="16"/>
          <w:szCs w:val="16"/>
        </w:rPr>
        <w:t xml:space="preserve">Pay at Maturity — source citation: </w:t>
      </w:r>
      <w:r>
        <w:rPr>
          <w:i/>
          <w:iCs/>
          <w:color w:val="64748B"/>
          <w:sz w:val="16"/>
          <w:szCs w:val="16"/>
        </w:rPr>
        <w:t xml:space="preserve">SYF_EPLC_EPLC_PayAtMaturity.js:16</w:t>
      </w:r>
    </w:p>
    <w:p>
      <w:pPr>
        <w:spacing w:after="120" w:before="40"/>
      </w:pPr>
      <w:r>
        <w:rPr>
          <w:i/>
          <w:iCs/>
          <w:color w:val="64748B"/>
          <w:sz w:val="16"/>
          <w:szCs w:val="16"/>
        </w:rPr>
        <w:t xml:space="preserve">Discount — source citation: </w:t>
      </w:r>
      <w:r>
        <w:rPr>
          <w:i/>
          <w:iCs/>
          <w:color w:val="64748B"/>
          <w:sz w:val="16"/>
          <w:szCs w:val="16"/>
        </w:rPr>
        <w:t xml:space="preserve">SYF_EPLC_EPLC_Discount.js:48</w:t>
      </w:r>
    </w:p>
    <w:p>
      <w:pPr>
        <w:pStyle w:val="Heading2"/>
        <w:spacing w:after="140" w:before="280"/>
      </w:pPr>
      <w:r>
        <w:rPr>
          <w:color w:val="2563EB"/>
        </w:rPr>
        <w:t xml:space="preserve">IMCO — Import Collection</w:t>
      </w:r>
    </w:p>
    <w:p>
      <w:pPr>
        <w:spacing w:after="160"/>
      </w:pPr>
      <w:r>
        <w:t xml:space="preserve">IMCO covers documentary collections where the bank acts as the presenting bank on behalf of an overseas remitting bank, releasing shipping documents to the importer against either payment or acceptance, per URC 522. Unlike an LC, the bank carries no independent payment undertaking — it acts purely as a collection agent, so every posting here is a straightforward settlement between the customer and the correspondent.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Pre-Payment</w:t>
            </w:r>
          </w:p>
        </w:tc>
        <w:tc>
          <w:tcPr>
            <w:tcW w:type="dxa" w:w="4550"/>
            <w:tcMar>
              <w:top w:type="dxa" w:w="80"/>
              <w:left w:type="dxa" w:w="100"/>
              <w:bottom w:type="dxa" w:w="80"/>
              <w:right w:type="dxa" w:w="100"/>
            </w:tcMar>
          </w:tcPr>
          <w:p>
            <w:r>
              <w:rPr>
                <w:color w:val="1E293B"/>
                <w:sz w:val="18"/>
                <w:szCs w:val="18"/>
              </w:rPr>
              <w:t xml:space="preserve">The importer pays in advance of document release (an anticipatory arrangement, or the bank’s own risk appetite requiring cleared funds first).</w:t>
            </w:r>
          </w:p>
        </w:tc>
        <w:tc>
          <w:tcPr>
            <w:tcW w:type="dxa" w:w="1350"/>
            <w:tcMar>
              <w:top w:type="dxa" w:w="80"/>
              <w:left w:type="dxa" w:w="100"/>
              <w:bottom w:type="dxa" w:w="80"/>
              <w:right w:type="dxa" w:w="100"/>
            </w:tcMar>
          </w:tcPr>
          <w:p>
            <w:r>
              <w:rPr>
                <w:color w:val="1E293B"/>
                <w:sz w:val="18"/>
                <w:szCs w:val="18"/>
              </w:rPr>
              <w:t xml:space="preserve">Customer A/C (Importer)</w:t>
            </w:r>
          </w:p>
        </w:tc>
        <w:tc>
          <w:tcPr>
            <w:tcW w:type="dxa" w:w="1700"/>
            <w:tcMar>
              <w:top w:type="dxa" w:w="80"/>
              <w:left w:type="dxa" w:w="100"/>
              <w:bottom w:type="dxa" w:w="80"/>
              <w:right w:type="dxa" w:w="100"/>
            </w:tcMar>
          </w:tcPr>
          <w:p>
            <w:r>
              <w:rPr>
                <w:color w:val="1E293B"/>
                <w:sz w:val="18"/>
                <w:szCs w:val="18"/>
              </w:rPr>
              <w:t xml:space="preserve">Nostro A/C</w:t>
            </w:r>
          </w:p>
        </w:tc>
      </w:tr>
      <w:tr>
        <w:tc>
          <w:tcPr>
            <w:tcW w:type="dxa" w:w="1750"/>
            <w:tcMar>
              <w:top w:type="dxa" w:w="80"/>
              <w:left w:type="dxa" w:w="100"/>
              <w:bottom w:type="dxa" w:w="80"/>
              <w:right w:type="dxa" w:w="100"/>
            </w:tcMar>
          </w:tcPr>
          <w:p>
            <w:r>
              <w:rPr>
                <w:color w:val="1E293B"/>
                <w:sz w:val="18"/>
                <w:szCs w:val="18"/>
              </w:rPr>
              <w:t xml:space="preserve">Payment D/P (Documents against Payment)</w:t>
            </w:r>
          </w:p>
        </w:tc>
        <w:tc>
          <w:tcPr>
            <w:tcW w:type="dxa" w:w="4550"/>
            <w:tcMar>
              <w:top w:type="dxa" w:w="80"/>
              <w:left w:type="dxa" w:w="100"/>
              <w:bottom w:type="dxa" w:w="80"/>
              <w:right w:type="dxa" w:w="100"/>
            </w:tcMar>
          </w:tcPr>
          <w:p>
            <w:r>
              <w:rPr>
                <w:color w:val="1E293B"/>
                <w:sz w:val="18"/>
                <w:szCs w:val="18"/>
              </w:rPr>
              <w:t xml:space="preserve">The importer pays immediately to receive the shipping documents — the classic D/P collection settlement.</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r>
        <w:tc>
          <w:tcPr>
            <w:tcW w:type="dxa" w:w="1750"/>
            <w:tcMar>
              <w:top w:type="dxa" w:w="80"/>
              <w:left w:type="dxa" w:w="100"/>
              <w:bottom w:type="dxa" w:w="80"/>
              <w:right w:type="dxa" w:w="100"/>
            </w:tcMar>
          </w:tcPr>
          <w:p>
            <w:r>
              <w:rPr>
                <w:color w:val="1E293B"/>
                <w:sz w:val="18"/>
                <w:szCs w:val="18"/>
              </w:rPr>
              <w:t xml:space="preserve">Settlement D/A (Documents against Acceptance)</w:t>
            </w:r>
          </w:p>
        </w:tc>
        <w:tc>
          <w:tcPr>
            <w:tcW w:type="dxa" w:w="4550"/>
            <w:tcMar>
              <w:top w:type="dxa" w:w="80"/>
              <w:left w:type="dxa" w:w="100"/>
              <w:bottom w:type="dxa" w:w="80"/>
              <w:right w:type="dxa" w:w="100"/>
            </w:tcMar>
          </w:tcPr>
          <w:p>
            <w:r>
              <w:rPr>
                <w:color w:val="1E293B"/>
                <w:sz w:val="18"/>
                <w:szCs w:val="18"/>
              </w:rPr>
              <w:t xml:space="preserve">The importer accepts a time draft to receive the documents now, deferring actual payment to a future maturity date — the only IMCO function that also generates a Liability Voucher, since an unsettled acceptance obligation exists until maturity.</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bl>
    <w:p>
      <w:pPr>
        <w:spacing w:after="120" w:before="40"/>
      </w:pPr>
      <w:r>
        <w:rPr>
          <w:i/>
          <w:iCs/>
          <w:color w:val="64748B"/>
          <w:sz w:val="16"/>
          <w:szCs w:val="16"/>
        </w:rPr>
        <w:t xml:space="preserve">Pre-Payment — source citation: </w:t>
      </w:r>
      <w:r>
        <w:rPr>
          <w:i/>
          <w:iCs/>
          <w:color w:val="64748B"/>
          <w:sz w:val="16"/>
          <w:szCs w:val="16"/>
        </w:rPr>
        <w:t xml:space="preserve">SYF_IMCO_PrePayment.js:184</w:t>
      </w:r>
    </w:p>
    <w:p>
      <w:pPr>
        <w:spacing w:after="120" w:before="40"/>
      </w:pPr>
      <w:r>
        <w:rPr>
          <w:i/>
          <w:iCs/>
          <w:color w:val="64748B"/>
          <w:sz w:val="16"/>
          <w:szCs w:val="16"/>
        </w:rPr>
        <w:t xml:space="preserve">Payment D/P (Documents against Payment) — source citation: </w:t>
      </w:r>
      <w:r>
        <w:rPr>
          <w:i/>
          <w:iCs/>
          <w:color w:val="64748B"/>
          <w:sz w:val="16"/>
          <w:szCs w:val="16"/>
        </w:rPr>
        <w:t xml:space="preserve">SYF_IMCO_PaymentDP.js:187</w:t>
      </w:r>
    </w:p>
    <w:p>
      <w:pPr>
        <w:spacing w:after="120" w:before="40"/>
      </w:pPr>
      <w:r>
        <w:rPr>
          <w:i/>
          <w:iCs/>
          <w:color w:val="64748B"/>
          <w:sz w:val="16"/>
          <w:szCs w:val="16"/>
        </w:rPr>
        <w:t xml:space="preserve">Settlement D/A (Documents against Acceptance) — source citation: </w:t>
      </w:r>
      <w:r>
        <w:rPr>
          <w:i/>
          <w:iCs/>
          <w:color w:val="64748B"/>
          <w:sz w:val="16"/>
          <w:szCs w:val="16"/>
        </w:rPr>
        <w:t xml:space="preserve">SYF_IMCO_SettlementDA.js:228</w:t>
      </w:r>
    </w:p>
    <w:p>
      <w:pPr>
        <w:pStyle w:val="Heading2"/>
        <w:spacing w:after="140" w:before="280"/>
      </w:pPr>
      <w:r>
        <w:rPr>
          <w:color w:val="2563EB"/>
        </w:rPr>
        <w:t xml:space="preserve">EXCO — Export Collection</w:t>
      </w:r>
    </w:p>
    <w:p>
      <w:pPr>
        <w:spacing w:after="160"/>
      </w:pPr>
      <w:r>
        <w:t xml:space="preserve">EXCO is the mirror image of IMCO: the bank forwards its own exporter customer’s shipping documents to an overseas collecting bank and, once proceeds are received (or if it chooses to discount the bill beforehand), settles with the exporter.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Payment</w:t>
            </w:r>
          </w:p>
        </w:tc>
        <w:tc>
          <w:tcPr>
            <w:tcW w:type="dxa" w:w="4550"/>
            <w:tcMar>
              <w:top w:type="dxa" w:w="80"/>
              <w:left w:type="dxa" w:w="100"/>
              <w:bottom w:type="dxa" w:w="80"/>
              <w:right w:type="dxa" w:w="100"/>
            </w:tcMar>
          </w:tcPr>
          <w:p>
            <w:r>
              <w:rPr>
                <w:color w:val="1E293B"/>
                <w:sz w:val="18"/>
                <w:szCs w:val="18"/>
              </w:rPr>
              <w:t xml:space="preserve">Collection proceeds are received from the correspondent and paid out to the exporter.</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 (Exporter)</w:t>
            </w:r>
          </w:p>
        </w:tc>
      </w:tr>
      <w:tr>
        <w:tc>
          <w:tcPr>
            <w:tcW w:type="dxa" w:w="1750"/>
            <w:tcMar>
              <w:top w:type="dxa" w:w="80"/>
              <w:left w:type="dxa" w:w="100"/>
              <w:bottom w:type="dxa" w:w="80"/>
              <w:right w:type="dxa" w:w="100"/>
            </w:tcMar>
          </w:tcPr>
          <w:p>
            <w:r>
              <w:rPr>
                <w:color w:val="1E293B"/>
                <w:sz w:val="18"/>
                <w:szCs w:val="18"/>
              </w:rPr>
              <w:t xml:space="preserve">Discount</w:t>
            </w:r>
          </w:p>
        </w:tc>
        <w:tc>
          <w:tcPr>
            <w:tcW w:type="dxa" w:w="4550"/>
            <w:tcMar>
              <w:top w:type="dxa" w:w="80"/>
              <w:left w:type="dxa" w:w="100"/>
              <w:bottom w:type="dxa" w:w="80"/>
              <w:right w:type="dxa" w:w="100"/>
            </w:tcMar>
          </w:tcPr>
          <w:p>
            <w:r>
              <w:rPr>
                <w:color w:val="1E293B"/>
                <w:sz w:val="18"/>
                <w:szCs w:val="18"/>
              </w:rPr>
              <w:t xml:space="preserve">The bank gives the exporter early value on an export bill before collection proceeds are actually received, carrying the exposure itself in the interim.</w:t>
            </w:r>
          </w:p>
        </w:tc>
        <w:tc>
          <w:tcPr>
            <w:tcW w:type="dxa" w:w="1350"/>
            <w:tcMar>
              <w:top w:type="dxa" w:w="80"/>
              <w:left w:type="dxa" w:w="100"/>
              <w:bottom w:type="dxa" w:w="80"/>
              <w:right w:type="dxa" w:w="100"/>
            </w:tcMar>
          </w:tcPr>
          <w:p>
            <w:r>
              <w:rPr>
                <w:color w:val="1E293B"/>
                <w:sz w:val="18"/>
                <w:szCs w:val="18"/>
              </w:rPr>
              <w:t xml:space="preserve">Customer A/C</w:t>
            </w:r>
          </w:p>
        </w:tc>
        <w:tc>
          <w:tcPr>
            <w:tcW w:type="dxa" w:w="1700"/>
            <w:tcMar>
              <w:top w:type="dxa" w:w="80"/>
              <w:left w:type="dxa" w:w="100"/>
              <w:bottom w:type="dxa" w:w="80"/>
              <w:right w:type="dxa" w:w="100"/>
            </w:tcMar>
          </w:tcPr>
          <w:p>
            <w:r>
              <w:rPr>
                <w:color w:val="1E293B"/>
                <w:sz w:val="18"/>
                <w:szCs w:val="18"/>
              </w:rPr>
              <w:t xml:space="preserve">Nostro A/C</w:t>
            </w:r>
          </w:p>
        </w:tc>
      </w:tr>
      <w:tr>
        <w:tc>
          <w:tcPr>
            <w:tcW w:type="dxa" w:w="1750"/>
            <w:tcMar>
              <w:top w:type="dxa" w:w="80"/>
              <w:left w:type="dxa" w:w="100"/>
              <w:bottom w:type="dxa" w:w="80"/>
              <w:right w:type="dxa" w:w="100"/>
            </w:tcMar>
          </w:tcPr>
          <w:p>
            <w:r>
              <w:rPr>
                <w:color w:val="1E293B"/>
                <w:sz w:val="18"/>
                <w:szCs w:val="18"/>
              </w:rPr>
              <w:t xml:space="preserve">Process 400 (Amendment/Protest Processing)</w:t>
            </w:r>
          </w:p>
        </w:tc>
        <w:tc>
          <w:tcPr>
            <w:tcW w:type="dxa" w:w="4550"/>
            <w:tcMar>
              <w:top w:type="dxa" w:w="80"/>
              <w:left w:type="dxa" w:w="100"/>
              <w:bottom w:type="dxa" w:w="80"/>
              <w:right w:type="dxa" w:w="100"/>
            </w:tcMar>
          </w:tcPr>
          <w:p>
            <w:r>
              <w:rPr>
                <w:color w:val="1E293B"/>
                <w:sz w:val="18"/>
                <w:szCs w:val="18"/>
              </w:rPr>
              <w:t xml:space="preserve">A dishonoured or amended collection is processed — e.g. reversing or adjusting an earlier settlement when the importer’s bank protests or amends the terms.</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w:t>
            </w:r>
          </w:p>
        </w:tc>
      </w:tr>
      <w:tr>
        <w:tc>
          <w:tcPr>
            <w:tcW w:type="dxa" w:w="1750"/>
            <w:tcMar>
              <w:top w:type="dxa" w:w="80"/>
              <w:left w:type="dxa" w:w="100"/>
              <w:bottom w:type="dxa" w:w="80"/>
              <w:right w:type="dxa" w:w="100"/>
            </w:tcMar>
          </w:tcPr>
          <w:p>
            <w:r>
              <w:rPr>
                <w:color w:val="1E293B"/>
                <w:sz w:val="18"/>
                <w:szCs w:val="18"/>
              </w:rPr>
              <w:t xml:space="preserve">Settlement at Maturity</w:t>
            </w:r>
          </w:p>
        </w:tc>
        <w:tc>
          <w:tcPr>
            <w:tcW w:type="dxa" w:w="4550"/>
            <w:tcMar>
              <w:top w:type="dxa" w:w="80"/>
              <w:left w:type="dxa" w:w="100"/>
              <w:bottom w:type="dxa" w:w="80"/>
              <w:right w:type="dxa" w:w="100"/>
            </w:tcMar>
          </w:tcPr>
          <w:p>
            <w:r>
              <w:rPr>
                <w:color w:val="1E293B"/>
                <w:sz w:val="18"/>
                <w:szCs w:val="18"/>
              </w:rPr>
              <w:t xml:space="preserve">A usance (time) export collection is settled to the exporter on its agreed maturity date.</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Customer A/C</w:t>
            </w:r>
          </w:p>
        </w:tc>
      </w:tr>
    </w:tbl>
    <w:p>
      <w:pPr>
        <w:spacing w:after="120" w:before="40"/>
      </w:pPr>
      <w:r>
        <w:rPr>
          <w:i/>
          <w:iCs/>
          <w:color w:val="64748B"/>
          <w:sz w:val="16"/>
          <w:szCs w:val="16"/>
        </w:rPr>
        <w:t xml:space="preserve">Payment — source citation: </w:t>
      </w:r>
      <w:r>
        <w:rPr>
          <w:i/>
          <w:iCs/>
          <w:color w:val="64748B"/>
          <w:sz w:val="16"/>
          <w:szCs w:val="16"/>
        </w:rPr>
        <w:t xml:space="preserve">SYF_EXCO_EXCO_Payment.js:43</w:t>
      </w:r>
    </w:p>
    <w:p>
      <w:pPr>
        <w:spacing w:after="120" w:before="40"/>
      </w:pPr>
      <w:r>
        <w:rPr>
          <w:i/>
          <w:iCs/>
          <w:color w:val="64748B"/>
          <w:sz w:val="16"/>
          <w:szCs w:val="16"/>
        </w:rPr>
        <w:t xml:space="preserve">Discount — source citation: </w:t>
      </w:r>
      <w:r>
        <w:rPr>
          <w:i/>
          <w:iCs/>
          <w:color w:val="64748B"/>
          <w:sz w:val="16"/>
          <w:szCs w:val="16"/>
        </w:rPr>
        <w:t xml:space="preserve">SYF_EXCO_EXCO_Discount.js:30</w:t>
      </w:r>
    </w:p>
    <w:p>
      <w:pPr>
        <w:spacing w:after="120" w:before="40"/>
      </w:pPr>
      <w:r>
        <w:rPr>
          <w:i/>
          <w:iCs/>
          <w:color w:val="64748B"/>
          <w:sz w:val="16"/>
          <w:szCs w:val="16"/>
        </w:rPr>
        <w:t xml:space="preserve">Process 400 (Amendment/Protest Processing) — source citation: </w:t>
      </w:r>
      <w:r>
        <w:rPr>
          <w:i/>
          <w:iCs/>
          <w:color w:val="64748B"/>
          <w:sz w:val="16"/>
          <w:szCs w:val="16"/>
        </w:rPr>
        <w:t xml:space="preserve">SYF_EXCO_EXCO_Process400.js:237</w:t>
      </w:r>
    </w:p>
    <w:p>
      <w:pPr>
        <w:spacing w:after="120" w:before="40"/>
      </w:pPr>
      <w:r>
        <w:rPr>
          <w:i/>
          <w:iCs/>
          <w:color w:val="64748B"/>
          <w:sz w:val="16"/>
          <w:szCs w:val="16"/>
        </w:rPr>
        <w:t xml:space="preserve">Settlement at Maturity — source citation: </w:t>
      </w:r>
      <w:r>
        <w:rPr>
          <w:i/>
          <w:iCs/>
          <w:color w:val="64748B"/>
          <w:sz w:val="16"/>
          <w:szCs w:val="16"/>
        </w:rPr>
        <w:t xml:space="preserve">SYF_EXCO_EXCO_SettlementAtMaturity.js:52</w:t>
      </w:r>
    </w:p>
    <w:p>
      <w:pPr>
        <w:pStyle w:val="Heading2"/>
        <w:spacing w:after="140" w:before="280"/>
      </w:pPr>
      <w:r>
        <w:rPr>
          <w:color w:val="2563EB"/>
        </w:rPr>
        <w:t xml:space="preserve">GTEE — Outward Guarantee</w:t>
      </w:r>
    </w:p>
    <w:p>
      <w:pPr>
        <w:spacing w:after="160"/>
      </w:pPr>
      <w:r>
        <w:t xml:space="preserve">GTEE covers guarantees and standbys the bank issues on behalf of its own customer (the Applicant) in favour of a third-party Beneficiary. Of the roughly 55 non-CE Confirm functions in this module, only one — settling a beneficiary’s claim — reaches the shared Payment Component settlement layer; issuance, amendment, and most lifecycle events are guarantee-specific bookkeeping that never touches Dr/Cr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Outward Claim Settlement</w:t>
            </w:r>
          </w:p>
        </w:tc>
        <w:tc>
          <w:tcPr>
            <w:tcW w:type="dxa" w:w="4550"/>
            <w:tcMar>
              <w:top w:type="dxa" w:w="80"/>
              <w:left w:type="dxa" w:w="100"/>
              <w:bottom w:type="dxa" w:w="80"/>
              <w:right w:type="dxa" w:w="100"/>
            </w:tcMar>
          </w:tcPr>
          <w:p>
            <w:r>
              <w:rPr>
                <w:color w:val="1E293B"/>
                <w:sz w:val="18"/>
                <w:szCs w:val="18"/>
              </w:rPr>
              <w:t xml:space="preserve">A beneficiary makes a valid demand under the guarantee and the bank pays out, then looks to recover from its own applicant/customer.</w:t>
            </w:r>
          </w:p>
        </w:tc>
        <w:tc>
          <w:tcPr>
            <w:tcW w:type="dxa" w:w="1350"/>
            <w:tcMar>
              <w:top w:type="dxa" w:w="80"/>
              <w:left w:type="dxa" w:w="100"/>
              <w:bottom w:type="dxa" w:w="80"/>
              <w:right w:type="dxa" w:w="100"/>
            </w:tcMar>
          </w:tcPr>
          <w:p>
            <w:r>
              <w:rPr>
                <w:color w:val="1E293B"/>
                <w:sz w:val="18"/>
                <w:szCs w:val="18"/>
              </w:rPr>
              <w:t xml:space="preserve">Nostro A/C</w:t>
            </w:r>
          </w:p>
        </w:tc>
        <w:tc>
          <w:tcPr>
            <w:tcW w:type="dxa" w:w="1700"/>
            <w:tcMar>
              <w:top w:type="dxa" w:w="80"/>
              <w:left w:type="dxa" w:w="100"/>
              <w:bottom w:type="dxa" w:w="80"/>
              <w:right w:type="dxa" w:w="100"/>
            </w:tcMar>
          </w:tcPr>
          <w:p>
            <w:r>
              <w:rPr>
                <w:color w:val="1E293B"/>
                <w:sz w:val="18"/>
                <w:szCs w:val="18"/>
              </w:rPr>
              <w:t xml:space="preserve">Vostro A/C</w:t>
            </w:r>
          </w:p>
        </w:tc>
      </w:tr>
    </w:tbl>
    <w:p>
      <w:pPr>
        <w:spacing w:after="120" w:before="40"/>
      </w:pPr>
      <w:r>
        <w:rPr>
          <w:i/>
          <w:iCs/>
          <w:color w:val="64748B"/>
          <w:sz w:val="16"/>
          <w:szCs w:val="16"/>
        </w:rPr>
        <w:t xml:space="preserve">Outward Claim Settlement — source citation: </w:t>
      </w:r>
      <w:r>
        <w:rPr>
          <w:i/>
          <w:iCs/>
          <w:color w:val="64748B"/>
          <w:sz w:val="16"/>
          <w:szCs w:val="16"/>
        </w:rPr>
        <w:t xml:space="preserve">SYF_GTEE_OutwardClaimSettlement.js:43</w:t>
      </w:r>
    </w:p>
    <w:p>
      <w:pPr>
        <w:pStyle w:val="Heading2"/>
        <w:spacing w:after="140" w:before="280"/>
      </w:pPr>
      <w:r>
        <w:rPr>
          <w:color w:val="2563EB"/>
        </w:rPr>
        <w:t xml:space="preserve">IWGT — Inward Guarantee</w:t>
      </w:r>
    </w:p>
    <w:p>
      <w:pPr>
        <w:spacing w:after="160"/>
      </w:pPr>
      <w:r>
        <w:t xml:space="preserve">IWGT is the counter-guarantee side: the bank acts as counter-guarantor or advising/confirming bank for a guarantee issued by an overseas correspondent, with a Vostro relationship standing in for that correspondent.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Settle Inward Claim</w:t>
            </w:r>
          </w:p>
        </w:tc>
        <w:tc>
          <w:tcPr>
            <w:tcW w:type="dxa" w:w="4550"/>
            <w:tcMar>
              <w:top w:type="dxa" w:w="80"/>
              <w:left w:type="dxa" w:w="100"/>
              <w:bottom w:type="dxa" w:w="80"/>
              <w:right w:type="dxa" w:w="100"/>
            </w:tcMar>
          </w:tcPr>
          <w:p>
            <w:r>
              <w:rPr>
                <w:color w:val="1E293B"/>
                <w:sz w:val="18"/>
                <w:szCs w:val="18"/>
              </w:rPr>
              <w:t xml:space="preserve">A claim is received under an inward guarantee and paid, with the bank then recovering from the correspondent that issued the underlying guarantee. A Liability Voucher is only generated when the guarantee’s method of issuance is “Issue” (not “Advice”) — an advised-only guarantee carries no liability booking here.</w:t>
            </w:r>
          </w:p>
        </w:tc>
        <w:tc>
          <w:tcPr>
            <w:tcW w:type="dxa" w:w="1350"/>
            <w:tcMar>
              <w:top w:type="dxa" w:w="80"/>
              <w:left w:type="dxa" w:w="100"/>
              <w:bottom w:type="dxa" w:w="80"/>
              <w:right w:type="dxa" w:w="100"/>
            </w:tcMar>
          </w:tcPr>
          <w:p>
            <w:r>
              <w:rPr>
                <w:color w:val="1E293B"/>
                <w:sz w:val="18"/>
                <w:szCs w:val="18"/>
              </w:rPr>
              <w:t xml:space="preserve">Vostro A/C</w:t>
            </w:r>
          </w:p>
        </w:tc>
        <w:tc>
          <w:tcPr>
            <w:tcW w:type="dxa" w:w="1700"/>
            <w:tcMar>
              <w:top w:type="dxa" w:w="80"/>
              <w:left w:type="dxa" w:w="100"/>
              <w:bottom w:type="dxa" w:w="80"/>
              <w:right w:type="dxa" w:w="100"/>
            </w:tcMar>
          </w:tcPr>
          <w:p>
            <w:r>
              <w:rPr>
                <w:color w:val="1E293B"/>
                <w:sz w:val="18"/>
                <w:szCs w:val="18"/>
              </w:rPr>
              <w:t xml:space="preserve">Customer A/C</w:t>
            </w:r>
          </w:p>
        </w:tc>
      </w:tr>
    </w:tbl>
    <w:p>
      <w:pPr>
        <w:spacing w:after="120" w:before="40"/>
      </w:pPr>
      <w:r>
        <w:rPr>
          <w:i/>
          <w:iCs/>
          <w:color w:val="64748B"/>
          <w:sz w:val="16"/>
          <w:szCs w:val="16"/>
        </w:rPr>
        <w:t xml:space="preserve">Settle Inward Claim — source citation: </w:t>
      </w:r>
      <w:r>
        <w:rPr>
          <w:i/>
          <w:iCs/>
          <w:color w:val="64748B"/>
          <w:sz w:val="16"/>
          <w:szCs w:val="16"/>
        </w:rPr>
        <w:t xml:space="preserve">SYF_IWGT_SettleInwClaim.js:49</w:t>
      </w:r>
    </w:p>
    <w:p>
      <w:pPr>
        <w:pStyle w:val="Heading2"/>
        <w:spacing w:after="140" w:before="280"/>
      </w:pPr>
      <w:r>
        <w:rPr>
          <w:color w:val="2563EB"/>
        </w:rPr>
        <w:t xml:space="preserve">RPFM — Risk Participation Finance (Partial Integration)</w:t>
      </w:r>
    </w:p>
    <w:p>
      <w:pPr>
        <w:spacing w:after="160"/>
      </w:pPr>
      <w:r>
        <w:t xml:space="preserve">Risk participation lets the bank (the “Grantor” holding the underlying trade finance credit) sell down its exposure to another bank (the “Participant”) in exchange for funding, sharing both the funding cost and the credit risk. All four RPFM Confirm functions populate their Debit/Credit legs — including the RPFM-specific RTGS domestic-clearing indicator — but call no Payment Component voucher-assembly routine, so this component can classify the transaction (Payment Component Identification Rule) but cannot Confirm/post it end-to-end. This is a documented GAP, not a defect: it reflects the current legacy baseline’s own limitation, and for three of the four functions below, a deeper trace found no other posting mechanism exists for the funded/real-money case either — a genuine gap in the legacy system itself, independent of this integration.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Process Grantor (GAP)</w:t>
            </w:r>
          </w:p>
        </w:tc>
        <w:tc>
          <w:tcPr>
            <w:tcW w:type="dxa" w:w="4550"/>
            <w:tcMar>
              <w:top w:type="dxa" w:w="80"/>
              <w:left w:type="dxa" w:w="100"/>
              <w:bottom w:type="dxa" w:w="80"/>
              <w:right w:type="dxa" w:w="100"/>
            </w:tcMar>
          </w:tcPr>
          <w:p>
            <w:r>
              <w:rPr>
                <w:color w:val="1E293B"/>
                <w:sz w:val="18"/>
                <w:szCs w:val="18"/>
              </w:rPr>
              <w:t xml:space="preserve">The Grantor bank receives funding from the Participant against the risk it is selling down.</w:t>
            </w:r>
          </w:p>
        </w:tc>
        <w:tc>
          <w:tcPr>
            <w:tcW w:type="dxa" w:w="1350"/>
            <w:tcMar>
              <w:top w:type="dxa" w:w="80"/>
              <w:left w:type="dxa" w:w="100"/>
              <w:bottom w:type="dxa" w:w="80"/>
              <w:right w:type="dxa" w:w="100"/>
            </w:tcMar>
          </w:tcPr>
          <w:p>
            <w:r>
              <w:rPr>
                <w:color w:val="1E293B"/>
                <w:sz w:val="18"/>
                <w:szCs w:val="18"/>
              </w:rPr>
              <w:t xml:space="preserve">Nostro/RTGS A/C</w:t>
            </w:r>
          </w:p>
        </w:tc>
        <w:tc>
          <w:tcPr>
            <w:tcW w:type="dxa" w:w="1700"/>
            <w:tcMar>
              <w:top w:type="dxa" w:w="80"/>
              <w:left w:type="dxa" w:w="100"/>
              <w:bottom w:type="dxa" w:w="80"/>
              <w:right w:type="dxa" w:w="100"/>
            </w:tcMar>
          </w:tcPr>
          <w:p>
            <w:r>
              <w:rPr>
                <w:color w:val="1E293B"/>
                <w:sz w:val="18"/>
                <w:szCs w:val="18"/>
              </w:rPr>
              <w:t xml:space="preserve">Internal A/C (“Participant Funding Payable”)</w:t>
            </w:r>
          </w:p>
        </w:tc>
      </w:tr>
      <w:tr>
        <w:tc>
          <w:tcPr>
            <w:tcW w:type="dxa" w:w="1750"/>
            <w:tcMar>
              <w:top w:type="dxa" w:w="80"/>
              <w:left w:type="dxa" w:w="100"/>
              <w:bottom w:type="dxa" w:w="80"/>
              <w:right w:type="dxa" w:w="100"/>
            </w:tcMar>
          </w:tcPr>
          <w:p>
            <w:r>
              <w:rPr>
                <w:color w:val="1E293B"/>
                <w:sz w:val="18"/>
                <w:szCs w:val="18"/>
              </w:rPr>
              <w:t xml:space="preserve">Repay Grantor (GAP)</w:t>
            </w:r>
          </w:p>
        </w:tc>
        <w:tc>
          <w:tcPr>
            <w:tcW w:type="dxa" w:w="4550"/>
            <w:tcMar>
              <w:top w:type="dxa" w:w="80"/>
              <w:left w:type="dxa" w:w="100"/>
              <w:bottom w:type="dxa" w:w="80"/>
              <w:right w:type="dxa" w:w="100"/>
            </w:tcMar>
          </w:tcPr>
          <w:p>
            <w:r>
              <w:rPr>
                <w:color w:val="1E293B"/>
                <w:sz w:val="18"/>
                <w:szCs w:val="18"/>
              </w:rPr>
              <w:t xml:space="preserve">The Grantor bank repays the Participant’s funding, or (mirrored) passes the Participant its share of a borrower repayment.</w:t>
            </w:r>
          </w:p>
        </w:tc>
        <w:tc>
          <w:tcPr>
            <w:tcW w:type="dxa" w:w="1350"/>
            <w:tcMar>
              <w:top w:type="dxa" w:w="80"/>
              <w:left w:type="dxa" w:w="100"/>
              <w:bottom w:type="dxa" w:w="80"/>
              <w:right w:type="dxa" w:w="100"/>
            </w:tcMar>
          </w:tcPr>
          <w:p>
            <w:r>
              <w:rPr>
                <w:color w:val="1E293B"/>
                <w:sz w:val="18"/>
                <w:szCs w:val="18"/>
              </w:rPr>
              <w:t xml:space="preserve">Nostro/RTGS A/C</w:t>
            </w:r>
          </w:p>
        </w:tc>
        <w:tc>
          <w:tcPr>
            <w:tcW w:type="dxa" w:w="1700"/>
            <w:tcMar>
              <w:top w:type="dxa" w:w="80"/>
              <w:left w:type="dxa" w:w="100"/>
              <w:bottom w:type="dxa" w:w="80"/>
              <w:right w:type="dxa" w:w="100"/>
            </w:tcMar>
          </w:tcPr>
          <w:p>
            <w:r>
              <w:rPr>
                <w:color w:val="1E293B"/>
                <w:sz w:val="18"/>
                <w:szCs w:val="18"/>
              </w:rPr>
              <w:t xml:space="preserve">Internal A/C</w:t>
            </w:r>
          </w:p>
        </w:tc>
      </w:tr>
      <w:tr>
        <w:tc>
          <w:tcPr>
            <w:tcW w:type="dxa" w:w="1750"/>
            <w:tcMar>
              <w:top w:type="dxa" w:w="80"/>
              <w:left w:type="dxa" w:w="100"/>
              <w:bottom w:type="dxa" w:w="80"/>
              <w:right w:type="dxa" w:w="100"/>
            </w:tcMar>
          </w:tcPr>
          <w:p>
            <w:r>
              <w:rPr>
                <w:color w:val="1E293B"/>
                <w:sz w:val="18"/>
                <w:szCs w:val="18"/>
              </w:rPr>
              <w:t xml:space="preserve">Process Participant (GAP)</w:t>
            </w:r>
          </w:p>
        </w:tc>
        <w:tc>
          <w:tcPr>
            <w:tcW w:type="dxa" w:w="4550"/>
            <w:tcMar>
              <w:top w:type="dxa" w:w="80"/>
              <w:left w:type="dxa" w:w="100"/>
              <w:bottom w:type="dxa" w:w="80"/>
              <w:right w:type="dxa" w:w="100"/>
            </w:tcMar>
          </w:tcPr>
          <w:p>
            <w:r>
              <w:rPr>
                <w:color w:val="1E293B"/>
                <w:sz w:val="18"/>
                <w:szCs w:val="18"/>
              </w:rPr>
              <w:t xml:space="preserve">The Participant bank remits its share of the funding to the Grantor.</w:t>
            </w:r>
          </w:p>
        </w:tc>
        <w:tc>
          <w:tcPr>
            <w:tcW w:type="dxa" w:w="1350"/>
            <w:tcMar>
              <w:top w:type="dxa" w:w="80"/>
              <w:left w:type="dxa" w:w="100"/>
              <w:bottom w:type="dxa" w:w="80"/>
              <w:right w:type="dxa" w:w="100"/>
            </w:tcMar>
          </w:tcPr>
          <w:p>
            <w:r>
              <w:rPr>
                <w:color w:val="1E293B"/>
                <w:sz w:val="18"/>
                <w:szCs w:val="18"/>
              </w:rPr>
              <w:t xml:space="preserve">Internal A/C</w:t>
            </w:r>
          </w:p>
        </w:tc>
        <w:tc>
          <w:tcPr>
            <w:tcW w:type="dxa" w:w="1700"/>
            <w:tcMar>
              <w:top w:type="dxa" w:w="80"/>
              <w:left w:type="dxa" w:w="100"/>
              <w:bottom w:type="dxa" w:w="80"/>
              <w:right w:type="dxa" w:w="100"/>
            </w:tcMar>
          </w:tcPr>
          <w:p>
            <w:r>
              <w:rPr>
                <w:color w:val="1E293B"/>
                <w:sz w:val="18"/>
                <w:szCs w:val="18"/>
              </w:rPr>
              <w:t xml:space="preserve">Nostro/RTGS A/C</w:t>
            </w:r>
          </w:p>
        </w:tc>
      </w:tr>
      <w:tr>
        <w:tc>
          <w:tcPr>
            <w:tcW w:type="dxa" w:w="1750"/>
            <w:tcMar>
              <w:top w:type="dxa" w:w="80"/>
              <w:left w:type="dxa" w:w="100"/>
              <w:bottom w:type="dxa" w:w="80"/>
              <w:right w:type="dxa" w:w="100"/>
            </w:tcMar>
          </w:tcPr>
          <w:p>
            <w:r>
              <w:rPr>
                <w:color w:val="1E293B"/>
                <w:sz w:val="18"/>
                <w:szCs w:val="18"/>
              </w:rPr>
              <w:t xml:space="preserve">Settle Participant (GAP)</w:t>
            </w:r>
          </w:p>
        </w:tc>
        <w:tc>
          <w:tcPr>
            <w:tcW w:type="dxa" w:w="4550"/>
            <w:tcMar>
              <w:top w:type="dxa" w:w="80"/>
              <w:left w:type="dxa" w:w="100"/>
              <w:bottom w:type="dxa" w:w="80"/>
              <w:right w:type="dxa" w:w="100"/>
            </w:tcMar>
          </w:tcPr>
          <w:p>
            <w:r>
              <w:rPr>
                <w:color w:val="1E293B"/>
                <w:sz w:val="18"/>
                <w:szCs w:val="18"/>
              </w:rPr>
              <w:t xml:space="preserve">The Participant receives its principal and/or interest at maturity or settlement (advance- or arrears-interest method).</w:t>
            </w:r>
          </w:p>
        </w:tc>
        <w:tc>
          <w:tcPr>
            <w:tcW w:type="dxa" w:w="1350"/>
            <w:tcMar>
              <w:top w:type="dxa" w:w="80"/>
              <w:left w:type="dxa" w:w="100"/>
              <w:bottom w:type="dxa" w:w="80"/>
              <w:right w:type="dxa" w:w="100"/>
            </w:tcMar>
          </w:tcPr>
          <w:p>
            <w:r>
              <w:rPr>
                <w:color w:val="1E293B"/>
                <w:sz w:val="18"/>
                <w:szCs w:val="18"/>
              </w:rPr>
              <w:t xml:space="preserve">Nostro/RTGS A/C</w:t>
            </w:r>
          </w:p>
        </w:tc>
        <w:tc>
          <w:tcPr>
            <w:tcW w:type="dxa" w:w="1700"/>
            <w:tcMar>
              <w:top w:type="dxa" w:w="80"/>
              <w:left w:type="dxa" w:w="100"/>
              <w:bottom w:type="dxa" w:w="80"/>
              <w:right w:type="dxa" w:w="100"/>
            </w:tcMar>
          </w:tcPr>
          <w:p>
            <w:r>
              <w:rPr>
                <w:color w:val="1E293B"/>
                <w:sz w:val="18"/>
                <w:szCs w:val="18"/>
              </w:rPr>
              <w:t xml:space="preserve">Internal A/C</w:t>
            </w:r>
          </w:p>
        </w:tc>
      </w:tr>
    </w:tbl>
    <w:p>
      <w:pPr>
        <w:spacing w:after="120" w:before="40"/>
      </w:pPr>
      <w:r>
        <w:rPr>
          <w:i/>
          <w:iCs/>
          <w:color w:val="64748B"/>
          <w:sz w:val="16"/>
          <w:szCs w:val="16"/>
        </w:rPr>
        <w:t xml:space="preserve">Process Grantor — source citation: </w:t>
      </w:r>
      <w:r>
        <w:rPr>
          <w:i/>
          <w:iCs/>
          <w:color w:val="64748B"/>
          <w:sz w:val="16"/>
          <w:szCs w:val="16"/>
        </w:rPr>
        <w:t xml:space="preserve">SYF_RPFM_ProcessGrantor.js — legs populated, but this exact event IS fully posted today via a separate, working non-Payment-Component voucher template</w:t>
      </w:r>
    </w:p>
    <w:p>
      <w:pPr>
        <w:spacing w:after="120" w:before="40"/>
      </w:pPr>
      <w:r>
        <w:rPr>
          <w:i/>
          <w:iCs/>
          <w:color w:val="64748B"/>
          <w:sz w:val="16"/>
          <w:szCs w:val="16"/>
        </w:rPr>
        <w:t xml:space="preserve">Repay Grantor — source citation: </w:t>
      </w:r>
      <w:r>
        <w:rPr>
          <w:i/>
          <w:iCs/>
          <w:color w:val="64748B"/>
          <w:sz w:val="16"/>
          <w:szCs w:val="16"/>
        </w:rPr>
        <w:t xml:space="preserve">SYF_RPFM_RepayGrantor.js — appears to have no working posting mechanism at all for the funded case in the current baseline</w:t>
      </w:r>
    </w:p>
    <w:p>
      <w:pPr>
        <w:spacing w:after="120" w:before="40"/>
      </w:pPr>
      <w:r>
        <w:rPr>
          <w:i/>
          <w:iCs/>
          <w:color w:val="64748B"/>
          <w:sz w:val="16"/>
          <w:szCs w:val="16"/>
        </w:rPr>
        <w:t xml:space="preserve">Process Participant — source citation: </w:t>
      </w:r>
      <w:r>
        <w:rPr>
          <w:i/>
          <w:iCs/>
          <w:color w:val="64748B"/>
          <w:sz w:val="16"/>
          <w:szCs w:val="16"/>
        </w:rPr>
        <w:t xml:space="preserve">SYF_RPFM_ProcessParticipant.js:59 — appears to have no working posting mechanism for this Dr/Cr pair</w:t>
      </w:r>
    </w:p>
    <w:p>
      <w:pPr>
        <w:spacing w:after="120" w:before="40"/>
      </w:pPr>
      <w:r>
        <w:rPr>
          <w:i/>
          <w:iCs/>
          <w:color w:val="64748B"/>
          <w:sz w:val="16"/>
          <w:szCs w:val="16"/>
        </w:rPr>
        <w:t xml:space="preserve">Settle Participant — source citation: </w:t>
      </w:r>
      <w:r>
        <w:rPr>
          <w:i/>
          <w:iCs/>
          <w:color w:val="64748B"/>
          <w:sz w:val="16"/>
          <w:szCs w:val="16"/>
        </w:rPr>
        <w:t xml:space="preserve">SYF_RPFM_SettleParticipant.js:583 — the one voucher template that could carry this is commented out/malformed in the current baseline</w:t>
      </w:r>
    </w:p>
    <w:p>
      <w:pPr>
        <w:pStyle w:val="Heading2"/>
        <w:spacing w:after="140" w:before="280"/>
      </w:pPr>
      <w:r>
        <w:rPr>
          <w:color w:val="2563EB"/>
        </w:rPr>
        <w:t xml:space="preserve">CFNC / SBLC / REIM / PYMT — Confirmed Non-Users</w:t>
      </w:r>
    </w:p>
    <w:p>
      <w:pPr>
        <w:spacing w:after="160"/>
      </w:pPr>
      <w:r>
        <w:t xml:space="preserve">These four modules are included in this FSD for completeness — to make explicit, source-verified statements that they do NOT use the Payment Component, rather than leaving the question open. Each represents a distinct business area whose settlement logic is deliberately handled elsewhere: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4550"/>
        <w:gridCol w:w="1350"/>
        <w:gridCol w:w="1700"/>
      </w:tblGrid>
      <w:tr>
        <w:trPr>
          <w:tblHeader/>
        </w:trPr>
        <w:tc>
          <w:tcPr>
            <w:tcW w:type="dxa" w:w="1750"/>
            <w:shd w:fill="1E3A8A" w:val="clear"/>
            <w:tcMar>
              <w:top w:type="dxa" w:w="80"/>
              <w:left w:type="dxa" w:w="100"/>
              <w:bottom w:type="dxa" w:w="80"/>
              <w:right w:type="dxa" w:w="100"/>
            </w:tcMar>
          </w:tcPr>
          <w:p>
            <w:r>
              <w:rPr>
                <w:b/>
                <w:bCs/>
                <w:color w:val="FFFFFF"/>
                <w:sz w:val="18"/>
                <w:szCs w:val="18"/>
              </w:rPr>
              <w:t xml:space="preserve">Function</w:t>
            </w:r>
          </w:p>
        </w:tc>
        <w:tc>
          <w:tcPr>
            <w:tcW w:type="dxa" w:w="4550"/>
            <w:shd w:fill="1E3A8A" w:val="clear"/>
            <w:tcMar>
              <w:top w:type="dxa" w:w="80"/>
              <w:left w:type="dxa" w:w="100"/>
              <w:bottom w:type="dxa" w:w="80"/>
              <w:right w:type="dxa" w:w="100"/>
            </w:tcMar>
          </w:tcPr>
          <w:p>
            <w:r>
              <w:rPr>
                <w:b/>
                <w:bCs/>
                <w:color w:val="FFFFFF"/>
                <w:sz w:val="18"/>
                <w:szCs w:val="18"/>
              </w:rPr>
              <w:t xml:space="preserve">Business Scenario</w:t>
            </w:r>
          </w:p>
        </w:tc>
        <w:tc>
          <w:tcPr>
            <w:tcW w:type="dxa" w:w="1350"/>
            <w:shd w:fill="1E3A8A" w:val="clear"/>
            <w:tcMar>
              <w:top w:type="dxa" w:w="80"/>
              <w:left w:type="dxa" w:w="100"/>
              <w:bottom w:type="dxa" w:w="80"/>
              <w:right w:type="dxa" w:w="100"/>
            </w:tcMar>
          </w:tcPr>
          <w:p>
            <w:r>
              <w:rPr>
                <w:b/>
                <w:bCs/>
                <w:color w:val="FFFFFF"/>
                <w:sz w:val="18"/>
                <w:szCs w:val="18"/>
              </w:rPr>
              <w:t xml:space="preserve">Dr Leg</w:t>
            </w:r>
          </w:p>
        </w:tc>
        <w:tc>
          <w:tcPr>
            <w:tcW w:type="dxa" w:w="1700"/>
            <w:shd w:fill="1E3A8A" w:val="clear"/>
            <w:tcMar>
              <w:top w:type="dxa" w:w="80"/>
              <w:left w:type="dxa" w:w="100"/>
              <w:bottom w:type="dxa" w:w="80"/>
              <w:right w:type="dxa" w:w="100"/>
            </w:tcMar>
          </w:tcPr>
          <w:p>
            <w:r>
              <w:rPr>
                <w:b/>
                <w:bCs/>
                <w:color w:val="FFFFFF"/>
                <w:sz w:val="18"/>
                <w:szCs w:val="18"/>
              </w:rPr>
              <w:t xml:space="preserve">Cr Leg</w:t>
            </w:r>
          </w:p>
        </w:tc>
      </w:tr>
      <w:tr>
        <w:tc>
          <w:tcPr>
            <w:tcW w:type="dxa" w:w="1750"/>
            <w:tcMar>
              <w:top w:type="dxa" w:w="80"/>
              <w:left w:type="dxa" w:w="100"/>
              <w:bottom w:type="dxa" w:w="80"/>
              <w:right w:type="dxa" w:w="100"/>
            </w:tcMar>
          </w:tcPr>
          <w:p>
            <w:r>
              <w:rPr>
                <w:color w:val="1E293B"/>
                <w:sz w:val="18"/>
                <w:szCs w:val="18"/>
              </w:rPr>
              <w:t xml:space="preserve">CFNC — Central Finance (N/A)</w:t>
            </w:r>
          </w:p>
        </w:tc>
        <w:tc>
          <w:tcPr>
            <w:tcW w:type="dxa" w:w="4550"/>
            <w:tcMar>
              <w:top w:type="dxa" w:w="80"/>
              <w:left w:type="dxa" w:w="100"/>
              <w:bottom w:type="dxa" w:w="80"/>
              <w:right w:type="dxa" w:w="100"/>
            </w:tcMar>
          </w:tcPr>
          <w:p>
            <w:r>
              <w:rPr>
                <w:color w:val="1E293B"/>
                <w:sz w:val="18"/>
                <w:szCs w:val="18"/>
              </w:rPr>
              <w:t xml:space="preserve">Overdue-facility processing. Of 8 Confirm-level files, only one even defines a Confirm handler, and it calls no voucher routine of any kind — the strongest non-user of the four.</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r>
        <w:tc>
          <w:tcPr>
            <w:tcW w:type="dxa" w:w="1750"/>
            <w:tcMar>
              <w:top w:type="dxa" w:w="80"/>
              <w:left w:type="dxa" w:w="100"/>
              <w:bottom w:type="dxa" w:w="80"/>
              <w:right w:type="dxa" w:w="100"/>
            </w:tcMar>
          </w:tcPr>
          <w:p>
            <w:r>
              <w:rPr>
                <w:color w:val="1E293B"/>
                <w:sz w:val="18"/>
                <w:szCs w:val="18"/>
              </w:rPr>
              <w:t xml:space="preserve">SBLC — Standby Letter of Credit (N/A)</w:t>
            </w:r>
          </w:p>
        </w:tc>
        <w:tc>
          <w:tcPr>
            <w:tcW w:type="dxa" w:w="4550"/>
            <w:tcMar>
              <w:top w:type="dxa" w:w="80"/>
              <w:left w:type="dxa" w:w="100"/>
              <w:bottom w:type="dxa" w:w="80"/>
              <w:right w:type="dxa" w:w="100"/>
            </w:tcMar>
          </w:tcPr>
          <w:p>
            <w:r>
              <w:rPr>
                <w:color w:val="1E293B"/>
                <w:sz w:val="18"/>
                <w:szCs w:val="18"/>
              </w:rPr>
              <w:t xml:space="preserve">Issuance, amendment, and claims on standby LCs post through SBLC’s own generic charge-voucher routine, never through the Payment Component’s Dr/Cr classification.</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r>
        <w:tc>
          <w:tcPr>
            <w:tcW w:type="dxa" w:w="1750"/>
            <w:tcMar>
              <w:top w:type="dxa" w:w="80"/>
              <w:left w:type="dxa" w:w="100"/>
              <w:bottom w:type="dxa" w:w="80"/>
              <w:right w:type="dxa" w:w="100"/>
            </w:tcMar>
          </w:tcPr>
          <w:p>
            <w:r>
              <w:rPr>
                <w:color w:val="1E293B"/>
                <w:sz w:val="18"/>
                <w:szCs w:val="18"/>
              </w:rPr>
              <w:t xml:space="preserve">REIM — Reimbursement (N/A)</w:t>
            </w:r>
          </w:p>
        </w:tc>
        <w:tc>
          <w:tcPr>
            <w:tcW w:type="dxa" w:w="4550"/>
            <w:tcMar>
              <w:top w:type="dxa" w:w="80"/>
              <w:left w:type="dxa" w:w="100"/>
              <w:bottom w:type="dxa" w:w="80"/>
              <w:right w:type="dxa" w:w="100"/>
            </w:tcMar>
          </w:tcPr>
          <w:p>
            <w:r>
              <w:rPr>
                <w:color w:val="1E293B"/>
                <w:sz w:val="18"/>
                <w:szCs w:val="18"/>
              </w:rPr>
              <w:t xml:space="preserve">Reimbursing-bank correspondence and charge collection for LC reimbursement claims — handled entirely outside the Payment Component.</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r>
        <w:tc>
          <w:tcPr>
            <w:tcW w:type="dxa" w:w="1750"/>
            <w:tcMar>
              <w:top w:type="dxa" w:w="80"/>
              <w:left w:type="dxa" w:w="100"/>
              <w:bottom w:type="dxa" w:w="80"/>
              <w:right w:type="dxa" w:w="100"/>
            </w:tcMar>
          </w:tcPr>
          <w:p>
            <w:r>
              <w:rPr>
                <w:color w:val="1E293B"/>
                <w:sz w:val="18"/>
                <w:szCs w:val="18"/>
              </w:rPr>
              <w:t xml:space="preserve">PYMT — IMLC Payment (N/A)</w:t>
            </w:r>
          </w:p>
        </w:tc>
        <w:tc>
          <w:tcPr>
            <w:tcW w:type="dxa" w:w="4550"/>
            <w:tcMar>
              <w:top w:type="dxa" w:w="80"/>
              <w:left w:type="dxa" w:w="100"/>
              <w:bottom w:type="dxa" w:w="80"/>
              <w:right w:type="dxa" w:w="100"/>
            </w:tcMar>
          </w:tcPr>
          <w:p>
            <w:r>
              <w:rPr>
                <w:color w:val="1E293B"/>
                <w:sz w:val="18"/>
                <w:szCs w:val="18"/>
              </w:rPr>
              <w:t xml:space="preserve">A legacy “pay a documentary presentation” screen, superseded functionally by the IPLC/EPLC flows above — generates only a reference number and a generic charge voucher.</w:t>
            </w:r>
          </w:p>
        </w:tc>
        <w:tc>
          <w:tcPr>
            <w:tcW w:type="dxa" w:w="1350"/>
            <w:tcMar>
              <w:top w:type="dxa" w:w="80"/>
              <w:left w:type="dxa" w:w="100"/>
              <w:bottom w:type="dxa" w:w="80"/>
              <w:right w:type="dxa" w:w="100"/>
            </w:tcMar>
          </w:tcPr>
          <w:p>
            <w:r>
              <w:rPr>
                <w:color w:val="1E293B"/>
                <w:sz w:val="18"/>
                <w:szCs w:val="18"/>
              </w:rPr>
              <w:t xml:space="preserve">—</w:t>
            </w:r>
          </w:p>
        </w:tc>
        <w:tc>
          <w:tcPr>
            <w:tcW w:type="dxa" w:w="1700"/>
            <w:tcMar>
              <w:top w:type="dxa" w:w="80"/>
              <w:left w:type="dxa" w:w="100"/>
              <w:bottom w:type="dxa" w:w="80"/>
              <w:right w:type="dxa" w:w="100"/>
            </w:tcMar>
          </w:tcPr>
          <w:p>
            <w:r>
              <w:rPr>
                <w:color w:val="1E293B"/>
                <w:sz w:val="18"/>
                <w:szCs w:val="18"/>
              </w:rPr>
              <w:t xml:space="preserve">—</w:t>
            </w:r>
          </w:p>
        </w:tc>
      </w:tr>
    </w:tbl>
    <w:p>
      <w:pPr>
        <w:spacing w:after="120" w:before="40"/>
      </w:pPr>
      <w:r>
        <w:rPr>
          <w:i/>
          <w:iCs/>
          <w:color w:val="64748B"/>
          <w:sz w:val="16"/>
          <w:szCs w:val="16"/>
        </w:rPr>
        <w:t xml:space="preserve">CFNC — Central Finance — source citation: </w:t>
      </w:r>
      <w:r>
        <w:rPr>
          <w:i/>
          <w:iCs/>
          <w:color w:val="64748B"/>
          <w:sz w:val="16"/>
          <w:szCs w:val="16"/>
        </w:rPr>
        <w:t xml:space="preserve">SYF_CFNC_Overdue.js:32–39</w:t>
      </w:r>
    </w:p>
    <w:p>
      <w:pPr>
        <w:spacing w:after="120" w:before="40"/>
      </w:pPr>
      <w:r>
        <w:rPr>
          <w:i/>
          <w:iCs/>
          <w:color w:val="64748B"/>
          <w:sz w:val="16"/>
          <w:szCs w:val="16"/>
        </w:rPr>
        <w:t xml:space="preserve">SBLC — Standby Letter of Credit — source citation: </w:t>
      </w:r>
      <w:r>
        <w:rPr>
          <w:i/>
          <w:iCs/>
          <w:color w:val="64748B"/>
          <w:sz w:val="16"/>
          <w:szCs w:val="16"/>
        </w:rPr>
        <w:t xml:space="preserve">e.g. SYF_SBLC_SBLCIssue.js:334–346</w:t>
      </w:r>
    </w:p>
    <w:p>
      <w:pPr>
        <w:spacing w:after="120" w:before="40"/>
      </w:pPr>
      <w:r>
        <w:rPr>
          <w:i/>
          <w:iCs/>
          <w:color w:val="64748B"/>
          <w:sz w:val="16"/>
          <w:szCs w:val="16"/>
        </w:rPr>
        <w:t xml:space="preserve">REIM — Reimbursement — source citation: </w:t>
      </w:r>
      <w:r>
        <w:rPr>
          <w:i/>
          <w:iCs/>
          <w:color w:val="64748B"/>
          <w:sz w:val="16"/>
          <w:szCs w:val="16"/>
        </w:rPr>
        <w:t xml:space="preserve">e.g. SYF_REIM_SettleClaim.js:183–207</w:t>
      </w:r>
    </w:p>
    <w:p>
      <w:pPr>
        <w:spacing w:after="120" w:before="40"/>
      </w:pPr>
      <w:r>
        <w:rPr>
          <w:i/>
          <w:iCs/>
          <w:color w:val="64748B"/>
          <w:sz w:val="16"/>
          <w:szCs w:val="16"/>
        </w:rPr>
        <w:t xml:space="preserve">PYMT — IMLC Payment — source citation: </w:t>
      </w:r>
      <w:r>
        <w:rPr>
          <w:i/>
          <w:iCs/>
          <w:color w:val="64748B"/>
          <w:sz w:val="16"/>
          <w:szCs w:val="16"/>
        </w:rPr>
        <w:t xml:space="preserve">PYMT_IMLCPayment ConfirmBusinessCall:136–144</w:t>
      </w:r>
    </w:p>
    <w:p>
      <w:r>
        <w:br w:type="page"/>
      </w:r>
    </w:p>
    <w:p>
      <w:pPr>
        <w:pStyle w:val="Heading1"/>
        <w:spacing w:after="160" w:before="360"/>
      </w:pPr>
      <w:r>
        <w:rPr>
          <w:color w:val="1E3A8A"/>
        </w:rPr>
        <w:t xml:space="preserve">9. Error Handling</w:t>
      </w:r>
    </w:p>
    <w:tbl>
      <w:tblPr>
        <w:tblW w:type="dxa" w:w="8350"/>
        <w:tblBorders>
          <w:top w:val="single" w:color="auto" w:sz="4"/>
          <w:left w:val="single" w:color="auto" w:sz="4"/>
          <w:bottom w:val="single" w:color="auto" w:sz="4"/>
          <w:right w:val="single" w:color="auto" w:sz="4"/>
          <w:insideH w:val="single" w:color="auto" w:sz="4"/>
          <w:insideV w:val="single" w:color="auto" w:sz="4"/>
        </w:tblBorders>
      </w:tblPr>
      <w:tblGrid>
        <w:gridCol w:w="1400"/>
        <w:gridCol w:w="3300"/>
        <w:gridCol w:w="3650"/>
      </w:tblGrid>
      <w:tr>
        <w:trPr>
          <w:tblHeader/>
        </w:trPr>
        <w:tc>
          <w:tcPr>
            <w:tcW w:type="dxa" w:w="1400"/>
            <w:shd w:fill="1E3A8A" w:val="clear"/>
            <w:tcMar>
              <w:top w:type="dxa" w:w="80"/>
              <w:left w:type="dxa" w:w="100"/>
              <w:bottom w:type="dxa" w:w="80"/>
              <w:right w:type="dxa" w:w="100"/>
            </w:tcMar>
          </w:tcPr>
          <w:p>
            <w:r>
              <w:rPr>
                <w:b/>
                <w:bCs/>
                <w:color w:val="FFFFFF"/>
                <w:sz w:val="18"/>
                <w:szCs w:val="18"/>
              </w:rPr>
              <w:t xml:space="preserve">HTTP Status</w:t>
            </w:r>
          </w:p>
        </w:tc>
        <w:tc>
          <w:tcPr>
            <w:tcW w:type="dxa" w:w="3300"/>
            <w:shd w:fill="1E3A8A" w:val="clear"/>
            <w:tcMar>
              <w:top w:type="dxa" w:w="80"/>
              <w:left w:type="dxa" w:w="100"/>
              <w:bottom w:type="dxa" w:w="80"/>
              <w:right w:type="dxa" w:w="100"/>
            </w:tcMar>
          </w:tcPr>
          <w:p>
            <w:r>
              <w:rPr>
                <w:b/>
                <w:bCs/>
                <w:color w:val="FFFFFF"/>
                <w:sz w:val="18"/>
                <w:szCs w:val="18"/>
              </w:rPr>
              <w:t xml:space="preserve">Meaning</w:t>
            </w:r>
          </w:p>
        </w:tc>
        <w:tc>
          <w:tcPr>
            <w:tcW w:type="dxa" w:w="3650"/>
            <w:shd w:fill="1E3A8A" w:val="clear"/>
            <w:tcMar>
              <w:top w:type="dxa" w:w="80"/>
              <w:left w:type="dxa" w:w="100"/>
              <w:bottom w:type="dxa" w:w="80"/>
              <w:right w:type="dxa" w:w="100"/>
            </w:tcMar>
          </w:tcPr>
          <w:p>
            <w:r>
              <w:rPr>
                <w:b/>
                <w:bCs/>
                <w:color w:val="FFFFFF"/>
                <w:sz w:val="18"/>
                <w:szCs w:val="18"/>
              </w:rPr>
              <w:t xml:space="preserve">Example</w:t>
            </w:r>
          </w:p>
        </w:tc>
      </w:tr>
      <w:tr>
        <w:tc>
          <w:tcPr>
            <w:tcW w:type="dxa" w:w="1400"/>
            <w:tcMar>
              <w:top w:type="dxa" w:w="80"/>
              <w:left w:type="dxa" w:w="100"/>
              <w:bottom w:type="dxa" w:w="80"/>
              <w:right w:type="dxa" w:w="100"/>
            </w:tcMar>
          </w:tcPr>
          <w:p>
            <w:r>
              <w:rPr>
                <w:color w:val="1E293B"/>
                <w:sz w:val="18"/>
                <w:szCs w:val="18"/>
              </w:rPr>
              <w:t xml:space="preserve">400</w:t>
            </w:r>
          </w:p>
        </w:tc>
        <w:tc>
          <w:tcPr>
            <w:tcW w:type="dxa" w:w="3300"/>
            <w:tcMar>
              <w:top w:type="dxa" w:w="80"/>
              <w:left w:type="dxa" w:w="100"/>
              <w:bottom w:type="dxa" w:w="80"/>
              <w:right w:type="dxa" w:w="100"/>
            </w:tcMar>
          </w:tcPr>
          <w:p>
            <w:r>
              <w:rPr>
                <w:color w:val="1E293B"/>
                <w:sz w:val="18"/>
                <w:szCs w:val="18"/>
              </w:rPr>
              <w:t xml:space="preserve">Request validation failed — malformed or missing required fields, caught before any business logic runs.</w:t>
            </w:r>
          </w:p>
        </w:tc>
        <w:tc>
          <w:tcPr>
            <w:tcW w:type="dxa" w:w="3650"/>
            <w:tcMar>
              <w:top w:type="dxa" w:w="80"/>
              <w:left w:type="dxa" w:w="100"/>
              <w:bottom w:type="dxa" w:w="80"/>
              <w:right w:type="dxa" w:w="100"/>
            </w:tcMar>
          </w:tcPr>
          <w:p>
            <w:r>
              <w:rPr>
                <w:color w:val="1E293B"/>
                <w:sz w:val="18"/>
                <w:szCs w:val="18"/>
              </w:rPr>
              <w:t xml:space="preserve">A leg missing accountType; an amount that isn’t a valid decimal string; creditLegs empty without the chargeComponentBridge exemption (§7.8)</w:t>
            </w:r>
          </w:p>
        </w:tc>
      </w:tr>
      <w:tr>
        <w:tc>
          <w:tcPr>
            <w:tcW w:type="dxa" w:w="1400"/>
            <w:tcMar>
              <w:top w:type="dxa" w:w="80"/>
              <w:left w:type="dxa" w:w="100"/>
              <w:bottom w:type="dxa" w:w="80"/>
              <w:right w:type="dxa" w:w="100"/>
            </w:tcMar>
          </w:tcPr>
          <w:p>
            <w:r>
              <w:rPr>
                <w:color w:val="1E293B"/>
                <w:sz w:val="18"/>
                <w:szCs w:val="18"/>
              </w:rPr>
              <w:t xml:space="preserve">409</w:t>
            </w:r>
          </w:p>
        </w:tc>
        <w:tc>
          <w:tcPr>
            <w:tcW w:type="dxa" w:w="3300"/>
            <w:tcMar>
              <w:top w:type="dxa" w:w="80"/>
              <w:left w:type="dxa" w:w="100"/>
              <w:bottom w:type="dxa" w:w="80"/>
              <w:right w:type="dxa" w:w="100"/>
            </w:tcMar>
          </w:tcPr>
          <w:p>
            <w:r>
              <w:rPr>
                <w:color w:val="1E293B"/>
                <w:sz w:val="18"/>
                <w:szCs w:val="18"/>
              </w:rPr>
              <w:t xml:space="preserve">Business validation failed — the request is well-formed but violates a business rule.</w:t>
            </w:r>
          </w:p>
        </w:tc>
        <w:tc>
          <w:tcPr>
            <w:tcW w:type="dxa" w:w="3650"/>
            <w:tcMar>
              <w:top w:type="dxa" w:w="80"/>
              <w:left w:type="dxa" w:w="100"/>
              <w:bottom w:type="dxa" w:w="80"/>
              <w:right w:type="dxa" w:w="100"/>
            </w:tcMar>
          </w:tcPr>
          <w:p>
            <w:r>
              <w:rPr>
                <w:color w:val="1E293B"/>
                <w:sz w:val="18"/>
                <w:szCs w:val="18"/>
              </w:rPr>
              <w:t xml:space="preserve">LEGS_UNBALANCED (§7.1); a SWIFT cross-field validation failure (§7.5)</w:t>
            </w:r>
          </w:p>
        </w:tc>
      </w:tr>
      <w:tr>
        <w:tc>
          <w:tcPr>
            <w:tcW w:type="dxa" w:w="1400"/>
            <w:tcMar>
              <w:top w:type="dxa" w:w="80"/>
              <w:left w:type="dxa" w:w="100"/>
              <w:bottom w:type="dxa" w:w="80"/>
              <w:right w:type="dxa" w:w="100"/>
            </w:tcMar>
          </w:tcPr>
          <w:p>
            <w:r>
              <w:rPr>
                <w:color w:val="1E293B"/>
                <w:sz w:val="18"/>
                <w:szCs w:val="18"/>
              </w:rPr>
              <w:t xml:space="preserve">201</w:t>
            </w:r>
          </w:p>
        </w:tc>
        <w:tc>
          <w:tcPr>
            <w:tcW w:type="dxa" w:w="3300"/>
            <w:tcMar>
              <w:top w:type="dxa" w:w="80"/>
              <w:left w:type="dxa" w:w="100"/>
              <w:bottom w:type="dxa" w:w="80"/>
              <w:right w:type="dxa" w:w="100"/>
            </w:tcMar>
          </w:tcPr>
          <w:p>
            <w:r>
              <w:rPr>
                <w:color w:val="1E293B"/>
                <w:sz w:val="18"/>
                <w:szCs w:val="18"/>
              </w:rPr>
              <w:t xml:space="preserve">New payment instruction created and confirmed.</w:t>
            </w:r>
          </w:p>
        </w:tc>
        <w:tc>
          <w:tcPr>
            <w:tcW w:type="dxa" w:w="3650"/>
            <w:tcMar>
              <w:top w:type="dxa" w:w="80"/>
              <w:left w:type="dxa" w:w="100"/>
              <w:bottom w:type="dxa" w:w="80"/>
              <w:right w:type="dxa" w:w="100"/>
            </w:tcMar>
          </w:tcPr>
          <w:p>
            <w:r>
              <w:rPr>
                <w:color w:val="1E293B"/>
                <w:sz w:val="18"/>
                <w:szCs w:val="18"/>
              </w:rPr>
              <w:t xml:space="preserve">A genuinely new (originModule, mainRef, sequence) natural key</w:t>
            </w:r>
          </w:p>
        </w:tc>
      </w:tr>
      <w:tr>
        <w:tc>
          <w:tcPr>
            <w:tcW w:type="dxa" w:w="1400"/>
            <w:tcMar>
              <w:top w:type="dxa" w:w="80"/>
              <w:left w:type="dxa" w:w="100"/>
              <w:bottom w:type="dxa" w:w="80"/>
              <w:right w:type="dxa" w:w="100"/>
            </w:tcMar>
          </w:tcPr>
          <w:p>
            <w:r>
              <w:rPr>
                <w:color w:val="1E293B"/>
                <w:sz w:val="18"/>
                <w:szCs w:val="18"/>
              </w:rPr>
              <w:t xml:space="preserve">200</w:t>
            </w:r>
          </w:p>
        </w:tc>
        <w:tc>
          <w:tcPr>
            <w:tcW w:type="dxa" w:w="3300"/>
            <w:tcMar>
              <w:top w:type="dxa" w:w="80"/>
              <w:left w:type="dxa" w:w="100"/>
              <w:bottom w:type="dxa" w:w="80"/>
              <w:right w:type="dxa" w:w="100"/>
            </w:tcMar>
          </w:tcPr>
          <w:p>
            <w:r>
              <w:rPr>
                <w:color w:val="1E293B"/>
                <w:sz w:val="18"/>
                <w:szCs w:val="18"/>
              </w:rPr>
              <w:t xml:space="preserve">Idempotent replay — the original result for an existing natural key, unchanged.</w:t>
            </w:r>
          </w:p>
        </w:tc>
        <w:tc>
          <w:tcPr>
            <w:tcW w:type="dxa" w:w="3650"/>
            <w:tcMar>
              <w:top w:type="dxa" w:w="80"/>
              <w:left w:type="dxa" w:w="100"/>
              <w:bottom w:type="dxa" w:w="80"/>
              <w:right w:type="dxa" w:w="100"/>
            </w:tcMar>
          </w:tcPr>
          <w:p>
            <w:r>
              <w:rPr>
                <w:color w:val="1E293B"/>
                <w:sz w:val="18"/>
                <w:szCs w:val="18"/>
              </w:rPr>
              <w:t xml:space="preserve">A resubmission after a network timeout</w:t>
            </w:r>
          </w:p>
        </w:tc>
      </w:tr>
    </w:tbl>
    <w:p>
      <w:pPr>
        <w:pStyle w:val="Heading1"/>
        <w:spacing w:after="160" w:before="360"/>
      </w:pPr>
      <w:r>
        <w:rPr>
          <w:color w:val="1E3A8A"/>
        </w:rPr>
        <w:t xml:space="preserve">10. Non-Functional Requirements</w:t>
      </w:r>
    </w:p>
    <w:p>
      <w:pPr>
        <w:spacing w:after="160"/>
      </w:pPr>
      <w:r>
        <w:rPr>
          <w:b/>
          <w:bCs/>
          <w:color w:val="1E293B"/>
        </w:rPr>
        <w:t xml:space="preserve">Decimal precision: </w:t>
      </w:r>
      <w:r>
        <w:t xml:space="preserve">All monetary amounts and FX rates are decimal strings, never binary floats — server-side arithmetic uses arbitrary-precision decimal math end-to-end.</w:t>
      </w:r>
    </w:p>
    <w:p>
      <w:pPr>
        <w:spacing w:after="160"/>
      </w:pPr>
      <w:r>
        <w:rPr>
          <w:b/>
          <w:bCs/>
          <w:color w:val="1E293B"/>
        </w:rPr>
        <w:t xml:space="preserve">Per-currency balance: </w:t>
      </w:r>
      <w:r>
        <w:t xml:space="preserve">Beyond the aggregate transaction-currency balance check (§7.1), the Suspense/FX Exchange bridge (§7.7–§7.8) ensures every settlement voucher also balances currency-by-currency, not only in aggregate.</w:t>
      </w:r>
    </w:p>
    <w:p>
      <w:pPr>
        <w:spacing w:after="160"/>
      </w:pPr>
      <w:r>
        <w:rPr>
          <w:b/>
          <w:bCs/>
          <w:color w:val="1E293B"/>
        </w:rPr>
        <w:t xml:space="preserve">Synchronous, single-call processing: </w:t>
      </w:r>
      <w:r>
        <w:t xml:space="preserve">All five Confirm-flow steps execute within one request/response cycle — no polling or follow-up call is required to retrieve classification, Account Entries, or SWIFT messages.</w:t>
      </w:r>
    </w:p>
    <w:p>
      <w:pPr>
        <w:spacing w:after="160"/>
      </w:pPr>
      <w:r>
        <w:rPr>
          <w:b/>
          <w:bCs/>
          <w:color w:val="1E293B"/>
        </w:rPr>
        <w:t xml:space="preserve">Idempotency / replay safety: </w:t>
      </w:r>
      <w:r>
        <w:t xml:space="preserve">A resubmission of an existing natural key is always safe — it never re-triggers GL postings or duplicate SWIFT output (§7.6).</w:t>
      </w:r>
    </w:p>
    <w:p>
      <w:pPr>
        <w:spacing w:after="160"/>
      </w:pPr>
      <w:r>
        <w:rPr>
          <w:b/>
          <w:bCs/>
          <w:color w:val="1E293B"/>
        </w:rPr>
        <w:t xml:space="preserve">Out of scope: FX rate resolution, AML/sanctions, authN/authZ: </w:t>
      </w:r>
      <w:r>
        <w:t xml:space="preserve">Explicitly delegated to upstream systems/gateways — this service assumes rates and authorisation are already resolved by the time it is called.</w:t>
      </w:r>
    </w:p>
    <w:p>
      <w:pPr>
        <w:pStyle w:val="Heading1"/>
        <w:spacing w:after="160" w:before="360"/>
      </w:pPr>
      <w:r>
        <w:rPr>
          <w:color w:val="1E3A8A"/>
        </w:rPr>
        <w:t xml:space="preserve">11. Appendix A —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tcW w:type="dxa" w:w="2200"/>
            <w:shd w:fill="1E3A8A" w:val="clear"/>
            <w:tcMar>
              <w:top w:type="dxa" w:w="80"/>
              <w:left w:type="dxa" w:w="100"/>
              <w:bottom w:type="dxa" w:w="80"/>
              <w:right w:type="dxa" w:w="100"/>
            </w:tcMar>
          </w:tcPr>
          <w:p>
            <w:r>
              <w:rPr>
                <w:b/>
                <w:bCs/>
                <w:color w:val="FFFFFF"/>
                <w:sz w:val="18"/>
                <w:szCs w:val="18"/>
              </w:rPr>
              <w:t xml:space="preserve">Term</w:t>
            </w:r>
          </w:p>
        </w:tc>
        <w:tc>
          <w:tcPr>
            <w:tcW w:type="dxa" w:w="7150"/>
            <w:shd w:fill="1E3A8A" w:val="clear"/>
            <w:tcMar>
              <w:top w:type="dxa" w:w="80"/>
              <w:left w:type="dxa" w:w="100"/>
              <w:bottom w:type="dxa" w:w="80"/>
              <w:right w:type="dxa" w:w="100"/>
            </w:tcMar>
          </w:tcPr>
          <w:p>
            <w:r>
              <w:rPr>
                <w:b/>
                <w:bCs/>
                <w:color w:val="FFFFFF"/>
                <w:sz w:val="18"/>
                <w:szCs w:val="18"/>
              </w:rPr>
              <w:t xml:space="preserve">Meaning</w:t>
            </w:r>
          </w:p>
        </w:tc>
      </w:tr>
      <w:tr>
        <w:tc>
          <w:tcPr>
            <w:tcW w:type="dxa" w:w="2200"/>
            <w:tcMar>
              <w:top w:type="dxa" w:w="80"/>
              <w:left w:type="dxa" w:w="100"/>
              <w:bottom w:type="dxa" w:w="80"/>
              <w:right w:type="dxa" w:w="100"/>
            </w:tcMar>
          </w:tcPr>
          <w:p>
            <w:r>
              <w:rPr>
                <w:color w:val="1E293B"/>
                <w:sz w:val="18"/>
                <w:szCs w:val="18"/>
              </w:rPr>
              <w:t xml:space="preserve">LC</w:t>
            </w:r>
          </w:p>
        </w:tc>
        <w:tc>
          <w:tcPr>
            <w:tcW w:type="dxa" w:w="7150"/>
            <w:tcMar>
              <w:top w:type="dxa" w:w="80"/>
              <w:left w:type="dxa" w:w="100"/>
              <w:bottom w:type="dxa" w:w="80"/>
              <w:right w:type="dxa" w:w="100"/>
            </w:tcMar>
          </w:tcPr>
          <w:p>
            <w:r>
              <w:rPr>
                <w:color w:val="1E293B"/>
                <w:sz w:val="18"/>
                <w:szCs w:val="18"/>
              </w:rPr>
              <w:t xml:space="preserve">Letter of Credit — a bank’s conditional payment undertaking on behalf of an importer, in favour of an exporter, against a complying documentary presentation.</w:t>
            </w:r>
          </w:p>
        </w:tc>
      </w:tr>
      <w:tr>
        <w:tc>
          <w:tcPr>
            <w:tcW w:type="dxa" w:w="2200"/>
            <w:tcMar>
              <w:top w:type="dxa" w:w="80"/>
              <w:left w:type="dxa" w:w="100"/>
              <w:bottom w:type="dxa" w:w="80"/>
              <w:right w:type="dxa" w:w="100"/>
            </w:tcMar>
          </w:tcPr>
          <w:p>
            <w:r>
              <w:rPr>
                <w:color w:val="1E293B"/>
                <w:sz w:val="18"/>
                <w:szCs w:val="18"/>
              </w:rPr>
              <w:t xml:space="preserve">Sight / Usance</w:t>
            </w:r>
          </w:p>
        </w:tc>
        <w:tc>
          <w:tcPr>
            <w:tcW w:type="dxa" w:w="7150"/>
            <w:tcMar>
              <w:top w:type="dxa" w:w="80"/>
              <w:left w:type="dxa" w:w="100"/>
              <w:bottom w:type="dxa" w:w="80"/>
              <w:right w:type="dxa" w:w="100"/>
            </w:tcMar>
          </w:tcPr>
          <w:p>
            <w:r>
              <w:rPr>
                <w:color w:val="1E293B"/>
                <w:sz w:val="18"/>
                <w:szCs w:val="18"/>
              </w:rPr>
              <w:t xml:space="preserve">Sight = payable on presentation; Usance = payable on a future date (a term/time draft or deferred payment undertaking).</w:t>
            </w:r>
          </w:p>
        </w:tc>
      </w:tr>
      <w:tr>
        <w:tc>
          <w:tcPr>
            <w:tcW w:type="dxa" w:w="2200"/>
            <w:tcMar>
              <w:top w:type="dxa" w:w="80"/>
              <w:left w:type="dxa" w:w="100"/>
              <w:bottom w:type="dxa" w:w="80"/>
              <w:right w:type="dxa" w:w="100"/>
            </w:tcMar>
          </w:tcPr>
          <w:p>
            <w:r>
              <w:rPr>
                <w:color w:val="1E293B"/>
                <w:sz w:val="18"/>
                <w:szCs w:val="18"/>
              </w:rPr>
              <w:t xml:space="preserve">D/P, D/A</w:t>
            </w:r>
          </w:p>
        </w:tc>
        <w:tc>
          <w:tcPr>
            <w:tcW w:type="dxa" w:w="7150"/>
            <w:tcMar>
              <w:top w:type="dxa" w:w="80"/>
              <w:left w:type="dxa" w:w="100"/>
              <w:bottom w:type="dxa" w:w="80"/>
              <w:right w:type="dxa" w:w="100"/>
            </w:tcMar>
          </w:tcPr>
          <w:p>
            <w:r>
              <w:rPr>
                <w:color w:val="1E293B"/>
                <w:sz w:val="18"/>
                <w:szCs w:val="18"/>
              </w:rPr>
              <w:t xml:space="preserve">Documents against Payment / Documents against Acceptance — the two release conditions for a documentary collection under URC 522.</w:t>
            </w:r>
          </w:p>
        </w:tc>
      </w:tr>
      <w:tr>
        <w:tc>
          <w:tcPr>
            <w:tcW w:type="dxa" w:w="2200"/>
            <w:tcMar>
              <w:top w:type="dxa" w:w="80"/>
              <w:left w:type="dxa" w:w="100"/>
              <w:bottom w:type="dxa" w:w="80"/>
              <w:right w:type="dxa" w:w="100"/>
            </w:tcMar>
          </w:tcPr>
          <w:p>
            <w:r>
              <w:rPr>
                <w:color w:val="1E293B"/>
                <w:sz w:val="18"/>
                <w:szCs w:val="18"/>
              </w:rPr>
              <w:t xml:space="preserve">Nostro / Vostro</w:t>
            </w:r>
          </w:p>
        </w:tc>
        <w:tc>
          <w:tcPr>
            <w:tcW w:type="dxa" w:w="7150"/>
            <w:tcMar>
              <w:top w:type="dxa" w:w="80"/>
              <w:left w:type="dxa" w:w="100"/>
              <w:bottom w:type="dxa" w:w="80"/>
              <w:right w:type="dxa" w:w="100"/>
            </w:tcMar>
          </w:tcPr>
          <w:p>
            <w:r>
              <w:rPr>
                <w:color w:val="1E293B"/>
                <w:sz w:val="18"/>
                <w:szCs w:val="18"/>
              </w:rPr>
              <w:t xml:space="preserve">Nostro = "our account, held at your bank" (the bank’s own correspondent account abroad). Vostro = "your account, held at our bank" (a correspondent’s account held domestically at this bank).</w:t>
            </w:r>
          </w:p>
        </w:tc>
      </w:tr>
      <w:tr>
        <w:tc>
          <w:tcPr>
            <w:tcW w:type="dxa" w:w="2200"/>
            <w:tcMar>
              <w:top w:type="dxa" w:w="80"/>
              <w:left w:type="dxa" w:w="100"/>
              <w:bottom w:type="dxa" w:w="80"/>
              <w:right w:type="dxa" w:w="100"/>
            </w:tcMar>
          </w:tcPr>
          <w:p>
            <w:r>
              <w:rPr>
                <w:color w:val="1E293B"/>
                <w:sz w:val="18"/>
                <w:szCs w:val="18"/>
              </w:rPr>
              <w:t xml:space="preserve">Applicant / Beneficiary</w:t>
            </w:r>
          </w:p>
        </w:tc>
        <w:tc>
          <w:tcPr>
            <w:tcW w:type="dxa" w:w="7150"/>
            <w:tcMar>
              <w:top w:type="dxa" w:w="80"/>
              <w:left w:type="dxa" w:w="100"/>
              <w:bottom w:type="dxa" w:w="80"/>
              <w:right w:type="dxa" w:w="100"/>
            </w:tcMar>
          </w:tcPr>
          <w:p>
            <w:r>
              <w:rPr>
                <w:color w:val="1E293B"/>
                <w:sz w:val="18"/>
                <w:szCs w:val="18"/>
              </w:rPr>
              <w:t xml:space="preserve">Applicant = the party requesting an LC/guarantee be issued (typically the importer/principal). Beneficiary = the party entitled to draw/claim under it (typically the exporter/claimant).</w:t>
            </w:r>
          </w:p>
        </w:tc>
      </w:tr>
      <w:tr>
        <w:tc>
          <w:tcPr>
            <w:tcW w:type="dxa" w:w="2200"/>
            <w:tcMar>
              <w:top w:type="dxa" w:w="80"/>
              <w:left w:type="dxa" w:w="100"/>
              <w:bottom w:type="dxa" w:w="80"/>
              <w:right w:type="dxa" w:w="100"/>
            </w:tcMar>
          </w:tcPr>
          <w:p>
            <w:r>
              <w:rPr>
                <w:color w:val="1E293B"/>
                <w:sz w:val="18"/>
                <w:szCs w:val="18"/>
              </w:rPr>
              <w:t xml:space="preserve">Risk Participation</w:t>
            </w:r>
          </w:p>
        </w:tc>
        <w:tc>
          <w:tcPr>
            <w:tcW w:type="dxa" w:w="7150"/>
            <w:tcMar>
              <w:top w:type="dxa" w:w="80"/>
              <w:left w:type="dxa" w:w="100"/>
              <w:bottom w:type="dxa" w:w="80"/>
              <w:right w:type="dxa" w:w="100"/>
            </w:tcMar>
          </w:tcPr>
          <w:p>
            <w:r>
              <w:rPr>
                <w:color w:val="1E293B"/>
                <w:sz w:val="18"/>
                <w:szCs w:val="18"/>
              </w:rPr>
              <w:t xml:space="preserve">An arrangement where a bank (the Grantor) sells down part of its trade finance credit exposure to another bank (the Participant) in exchange for funding.</w:t>
            </w:r>
          </w:p>
        </w:tc>
      </w:tr>
      <w:tr>
        <w:tc>
          <w:tcPr>
            <w:tcW w:type="dxa" w:w="2200"/>
            <w:tcMar>
              <w:top w:type="dxa" w:w="80"/>
              <w:left w:type="dxa" w:w="100"/>
              <w:bottom w:type="dxa" w:w="80"/>
              <w:right w:type="dxa" w:w="100"/>
            </w:tcMar>
          </w:tcPr>
          <w:p>
            <w:r>
              <w:rPr>
                <w:color w:val="1E293B"/>
                <w:sz w:val="18"/>
                <w:szCs w:val="18"/>
              </w:rPr>
              <w:t xml:space="preserve">Suspense Account</w:t>
            </w:r>
          </w:p>
        </w:tc>
        <w:tc>
          <w:tcPr>
            <w:tcW w:type="dxa" w:w="7150"/>
            <w:tcMar>
              <w:top w:type="dxa" w:w="80"/>
              <w:left w:type="dxa" w:w="100"/>
              <w:bottom w:type="dxa" w:w="80"/>
              <w:right w:type="dxa" w:w="100"/>
            </w:tcMar>
          </w:tcPr>
          <w:p>
            <w:r>
              <w:rPr>
                <w:color w:val="1E293B"/>
                <w:sz w:val="18"/>
                <w:szCs w:val="18"/>
              </w:rPr>
              <w:t xml:space="preserve">An internal clearing account used to bridge amounts between two components/systems until both sides of the entry are booked — never a real external counterparty.</w:t>
            </w:r>
          </w:p>
        </w:tc>
      </w:tr>
      <w:tr>
        <w:tc>
          <w:tcPr>
            <w:tcW w:type="dxa" w:w="2200"/>
            <w:tcMar>
              <w:top w:type="dxa" w:w="80"/>
              <w:left w:type="dxa" w:w="100"/>
              <w:bottom w:type="dxa" w:w="80"/>
              <w:right w:type="dxa" w:w="100"/>
            </w:tcMar>
          </w:tcPr>
          <w:p>
            <w:r>
              <w:rPr>
                <w:color w:val="1E293B"/>
                <w:sz w:val="18"/>
                <w:szCs w:val="18"/>
              </w:rPr>
              <w:t xml:space="preserve">V8</w:t>
            </w:r>
          </w:p>
        </w:tc>
        <w:tc>
          <w:tcPr>
            <w:tcW w:type="dxa" w:w="7150"/>
            <w:tcMar>
              <w:top w:type="dxa" w:w="80"/>
              <w:left w:type="dxa" w:w="100"/>
              <w:bottom w:type="dxa" w:w="80"/>
              <w:right w:type="dxa" w:w="100"/>
            </w:tcMar>
          </w:tcPr>
          <w:p>
            <w:r>
              <w:rPr>
                <w:color w:val="1E293B"/>
                <w:sz w:val="18"/>
                <w:szCs w:val="18"/>
              </w:rPr>
              <w:t xml:space="preserve">This service’s internal shorthand for the Dr/Cr aggregate balance rule (§7.1) — named for the FSD section that originally specified it.</w:t>
            </w:r>
          </w:p>
        </w:tc>
      </w:tr>
      <w:tr>
        <w:tc>
          <w:tcPr>
            <w:tcW w:type="dxa" w:w="2200"/>
            <w:tcMar>
              <w:top w:type="dxa" w:w="80"/>
              <w:left w:type="dxa" w:w="100"/>
              <w:bottom w:type="dxa" w:w="80"/>
              <w:right w:type="dxa" w:w="100"/>
            </w:tcMar>
          </w:tcPr>
          <w:p>
            <w:r>
              <w:rPr>
                <w:color w:val="1E293B"/>
                <w:sz w:val="18"/>
                <w:szCs w:val="18"/>
              </w:rPr>
              <w:t xml:space="preserve">XOR (classification)</w:t>
            </w:r>
          </w:p>
        </w:tc>
        <w:tc>
          <w:tcPr>
            <w:tcW w:type="dxa" w:w="7150"/>
            <w:tcMar>
              <w:top w:type="dxa" w:w="80"/>
              <w:left w:type="dxa" w:w="100"/>
              <w:bottom w:type="dxa" w:w="80"/>
              <w:right w:type="dxa" w:w="100"/>
            </w:tcMar>
          </w:tcPr>
          <w:p>
            <w:r>
              <w:rPr>
                <w:color w:val="1E293B"/>
                <w:sz w:val="18"/>
                <w:szCs w:val="18"/>
              </w:rPr>
              <w:t xml:space="preserve">Exclusive-or: true when exactly one side (debit or credit) of a transaction has a leg of the given account type — the signal that money is genuinely crossing between two different settlement categories.</w:t>
            </w:r>
          </w:p>
        </w:tc>
      </w:tr>
    </w:tbl>
    <w:p>
      <w:pPr>
        <w:pStyle w:val="Heading1"/>
        <w:spacing w:after="160" w:before="360"/>
      </w:pPr>
      <w:r>
        <w:rPr>
          <w:color w:val="1E3A8A"/>
        </w:rPr>
        <w:t xml:space="preserve">12. Appendix B — OAS 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7850"/>
      </w:tblGrid>
      <w:tr>
        <w:trPr>
          <w:tblHeader/>
        </w:trPr>
        <w:tc>
          <w:tcPr>
            <w:tcW w:type="dxa" w:w="1500"/>
            <w:shd w:fill="1E3A8A" w:val="clear"/>
            <w:tcMar>
              <w:top w:type="dxa" w:w="80"/>
              <w:left w:type="dxa" w:w="100"/>
              <w:bottom w:type="dxa" w:w="80"/>
              <w:right w:type="dxa" w:w="100"/>
            </w:tcMar>
          </w:tcPr>
          <w:p>
            <w:r>
              <w:rPr>
                <w:b/>
                <w:bCs/>
                <w:color w:val="FFFFFF"/>
                <w:sz w:val="18"/>
                <w:szCs w:val="18"/>
              </w:rPr>
              <w:t xml:space="preserve">Version</w:t>
            </w:r>
          </w:p>
        </w:tc>
        <w:tc>
          <w:tcPr>
            <w:tcW w:type="dxa" w:w="7850"/>
            <w:shd w:fill="1E3A8A" w:val="clear"/>
            <w:tcMar>
              <w:top w:type="dxa" w:w="80"/>
              <w:left w:type="dxa" w:w="100"/>
              <w:bottom w:type="dxa" w:w="80"/>
              <w:right w:type="dxa" w:w="100"/>
            </w:tcMar>
          </w:tcPr>
          <w:p>
            <w:r>
              <w:rPr>
                <w:b/>
                <w:bCs/>
                <w:color w:val="FFFFFF"/>
                <w:sz w:val="18"/>
                <w:szCs w:val="18"/>
              </w:rPr>
              <w:t xml:space="preserve">Summary</w:t>
            </w:r>
          </w:p>
        </w:tc>
      </w:tr>
      <w:tr>
        <w:tc>
          <w:tcPr>
            <w:tcW w:type="dxa" w:w="1500"/>
            <w:tcMar>
              <w:top w:type="dxa" w:w="80"/>
              <w:left w:type="dxa" w:w="100"/>
              <w:bottom w:type="dxa" w:w="80"/>
              <w:right w:type="dxa" w:w="100"/>
            </w:tcMar>
          </w:tcPr>
          <w:p>
            <w:r>
              <w:rPr>
                <w:color w:val="1E293B"/>
                <w:sz w:val="18"/>
                <w:szCs w:val="18"/>
              </w:rPr>
              <w:t xml:space="preserve">v1.1.0</w:t>
            </w:r>
          </w:p>
        </w:tc>
        <w:tc>
          <w:tcPr>
            <w:tcW w:type="dxa" w:w="7850"/>
            <w:tcMar>
              <w:top w:type="dxa" w:w="80"/>
              <w:left w:type="dxa" w:w="100"/>
              <w:bottom w:type="dxa" w:w="80"/>
              <w:right w:type="dxa" w:w="100"/>
            </w:tcMar>
          </w:tcPr>
          <w:p>
            <w:r>
              <w:rPr>
                <w:color w:val="1E293B"/>
                <w:sz w:val="18"/>
                <w:szCs w:val="18"/>
              </w:rPr>
              <w:t xml:space="preserve">Added RTGS to AccountType (RPFM); split the single exchangeRate field into 4 distinct rate fields; added payInstrFlag.</w:t>
            </w:r>
          </w:p>
        </w:tc>
      </w:tr>
      <w:tr>
        <w:tc>
          <w:tcPr>
            <w:tcW w:type="dxa" w:w="1500"/>
            <w:tcMar>
              <w:top w:type="dxa" w:w="80"/>
              <w:left w:type="dxa" w:w="100"/>
              <w:bottom w:type="dxa" w:w="80"/>
              <w:right w:type="dxa" w:w="100"/>
            </w:tcMar>
          </w:tcPr>
          <w:p>
            <w:r>
              <w:rPr>
                <w:color w:val="1E293B"/>
                <w:sz w:val="18"/>
                <w:szCs w:val="18"/>
              </w:rPr>
              <w:t xml:space="preserve">v1.2.0</w:t>
            </w:r>
          </w:p>
        </w:tc>
        <w:tc>
          <w:tcPr>
            <w:tcW w:type="dxa" w:w="7850"/>
            <w:tcMar>
              <w:top w:type="dxa" w:w="80"/>
              <w:left w:type="dxa" w:w="100"/>
              <w:bottom w:type="dxa" w:w="80"/>
              <w:right w:type="dxa" w:w="100"/>
            </w:tcMar>
          </w:tcPr>
          <w:p>
            <w:r>
              <w:rPr>
                <w:color w:val="1E293B"/>
                <w:sz w:val="18"/>
                <w:szCs w:val="18"/>
              </w:rPr>
              <w:t xml:space="preserve">Converted all amounts/rates to decimal-string types; made sequence a required idempotency field; corrected the RTGS description.</w:t>
            </w:r>
          </w:p>
        </w:tc>
      </w:tr>
      <w:tr>
        <w:tc>
          <w:tcPr>
            <w:tcW w:type="dxa" w:w="1500"/>
            <w:tcMar>
              <w:top w:type="dxa" w:w="80"/>
              <w:left w:type="dxa" w:w="100"/>
              <w:bottom w:type="dxa" w:w="80"/>
              <w:right w:type="dxa" w:w="100"/>
            </w:tcMar>
          </w:tcPr>
          <w:p>
            <w:r>
              <w:rPr>
                <w:color w:val="1E293B"/>
                <w:sz w:val="18"/>
                <w:szCs w:val="18"/>
              </w:rPr>
              <w:t xml:space="preserve">v1.3.0</w:t>
            </w:r>
          </w:p>
        </w:tc>
        <w:tc>
          <w:tcPr>
            <w:tcW w:type="dxa" w:w="7850"/>
            <w:tcMar>
              <w:top w:type="dxa" w:w="80"/>
              <w:left w:type="dxa" w:w="100"/>
              <w:bottom w:type="dxa" w:w="80"/>
              <w:right w:type="dxa" w:w="100"/>
            </w:tcMar>
          </w:tcPr>
          <w:p>
            <w:r>
              <w:rPr>
                <w:color w:val="1E293B"/>
                <w:sz w:val="18"/>
                <w:szCs w:val="18"/>
              </w:rPr>
              <w:t xml:space="preserve">Removed RTGS as a distinct AccountType — replaced with accountType=NOSTRO + a new rtgsIndicator flag, since no legacy logic ever branched on it separately.</w:t>
            </w:r>
          </w:p>
        </w:tc>
      </w:tr>
      <w:tr>
        <w:tc>
          <w:tcPr>
            <w:tcW w:type="dxa" w:w="1500"/>
            <w:tcMar>
              <w:top w:type="dxa" w:w="80"/>
              <w:left w:type="dxa" w:w="100"/>
              <w:bottom w:type="dxa" w:w="80"/>
              <w:right w:type="dxa" w:w="100"/>
            </w:tcMar>
          </w:tcPr>
          <w:p>
            <w:r>
              <w:rPr>
                <w:color w:val="1E293B"/>
                <w:sz w:val="18"/>
                <w:szCs w:val="18"/>
              </w:rPr>
              <w:t xml:space="preserve">v1.4.0</w:t>
            </w:r>
          </w:p>
        </w:tc>
        <w:tc>
          <w:tcPr>
            <w:tcW w:type="dxa" w:w="7850"/>
            <w:tcMar>
              <w:top w:type="dxa" w:w="80"/>
              <w:left w:type="dxa" w:w="100"/>
              <w:bottom w:type="dxa" w:w="80"/>
              <w:right w:type="dxa" w:w="100"/>
            </w:tcMar>
          </w:tcPr>
          <w:p>
            <w:r>
              <w:rPr>
                <w:color w:val="1E293B"/>
                <w:sz w:val="18"/>
                <w:szCs w:val="18"/>
              </w:rPr>
              <w:t xml:space="preserve">Added the optional suspenseBridge request field — the Charge/Balance Component accounting bridge.</w:t>
            </w:r>
          </w:p>
        </w:tc>
      </w:tr>
      <w:tr>
        <w:tc>
          <w:tcPr>
            <w:tcW w:type="dxa" w:w="1500"/>
            <w:tcMar>
              <w:top w:type="dxa" w:w="80"/>
              <w:left w:type="dxa" w:w="100"/>
              <w:bottom w:type="dxa" w:w="80"/>
              <w:right w:type="dxa" w:w="100"/>
            </w:tcMar>
          </w:tcPr>
          <w:p>
            <w:r>
              <w:rPr>
                <w:color w:val="1E293B"/>
                <w:sz w:val="18"/>
                <w:szCs w:val="18"/>
              </w:rPr>
              <w:t xml:space="preserve">v1.5.0</w:t>
            </w:r>
          </w:p>
        </w:tc>
        <w:tc>
          <w:tcPr>
            <w:tcW w:type="dxa" w:w="7850"/>
            <w:tcMar>
              <w:top w:type="dxa" w:w="80"/>
              <w:left w:type="dxa" w:w="100"/>
              <w:bottom w:type="dxa" w:w="80"/>
              <w:right w:type="dxa" w:w="100"/>
            </w:tcMar>
          </w:tcPr>
          <w:p>
            <w:r>
              <w:rPr>
                <w:color w:val="1E293B"/>
                <w:sz w:val="18"/>
                <w:szCs w:val="18"/>
              </w:rPr>
              <w:t xml:space="preserve">Added SuspenseEntry.sourceComponent/.balanceModule provenance metadata.</w:t>
            </w:r>
          </w:p>
        </w:tc>
      </w:tr>
      <w:tr>
        <w:tc>
          <w:tcPr>
            <w:tcW w:type="dxa" w:w="1500"/>
            <w:tcMar>
              <w:top w:type="dxa" w:w="80"/>
              <w:left w:type="dxa" w:w="100"/>
              <w:bottom w:type="dxa" w:w="80"/>
              <w:right w:type="dxa" w:w="100"/>
            </w:tcMar>
          </w:tcPr>
          <w:p>
            <w:r>
              <w:rPr>
                <w:color w:val="1E293B"/>
                <w:sz w:val="18"/>
                <w:szCs w:val="18"/>
              </w:rPr>
              <w:t xml:space="preserve">v1.6.0</w:t>
            </w:r>
          </w:p>
        </w:tc>
        <w:tc>
          <w:tcPr>
            <w:tcW w:type="dxa" w:w="7850"/>
            <w:tcMar>
              <w:top w:type="dxa" w:w="80"/>
              <w:left w:type="dxa" w:w="100"/>
              <w:bottom w:type="dxa" w:w="80"/>
              <w:right w:type="dxa" w:w="100"/>
            </w:tcMar>
          </w:tcPr>
          <w:p>
            <w:r>
              <w:rPr>
                <w:color w:val="1E293B"/>
                <w:sz w:val="18"/>
                <w:szCs w:val="18"/>
              </w:rPr>
              <w:t xml:space="preserve">Removed Charge Voucher/Liability Voucher generation entirely — this service now only ever produces SETTLEMENT entries.</w:t>
            </w:r>
          </w:p>
        </w:tc>
      </w:tr>
      <w:tr>
        <w:tc>
          <w:tcPr>
            <w:tcW w:type="dxa" w:w="1500"/>
            <w:tcMar>
              <w:top w:type="dxa" w:w="80"/>
              <w:left w:type="dxa" w:w="100"/>
              <w:bottom w:type="dxa" w:w="80"/>
              <w:right w:type="dxa" w:w="100"/>
            </w:tcMar>
          </w:tcPr>
          <w:p>
            <w:r>
              <w:rPr>
                <w:color w:val="1E293B"/>
                <w:sz w:val="18"/>
                <w:szCs w:val="18"/>
              </w:rPr>
              <w:t xml:space="preserve">v1.7.0 – v1.7.5</w:t>
            </w:r>
          </w:p>
        </w:tc>
        <w:tc>
          <w:tcPr>
            <w:tcW w:type="dxa" w:w="7850"/>
            <w:tcMar>
              <w:top w:type="dxa" w:w="80"/>
              <w:left w:type="dxa" w:w="100"/>
              <w:bottom w:type="dxa" w:w="80"/>
              <w:right w:type="dxa" w:w="100"/>
            </w:tcMar>
          </w:tcPr>
          <w:p>
            <w:r>
              <w:rPr>
                <w:color w:val="1E293B"/>
                <w:sz w:val="18"/>
                <w:szCs w:val="18"/>
              </w:rPr>
              <w:t xml:space="preserve">Iterative per-currency balance refinements for the Suspense/FX Exchange bridge (superseded by v1.8.0).</w:t>
            </w:r>
          </w:p>
        </w:tc>
      </w:tr>
      <w:tr>
        <w:tc>
          <w:tcPr>
            <w:tcW w:type="dxa" w:w="1500"/>
            <w:tcMar>
              <w:top w:type="dxa" w:w="80"/>
              <w:left w:type="dxa" w:w="100"/>
              <w:bottom w:type="dxa" w:w="80"/>
              <w:right w:type="dxa" w:w="100"/>
            </w:tcMar>
          </w:tcPr>
          <w:p>
            <w:r>
              <w:rPr>
                <w:color w:val="1E293B"/>
                <w:sz w:val="18"/>
                <w:szCs w:val="18"/>
              </w:rPr>
              <w:t xml:space="preserve">v1.8.0</w:t>
            </w:r>
          </w:p>
        </w:tc>
        <w:tc>
          <w:tcPr>
            <w:tcW w:type="dxa" w:w="7850"/>
            <w:tcMar>
              <w:top w:type="dxa" w:w="80"/>
              <w:left w:type="dxa" w:w="100"/>
              <w:bottom w:type="dxa" w:w="80"/>
              <w:right w:type="dxa" w:w="100"/>
            </w:tcMar>
          </w:tcPr>
          <w:p>
            <w:r>
              <w:rPr>
                <w:color w:val="1E293B"/>
                <w:sz w:val="18"/>
                <w:szCs w:val="18"/>
              </w:rPr>
              <w:t xml:space="preserve">Server-side fix closing the per-currency display gap with two independent, self-balancing FX Exchange pairs per foreign-currency bucket, plus (business-requirement-confirmed, 2026-08-09) the Charge Component Bridge no-Credit-Leg pattern with difference-sized FX Exchange entries (§7.8).</w:t>
            </w:r>
          </w:p>
        </w:tc>
      </w:tr>
    </w:tbl>
    <w:p>
      <w:pPr>
        <w:spacing w:before="360" w:after="120"/>
      </w:pPr>
      <w:r>
        <w:rPr>
          <w:b/>
          <w:sz w:val="28"/>
          <w:szCs w:val="28"/>
        </w:rPr>
        <w:t xml:space="preserve">Spec Sync — 2026-08 Hardening Review (implementation)</w:t>
      </w:r>
    </w:p>
    <w:p>
      <w:r>
        <w:t xml:space="preserve">The following implementation hardening changes were applied to the Payment Component service after review; each is unit-tested (261 tests, 100% coverage). Recorded here for spec alignment.</w:t>
      </w:r>
    </w:p>
    <w:p>
      <w:pPr>
        <w:spacing w:before="120"/>
      </w:pPr>
      <w:r>
        <w:rPr>
          <w:b/>
        </w:rPr>
        <w:t xml:space="preserve">C-2 — Payload-aware idempotency: </w:t>
      </w:r>
      <w:r>
        <w:t xml:space="preserve">a repeat POST on the same natural key (originModule, mainRef, sequence) with a DIFFERENT request payload now returns 409 IDEMPOTENCY_KEY_CONFLICT instead of silently replaying the original; an identical resend still replays (200). A canonical request fingerprint (SHA-256) is stored as a system/control field alongside the instruction; the OAS response body is unchanged. (H-1, the concurrency race, is closed by the same production DB landing: UNIQUE(origin_module, main_ref, sequence) + atomic upsert comparing the fingerprint.)</w:t>
      </w:r>
    </w:p>
    <w:p>
      <w:pPr>
        <w:spacing w:before="120"/>
      </w:pPr>
      <w:r>
        <w:rPr>
          <w:b/>
        </w:rPr>
        <w:t xml:space="preserve">H-2 — Currency minor-unit validation: </w:t>
      </w:r>
      <w:r>
        <w:t xml:space="preserve">submitted amounts are validated against the currency's decimal places (Currency API decimals): amountTxCcy vs the transaction currency, amountAccountCcy vs the leg currency, and each Suspense entry vs its own currency. Over-precision (e.g. JPY 100.50, EUR 1.234) is rejected with 400. A currency absent from the master is skipped (source of truth).</w:t>
      </w:r>
    </w:p>
    <w:p>
      <w:pPr>
        <w:spacing w:before="120"/>
      </w:pPr>
      <w:r>
        <w:rPr>
          <w:b/>
        </w:rPr>
        <w:t xml:space="preserve">H-3 — SWIFT 32A vs 33B, and UETR: </w:t>
      </w:r>
      <w:r>
        <w:t xml:space="preserve">settlement amount (32A, settled/account currency) and instructed amount (33B, transaction currency) are no longer forced equal — they differ for a cross-currency payment; a new SwiftMessage.instructedCurrency field carries 33B's currency (same-currency payments unchanged). A gpi UETR (v4 UUID) is now populated on every message, shared by a leg's advice and its cover. serviceTypeId / isGpiMember remain a config-driven follow-up.</w:t>
      </w:r>
    </w:p>
    <w:p>
      <w:pPr>
        <w:spacing w:before="120"/>
      </w:pPr>
      <w:r>
        <w:rPr>
          <w:b/>
        </w:rPr>
        <w:t xml:space="preserve">M-1 — Negative amounts rejected: </w:t>
      </w:r>
      <w:r>
        <w:t xml:space="preserve">strictly-negative caller amounts (submitted legs + Suspense entries) are rejected with 400. Direction is expressed by the Dr/Cr side, never by sign; the only ledger negative is the FX Exchange (兌換) Dr/Cr side-swap, which the server generates on the opposite side with a positive amount, after validation.</w:t>
      </w:r>
    </w:p>
    <w:p>
      <w:pPr>
        <w:spacing w:before="120"/>
      </w:pPr>
      <w:r>
        <w:rPr>
          <w:b/>
        </w:rPr>
        <w:t xml:space="preserve">M-2 — Exchange rate must be greater than 0: </w:t>
      </w:r>
      <w:r>
        <w:t xml:space="preserve">a zero rate is rejected with 400; negative was already blocked by the ExchangeRate pattern (no leading sign). Applies to every rate field and to Suspense crossRate.</w:t>
      </w:r>
    </w:p>
    <w:p>
      <w:pPr>
        <w:spacing w:before="120"/>
      </w:pPr>
      <w:r>
        <w:rPr>
          <w:b/>
        </w:rPr>
        <w:t xml:space="preserve">M-7 — Exact balance for every module: </w:t>
      </w:r>
      <w:r>
        <w:t xml:space="preserve">the RPFM automatic +/-0.01 tolerance was removed; the Confirm flow now requires exact Dr = Cr for all originModules (RPFM included). The legacy +/-0.01 was a screen-level percentage-split slack, not a posting rule. A genuine rounding residual should be posted to an explicit rounding-difference leg (follow-up).</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6"/>
        <w:szCs w:val="16"/>
      </w:rPr>
      <w:t xml:space="preserve">Payment Component OAS — FSD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2026-08-09T12:07:46.510Z</dcterms:created>
  <dcterms:modified xsi:type="dcterms:W3CDTF">2026-08-09T12:07:46.511Z</dcterms:modified>
</cp:coreProperties>
</file>

<file path=docProps/custom.xml><?xml version="1.0" encoding="utf-8"?>
<Properties xmlns="http://schemas.openxmlformats.org/officeDocument/2006/custom-properties" xmlns:vt="http://schemas.openxmlformats.org/officeDocument/2006/docPropsVTypes"/>
</file>