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200"/>
        <w:jc w:val="center"/>
      </w:pPr>
      <w:r>
        <w:rPr>
          <w:b/>
          <w:bCs/>
          <w:color w:val="1F4E78"/>
          <w:sz w:val="56"/>
          <w:szCs w:val="56"/>
        </w:rPr>
        <w:t xml:space="preserve">Payment Component</w:t>
      </w:r>
    </w:p>
    <w:p>
      <w:pPr>
        <w:spacing w:after="120"/>
        <w:jc w:val="center"/>
      </w:pPr>
      <w:r>
        <w:rPr>
          <w:b/>
          <w:bCs/>
          <w:sz w:val="36"/>
          <w:szCs w:val="36"/>
        </w:rPr>
        <w:t xml:space="preserve">Calculation &amp; Validation Reference</w:t>
      </w:r>
    </w:p>
    <w:p>
      <w:pPr>
        <w:spacing w:after="1600"/>
        <w:jc w:val="center"/>
      </w:pPr>
      <w:r>
        <w:rPr>
          <w:i/>
          <w:iCs/>
          <w:color w:val="555555"/>
          <w:sz w:val="26"/>
          <w:szCs w:val="26"/>
        </w:rPr>
        <w:t xml:space="preserve">Formulas and validation rules the single POST /payment-instructions API must implement, traced to original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shd w:fill="1F4E78" w:val="clear"/>
            <w:tcMar>
              <w:top w:type="dxa" w:w="60"/>
              <w:left w:type="dxa" w:w="80"/>
              <w:bottom w:type="dxa" w:w="60"/>
              <w:right w:type="dxa" w:w="80"/>
            </w:tcMar>
          </w:tcPr>
          <w:p>
            <w:r>
              <w:rPr>
                <w:b/>
                <w:bCs/>
                <w:color w:val="FFFFFF"/>
                <w:sz w:val="18"/>
                <w:szCs w:val="18"/>
              </w:rPr>
              <w:t xml:space="preserve">Item</w:t>
            </w:r>
          </w:p>
        </w:tc>
        <w:tc>
          <w:tcPr>
            <w:tcW w:type="dxa" w:w="6560"/>
            <w:shd w:fill="1F4E78" w:val="clear"/>
            <w:tcMar>
              <w:top w:type="dxa" w:w="60"/>
              <w:left w:type="dxa" w:w="80"/>
              <w:bottom w:type="dxa" w:w="60"/>
              <w:right w:type="dxa" w:w="80"/>
            </w:tcMar>
          </w:tcPr>
          <w:p>
            <w:r>
              <w:rPr>
                <w:b/>
                <w:bCs/>
                <w:color w:val="FFFFFF"/>
                <w:sz w:val="18"/>
                <w:szCs w:val="18"/>
              </w:rPr>
              <w:t xml:space="preserve">Detail</w:t>
            </w:r>
          </w:p>
        </w:tc>
      </w:tr>
      <w:tr>
        <w:tc>
          <w:tcPr>
            <w:tcW w:type="dxa" w:w="2800"/>
            <w:tcMar>
              <w:top w:type="dxa" w:w="50"/>
              <w:left w:type="dxa" w:w="80"/>
              <w:bottom w:type="dxa" w:w="50"/>
              <w:right w:type="dxa" w:w="80"/>
            </w:tcMar>
          </w:tcPr>
          <w:p>
            <w:r>
              <w:rPr>
                <w:sz w:val="18"/>
                <w:szCs w:val="18"/>
              </w:rPr>
              <w:t xml:space="preserve">Document Type</w:t>
            </w:r>
          </w:p>
        </w:tc>
        <w:tc>
          <w:tcPr>
            <w:tcW w:type="dxa" w:w="6560"/>
            <w:tcMar>
              <w:top w:type="dxa" w:w="50"/>
              <w:left w:type="dxa" w:w="80"/>
              <w:bottom w:type="dxa" w:w="50"/>
              <w:right w:type="dxa" w:w="80"/>
            </w:tcMar>
          </w:tcPr>
          <w:p>
            <w:r>
              <w:rPr>
                <w:sz w:val="18"/>
                <w:szCs w:val="18"/>
              </w:rPr>
              <w:t xml:space="preserve">Calculation &amp; Validation Reference (embedded-formula format per docs/analysis-guidelines.md)</w:t>
            </w:r>
          </w:p>
        </w:tc>
      </w:tr>
      <w:tr>
        <w:tc>
          <w:tcPr>
            <w:tcW w:type="dxa" w:w="2800"/>
            <w:shd w:fill="F7F9FB" w:val="clear"/>
            <w:tcMar>
              <w:top w:type="dxa" w:w="50"/>
              <w:left w:type="dxa" w:w="80"/>
              <w:bottom w:type="dxa" w:w="50"/>
              <w:right w:type="dxa" w:w="80"/>
            </w:tcMar>
          </w:tcPr>
          <w:p>
            <w:r>
              <w:rPr>
                <w:sz w:val="18"/>
                <w:szCs w:val="18"/>
              </w:rPr>
              <w:t xml:space="preserve">Based On</w:t>
            </w:r>
          </w:p>
        </w:tc>
        <w:tc>
          <w:tcPr>
            <w:tcW w:type="dxa" w:w="6560"/>
            <w:shd w:fill="F7F9FB" w:val="clear"/>
            <w:tcMar>
              <w:top w:type="dxa" w:w="50"/>
              <w:left w:type="dxa" w:w="80"/>
              <w:bottom w:type="dxa" w:w="50"/>
              <w:right w:type="dxa" w:w="80"/>
            </w:tcMar>
          </w:tcPr>
          <w:p>
            <w:r>
              <w:rPr>
                <w:sz w:val="18"/>
                <w:szCs w:val="18"/>
              </w:rPr>
              <w:t xml:space="preserve">PaymentComponent-Microservice-FSD-zh.docx §5.4 (5-step confirm flow) and payment-instructions-post.yaml v1.2.0</w:t>
            </w:r>
          </w:p>
        </w:tc>
      </w:tr>
      <w:tr>
        <w:tc>
          <w:tcPr>
            <w:tcW w:type="dxa" w:w="2800"/>
            <w:tcMar>
              <w:top w:type="dxa" w:w="50"/>
              <w:left w:type="dxa" w:w="80"/>
              <w:bottom w:type="dxa" w:w="50"/>
              <w:right w:type="dxa" w:w="80"/>
            </w:tcMar>
          </w:tcPr>
          <w:p>
            <w:r>
              <w:rPr>
                <w:sz w:val="18"/>
                <w:szCs w:val="18"/>
              </w:rPr>
              <w:t xml:space="preserve">Source Re-Verified This Pass</w:t>
            </w:r>
          </w:p>
        </w:tc>
        <w:tc>
          <w:tcPr>
            <w:tcW w:type="dxa" w:w="6560"/>
            <w:tcMar>
              <w:top w:type="dxa" w:w="50"/>
              <w:left w:type="dxa" w:w="80"/>
              <w:bottom w:type="dxa" w:w="50"/>
              <w:right w:type="dxa" w:w="80"/>
            </w:tcMar>
          </w:tcPr>
          <w:p>
            <w:r>
              <w:rPr>
                <w:sz w:val="18"/>
                <w:szCs w:val="18"/>
              </w:rPr>
              <w:t xml:space="preserve">X/CALJS/CDOSCRLEVEL/SSSS_PaymentDebit.js, SSSS_PaymentCredit.js; X/CALJS/COMMONLEVEL/TrxSys.js (SYT_CHG_VOUCHER, SYT_LIAB_VOUCHER); X/CALJS/FUNCLEVEL/SYF_EXCO_EXCO_Payment.js (SYF_EXCO_CAL_PAYMENT_AC_DESC)</w:t>
            </w:r>
          </w:p>
        </w:tc>
      </w:tr>
      <w:tr>
        <w:tc>
          <w:tcPr>
            <w:tcW w:type="dxa" w:w="2800"/>
            <w:shd w:fill="F7F9FB" w:val="clear"/>
            <w:tcMar>
              <w:top w:type="dxa" w:w="50"/>
              <w:left w:type="dxa" w:w="80"/>
              <w:bottom w:type="dxa" w:w="50"/>
              <w:right w:type="dxa" w:w="80"/>
            </w:tcMar>
          </w:tcPr>
          <w:p>
            <w:r>
              <w:rPr>
                <w:sz w:val="18"/>
                <w:szCs w:val="18"/>
              </w:rPr>
              <w:t xml:space="preserve">Scope</w:t>
            </w:r>
          </w:p>
        </w:tc>
        <w:tc>
          <w:tcPr>
            <w:tcW w:type="dxa" w:w="6560"/>
            <w:shd w:fill="F7F9FB" w:val="clear"/>
            <w:tcMar>
              <w:top w:type="dxa" w:w="50"/>
              <w:left w:type="dxa" w:w="80"/>
              <w:bottom w:type="dxa" w:w="50"/>
              <w:right w:type="dxa" w:w="80"/>
            </w:tcMar>
          </w:tcPr>
          <w:p>
            <w:r>
              <w:rPr>
                <w:sz w:val="18"/>
                <w:szCs w:val="18"/>
              </w:rPr>
              <w:t xml:space="preserve">The 15 confirmed Payment Component consumer functions (IPLC/EPLC/EXCO/IMCO/GTEE/IWGT) — see Payment_Mapping_Functions.docx for the full function roster and PASS/GAP/N-A verdicts</w:t>
            </w:r>
          </w:p>
        </w:tc>
      </w:tr>
      <w:tr>
        <w:tc>
          <w:tcPr>
            <w:tcW w:type="dxa" w:w="2800"/>
            <w:tcMar>
              <w:top w:type="dxa" w:w="50"/>
              <w:left w:type="dxa" w:w="80"/>
              <w:bottom w:type="dxa" w:w="50"/>
              <w:right w:type="dxa" w:w="80"/>
            </w:tcMar>
          </w:tcPr>
          <w:p>
            <w:r>
              <w:rPr>
                <w:sz w:val="18"/>
                <w:szCs w:val="18"/>
              </w:rPr>
              <w:t xml:space="preserve">Prepared As</w:t>
            </w:r>
          </w:p>
        </w:tc>
        <w:tc>
          <w:tcPr>
            <w:tcW w:type="dxa" w:w="6560"/>
            <w:tcMar>
              <w:top w:type="dxa" w:w="50"/>
              <w:left w:type="dxa" w:w="80"/>
              <w:bottom w:type="dxa" w:w="50"/>
              <w:right w:type="dxa" w:w="80"/>
            </w:tcMar>
          </w:tcPr>
          <w:p>
            <w:r>
              <w:rPr>
                <w:sz w:val="18"/>
                <w:szCs w:val="18"/>
              </w:rPr>
              <w:t xml:space="preserve">Trade Finance Business Analyst (CITF) / Technical Analyst (Java EE, JavaScript)</w:t>
            </w:r>
          </w:p>
        </w:tc>
      </w:tr>
      <w:tr>
        <w:tc>
          <w:tcPr>
            <w:tcW w:type="dxa" w:w="2800"/>
            <w:shd w:fill="F7F9FB" w:val="clear"/>
            <w:tcMar>
              <w:top w:type="dxa" w:w="50"/>
              <w:left w:type="dxa" w:w="80"/>
              <w:bottom w:type="dxa" w:w="50"/>
              <w:right w:type="dxa" w:w="80"/>
            </w:tcMar>
          </w:tcPr>
          <w:p>
            <w:r>
              <w:rPr>
                <w:sz w:val="18"/>
                <w:szCs w:val="18"/>
              </w:rPr>
              <w:t xml:space="preserve">Version</w:t>
            </w:r>
          </w:p>
        </w:tc>
        <w:tc>
          <w:tcPr>
            <w:tcW w:type="dxa" w:w="6560"/>
            <w:shd w:fill="F7F9FB" w:val="clear"/>
            <w:tcMar>
              <w:top w:type="dxa" w:w="50"/>
              <w:left w:type="dxa" w:w="80"/>
              <w:bottom w:type="dxa" w:w="50"/>
              <w:right w:type="dxa" w:w="80"/>
            </w:tcMar>
          </w:tcPr>
          <w:p>
            <w:r>
              <w:rPr>
                <w:sz w:val="18"/>
                <w:szCs w:val="18"/>
              </w:rPr>
              <w:t xml:space="preserve">1.0</w:t>
            </w:r>
          </w:p>
        </w:tc>
      </w:tr>
      <w:tr>
        <w:tc>
          <w:tcPr>
            <w:tcW w:type="dxa" w:w="2800"/>
            <w:tcMar>
              <w:top w:type="dxa" w:w="50"/>
              <w:left w:type="dxa" w:w="80"/>
              <w:bottom w:type="dxa" w:w="50"/>
              <w:right w:type="dxa" w:w="80"/>
            </w:tcMar>
          </w:tcPr>
          <w:p>
            <w:r>
              <w:rPr>
                <w:sz w:val="18"/>
                <w:szCs w:val="18"/>
              </w:rPr>
              <w:t xml:space="preserve">Date</w:t>
            </w:r>
          </w:p>
        </w:tc>
        <w:tc>
          <w:tcPr>
            <w:tcW w:type="dxa" w:w="6560"/>
            <w:tcMar>
              <w:top w:type="dxa" w:w="50"/>
              <w:left w:type="dxa" w:w="80"/>
              <w:bottom w:type="dxa" w:w="50"/>
              <w:right w:type="dxa" w:w="80"/>
            </w:tcMar>
          </w:tcPr>
          <w:p>
            <w:r>
              <w:rPr>
                <w:sz w:val="18"/>
                <w:szCs w:val="18"/>
              </w:rPr>
              <w:t xml:space="preserve">2026-08-06</w:t>
            </w:r>
          </w:p>
        </w:tc>
      </w:tr>
    </w:tbl>
    <w:p>
      <w:r>
        <w:br w:type="page"/>
      </w:r>
    </w:p>
    <w:p>
      <w:pPr>
        <w:pStyle w:val="Heading1"/>
        <w:spacing w:after="160" w:before="32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t xml:space="preserve">1. Purpose &amp; Scope</w:t>
      </w:r>
    </w:p>
    <w:p>
      <w:pPr>
        <w:spacing w:after="160"/>
      </w:pPr>
      <w:r>
        <w:t xml:space="preserve">This document specifies the calculation formulas and validation rules that POST /payment-instructions (payment-instructions-post.yaml v1.2.0) must implement, so that it reproduces the business behavior of the original ConfirmBusinessCall-equivalent logic scattered across SSSS_PaymentDebit.js, SSSS_PaymentCredit.js, and TrxSys.js. Each formula below is embedded with its source code and file:line reference — not a prose summary — per docs/analysis-guidelines.md.</w:t>
      </w:r>
    </w:p>
    <w:p>
      <w:pPr>
        <w:spacing w:after="160"/>
      </w:pPr>
      <w:r>
        <w:t xml:space="preserve">Structure follows the 5-step confirm flow already defined in the FSD (§5.4):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1600"/>
        <w:gridCol w:w="2860"/>
      </w:tblGrid>
      <w:tr>
        <w:trPr>
          <w:tblHeader/>
        </w:trPr>
        <w:tc>
          <w:tcPr>
            <w:tcW w:type="dxa" w:w="700"/>
            <w:shd w:fill="1F4E78" w:val="clear"/>
            <w:tcMar>
              <w:top w:type="dxa" w:w="60"/>
              <w:left w:type="dxa" w:w="80"/>
              <w:bottom w:type="dxa" w:w="60"/>
              <w:right w:type="dxa" w:w="80"/>
            </w:tcMar>
          </w:tcPr>
          <w:p>
            <w:r>
              <w:rPr>
                <w:b/>
                <w:bCs/>
                <w:color w:val="FFFFFF"/>
                <w:sz w:val="18"/>
                <w:szCs w:val="18"/>
              </w:rPr>
              <w:t xml:space="preserve">Step</w:t>
            </w:r>
          </w:p>
        </w:tc>
        <w:tc>
          <w:tcPr>
            <w:tcW w:type="dxa" w:w="4200"/>
            <w:shd w:fill="1F4E78" w:val="clear"/>
            <w:tcMar>
              <w:top w:type="dxa" w:w="60"/>
              <w:left w:type="dxa" w:w="80"/>
              <w:bottom w:type="dxa" w:w="60"/>
              <w:right w:type="dxa" w:w="80"/>
            </w:tcMar>
          </w:tcPr>
          <w:p>
            <w:r>
              <w:rPr>
                <w:b/>
                <w:bCs/>
                <w:color w:val="FFFFFF"/>
                <w:sz w:val="18"/>
                <w:szCs w:val="18"/>
              </w:rPr>
              <w:t xml:space="preserve">What it does</w:t>
            </w:r>
          </w:p>
        </w:tc>
        <w:tc>
          <w:tcPr>
            <w:tcW w:type="dxa" w:w="1600"/>
            <w:shd w:fill="1F4E78" w:val="clear"/>
            <w:tcMar>
              <w:top w:type="dxa" w:w="60"/>
              <w:left w:type="dxa" w:w="80"/>
              <w:bottom w:type="dxa" w:w="60"/>
              <w:right w:type="dxa" w:w="80"/>
            </w:tcMar>
          </w:tcPr>
          <w:p>
            <w:r>
              <w:rPr>
                <w:b/>
                <w:bCs/>
                <w:color w:val="FFFFFF"/>
                <w:sz w:val="18"/>
                <w:szCs w:val="18"/>
              </w:rPr>
              <w:t xml:space="preserve">Section below</w:t>
            </w:r>
          </w:p>
        </w:tc>
        <w:tc>
          <w:tcPr>
            <w:tcW w:type="dxa" w:w="2860"/>
            <w:shd w:fill="1F4E78" w:val="clear"/>
            <w:tcMar>
              <w:top w:type="dxa" w:w="60"/>
              <w:left w:type="dxa" w:w="80"/>
              <w:bottom w:type="dxa" w:w="60"/>
              <w:right w:type="dxa" w:w="80"/>
            </w:tcMar>
          </w:tcPr>
          <w:p>
            <w:r>
              <w:rPr>
                <w:b/>
                <w:bCs/>
                <w:color w:val="FFFFFF"/>
                <w:sz w:val="18"/>
                <w:szCs w:val="18"/>
              </w:rPr>
              <w:t xml:space="preserve">OAS enforcement</w:t>
            </w:r>
          </w:p>
        </w:tc>
      </w:tr>
      <w:tr>
        <w:tc>
          <w:tcPr>
            <w:tcW w:type="dxa" w:w="700"/>
            <w:tcMar>
              <w:top w:type="dxa" w:w="50"/>
              <w:left w:type="dxa" w:w="80"/>
              <w:bottom w:type="dxa" w:w="50"/>
              <w:right w:type="dxa" w:w="80"/>
            </w:tcMar>
          </w:tcPr>
          <w:p>
            <w:r>
              <w:rPr>
                <w:sz w:val="18"/>
                <w:szCs w:val="18"/>
              </w:rPr>
              <w:t xml:space="preserve">1</w:t>
            </w:r>
          </w:p>
        </w:tc>
        <w:tc>
          <w:tcPr>
            <w:tcW w:type="dxa" w:w="4200"/>
            <w:tcMar>
              <w:top w:type="dxa" w:w="50"/>
              <w:left w:type="dxa" w:w="80"/>
              <w:bottom w:type="dxa" w:w="50"/>
              <w:right w:type="dxa" w:w="80"/>
            </w:tcMar>
          </w:tcPr>
          <w:p>
            <w:r>
              <w:rPr>
                <w:sz w:val="18"/>
                <w:szCs w:val="18"/>
              </w:rPr>
              <w:t xml:space="preserve">Dr/Cr balance validation</w:t>
            </w:r>
          </w:p>
        </w:tc>
        <w:tc>
          <w:tcPr>
            <w:tcW w:type="dxa" w:w="1600"/>
            <w:tcMar>
              <w:top w:type="dxa" w:w="50"/>
              <w:left w:type="dxa" w:w="80"/>
              <w:bottom w:type="dxa" w:w="50"/>
              <w:right w:type="dxa" w:w="80"/>
            </w:tcMar>
          </w:tcPr>
          <w:p>
            <w:r>
              <w:rPr>
                <w:sz w:val="18"/>
                <w:szCs w:val="18"/>
              </w:rPr>
              <w:t xml:space="preserve">§3</w:t>
            </w:r>
          </w:p>
        </w:tc>
        <w:tc>
          <w:tcPr>
            <w:tcW w:type="dxa" w:w="2860"/>
            <w:tcMar>
              <w:top w:type="dxa" w:w="50"/>
              <w:left w:type="dxa" w:w="80"/>
              <w:bottom w:type="dxa" w:w="50"/>
              <w:right w:type="dxa" w:w="80"/>
            </w:tcMar>
          </w:tcPr>
          <w:p>
            <w:r>
              <w:rPr>
                <w:sz w:val="18"/>
                <w:szCs w:val="18"/>
              </w:rPr>
              <w:t xml:space="preserve">409 on failure</w:t>
            </w:r>
          </w:p>
        </w:tc>
      </w:tr>
      <w:tr>
        <w:tc>
          <w:tcPr>
            <w:tcW w:type="dxa" w:w="700"/>
            <w:shd w:fill="F7F9FB" w:val="clear"/>
            <w:tcMar>
              <w:top w:type="dxa" w:w="50"/>
              <w:left w:type="dxa" w:w="80"/>
              <w:bottom w:type="dxa" w:w="50"/>
              <w:right w:type="dxa" w:w="80"/>
            </w:tcMar>
          </w:tcPr>
          <w:p>
            <w:r>
              <w:rPr>
                <w:sz w:val="18"/>
                <w:szCs w:val="18"/>
              </w:rPr>
              <w:t xml:space="preserve">2</w:t>
            </w:r>
          </w:p>
        </w:tc>
        <w:tc>
          <w:tcPr>
            <w:tcW w:type="dxa" w:w="4200"/>
            <w:shd w:fill="F7F9FB" w:val="clear"/>
            <w:tcMar>
              <w:top w:type="dxa" w:w="50"/>
              <w:left w:type="dxa" w:w="80"/>
              <w:bottom w:type="dxa" w:w="50"/>
              <w:right w:type="dxa" w:w="80"/>
            </w:tcMar>
          </w:tcPr>
          <w:p>
            <w:r>
              <w:rPr>
                <w:sz w:val="18"/>
                <w:szCs w:val="18"/>
              </w:rPr>
              <w:t xml:space="preserve">Payment Component Identification Rule (classification)</w:t>
            </w:r>
          </w:p>
        </w:tc>
        <w:tc>
          <w:tcPr>
            <w:tcW w:type="dxa" w:w="1600"/>
            <w:shd w:fill="F7F9FB" w:val="clear"/>
            <w:tcMar>
              <w:top w:type="dxa" w:w="50"/>
              <w:left w:type="dxa" w:w="80"/>
              <w:bottom w:type="dxa" w:w="50"/>
              <w:right w:type="dxa" w:w="80"/>
            </w:tcMar>
          </w:tcPr>
          <w:p>
            <w:r>
              <w:rPr>
                <w:sz w:val="18"/>
                <w:szCs w:val="18"/>
              </w:rPr>
              <w:t xml:space="preserve">§4</w:t>
            </w:r>
          </w:p>
        </w:tc>
        <w:tc>
          <w:tcPr>
            <w:tcW w:type="dxa" w:w="2860"/>
            <w:shd w:fill="F7F9FB" w:val="clear"/>
            <w:tcMar>
              <w:top w:type="dxa" w:w="50"/>
              <w:left w:type="dxa" w:w="80"/>
              <w:bottom w:type="dxa" w:w="50"/>
              <w:right w:type="dxa" w:w="80"/>
            </w:tcMar>
          </w:tcPr>
          <w:p>
            <w:r>
              <w:rPr>
                <w:sz w:val="18"/>
                <w:szCs w:val="18"/>
              </w:rPr>
              <w:t xml:space="preserve">Never blocks — result embedded in response</w:t>
            </w:r>
          </w:p>
        </w:tc>
      </w:tr>
      <w:tr>
        <w:tc>
          <w:tcPr>
            <w:tcW w:type="dxa" w:w="700"/>
            <w:tcMar>
              <w:top w:type="dxa" w:w="50"/>
              <w:left w:type="dxa" w:w="80"/>
              <w:bottom w:type="dxa" w:w="50"/>
              <w:right w:type="dxa" w:w="80"/>
            </w:tcMar>
          </w:tcPr>
          <w:p>
            <w:r>
              <w:rPr>
                <w:sz w:val="18"/>
                <w:szCs w:val="18"/>
              </w:rPr>
              <w:t xml:space="preserve">3</w:t>
            </w:r>
          </w:p>
        </w:tc>
        <w:tc>
          <w:tcPr>
            <w:tcW w:type="dxa" w:w="4200"/>
            <w:tcMar>
              <w:top w:type="dxa" w:w="50"/>
              <w:left w:type="dxa" w:w="80"/>
              <w:bottom w:type="dxa" w:w="50"/>
              <w:right w:type="dxa" w:w="80"/>
            </w:tcMar>
          </w:tcPr>
          <w:p>
            <w:r>
              <w:rPr>
                <w:sz w:val="18"/>
                <w:szCs w:val="18"/>
              </w:rPr>
              <w:t xml:space="preserve">Voucher description code assembly</w:t>
            </w:r>
          </w:p>
        </w:tc>
        <w:tc>
          <w:tcPr>
            <w:tcW w:type="dxa" w:w="1600"/>
            <w:tcMar>
              <w:top w:type="dxa" w:w="50"/>
              <w:left w:type="dxa" w:w="80"/>
              <w:bottom w:type="dxa" w:w="50"/>
              <w:right w:type="dxa" w:w="80"/>
            </w:tcMar>
          </w:tcPr>
          <w:p>
            <w:r>
              <w:rPr>
                <w:sz w:val="18"/>
                <w:szCs w:val="18"/>
              </w:rPr>
              <w:t xml:space="preserve">§5</w:t>
            </w:r>
          </w:p>
        </w:tc>
        <w:tc>
          <w:tcPr>
            <w:tcW w:type="dxa" w:w="2860"/>
            <w:tcMar>
              <w:top w:type="dxa" w:w="50"/>
              <w:left w:type="dxa" w:w="80"/>
              <w:bottom w:type="dxa" w:w="50"/>
              <w:right w:type="dxa" w:w="80"/>
            </w:tcMar>
          </w:tcPr>
          <w:p>
            <w:r>
              <w:rPr>
                <w:sz w:val="18"/>
                <w:szCs w:val="18"/>
              </w:rPr>
              <w:t xml:space="preserve">Server-derived, read-only output</w:t>
            </w:r>
          </w:p>
        </w:tc>
      </w:tr>
      <w:tr>
        <w:tc>
          <w:tcPr>
            <w:tcW w:type="dxa" w:w="700"/>
            <w:shd w:fill="F7F9FB" w:val="clear"/>
            <w:tcMar>
              <w:top w:type="dxa" w:w="50"/>
              <w:left w:type="dxa" w:w="80"/>
              <w:bottom w:type="dxa" w:w="50"/>
              <w:right w:type="dxa" w:w="80"/>
            </w:tcMar>
          </w:tcPr>
          <w:p>
            <w:r>
              <w:rPr>
                <w:sz w:val="18"/>
                <w:szCs w:val="18"/>
              </w:rPr>
              <w:t xml:space="preserve">4</w:t>
            </w:r>
          </w:p>
        </w:tc>
        <w:tc>
          <w:tcPr>
            <w:tcW w:type="dxa" w:w="4200"/>
            <w:shd w:fill="F7F9FB" w:val="clear"/>
            <w:tcMar>
              <w:top w:type="dxa" w:w="50"/>
              <w:left w:type="dxa" w:w="80"/>
              <w:bottom w:type="dxa" w:w="50"/>
              <w:right w:type="dxa" w:w="80"/>
            </w:tcMar>
          </w:tcPr>
          <w:p>
            <w:r>
              <w:rPr>
                <w:sz w:val="18"/>
                <w:szCs w:val="18"/>
              </w:rPr>
              <w:t xml:space="preserve">Account Entry generation (3 parallel streams)</w:t>
            </w:r>
          </w:p>
        </w:tc>
        <w:tc>
          <w:tcPr>
            <w:tcW w:type="dxa" w:w="1600"/>
            <w:shd w:fill="F7F9FB" w:val="clear"/>
            <w:tcMar>
              <w:top w:type="dxa" w:w="50"/>
              <w:left w:type="dxa" w:w="80"/>
              <w:bottom w:type="dxa" w:w="50"/>
              <w:right w:type="dxa" w:w="80"/>
            </w:tcMar>
          </w:tcPr>
          <w:p>
            <w:r>
              <w:rPr>
                <w:sz w:val="18"/>
                <w:szCs w:val="18"/>
              </w:rPr>
              <w:t xml:space="preserve">§6</w:t>
            </w:r>
          </w:p>
        </w:tc>
        <w:tc>
          <w:tcPr>
            <w:tcW w:type="dxa" w:w="2860"/>
            <w:shd w:fill="F7F9FB" w:val="clear"/>
            <w:tcMar>
              <w:top w:type="dxa" w:w="50"/>
              <w:left w:type="dxa" w:w="80"/>
              <w:bottom w:type="dxa" w:w="50"/>
              <w:right w:type="dxa" w:w="80"/>
            </w:tcMar>
          </w:tcPr>
          <w:p>
            <w:r>
              <w:rPr>
                <w:sz w:val="18"/>
                <w:szCs w:val="18"/>
              </w:rPr>
              <w:t xml:space="preserve">Unconditional — independent of Step 2</w:t>
            </w:r>
          </w:p>
        </w:tc>
      </w:tr>
      <w:tr>
        <w:tc>
          <w:tcPr>
            <w:tcW w:type="dxa" w:w="700"/>
            <w:tcMar>
              <w:top w:type="dxa" w:w="50"/>
              <w:left w:type="dxa" w:w="80"/>
              <w:bottom w:type="dxa" w:w="50"/>
              <w:right w:type="dxa" w:w="80"/>
            </w:tcMar>
          </w:tcPr>
          <w:p>
            <w:r>
              <w:rPr>
                <w:sz w:val="18"/>
                <w:szCs w:val="18"/>
              </w:rPr>
              <w:t xml:space="preserve">5</w:t>
            </w:r>
          </w:p>
        </w:tc>
        <w:tc>
          <w:tcPr>
            <w:tcW w:type="dxa" w:w="4200"/>
            <w:tcMar>
              <w:top w:type="dxa" w:w="50"/>
              <w:left w:type="dxa" w:w="80"/>
              <w:bottom w:type="dxa" w:w="50"/>
              <w:right w:type="dxa" w:w="80"/>
            </w:tcMar>
          </w:tcPr>
          <w:p>
            <w:r>
              <w:rPr>
                <w:sz w:val="18"/>
                <w:szCs w:val="18"/>
              </w:rPr>
              <w:t xml:space="preserve">SWIFT/ISO 20022 message generation + cross-field validation</w:t>
            </w:r>
          </w:p>
        </w:tc>
        <w:tc>
          <w:tcPr>
            <w:tcW w:type="dxa" w:w="1600"/>
            <w:tcMar>
              <w:top w:type="dxa" w:w="50"/>
              <w:left w:type="dxa" w:w="80"/>
              <w:bottom w:type="dxa" w:w="50"/>
              <w:right w:type="dxa" w:w="80"/>
            </w:tcMar>
          </w:tcPr>
          <w:p>
            <w:r>
              <w:rPr>
                <w:sz w:val="18"/>
                <w:szCs w:val="18"/>
              </w:rPr>
              <w:t xml:space="preserve">§7</w:t>
            </w:r>
          </w:p>
        </w:tc>
        <w:tc>
          <w:tcPr>
            <w:tcW w:type="dxa" w:w="2860"/>
            <w:tcMar>
              <w:top w:type="dxa" w:w="50"/>
              <w:left w:type="dxa" w:w="80"/>
              <w:bottom w:type="dxa" w:w="50"/>
              <w:right w:type="dxa" w:w="80"/>
            </w:tcMar>
          </w:tcPr>
          <w:p>
            <w:r>
              <w:rPr>
                <w:sz w:val="18"/>
                <w:szCs w:val="18"/>
              </w:rPr>
              <w:t xml:space="preserve">400/409 on cross-field violation</w:t>
            </w:r>
          </w:p>
        </w:tc>
      </w:tr>
    </w:tbl>
    <w:p>
      <w:pPr>
        <w:spacing w:after="160"/>
      </w:pPr>
    </w:p>
    <w:p>
      <w:pPr>
        <w:pBdr>
          <w:left w:val="single" w:color="1F4E78" w:sz="12" w:space="8"/>
        </w:pBdr>
        <w:spacing w:after="200"/>
        <w:ind w:left="120"/>
      </w:pPr>
      <w:r>
        <w:rPr>
          <w:i/>
          <w:iCs/>
          <w:color w:val="444444"/>
          <w:sz w:val="20"/>
          <w:szCs w:val="20"/>
        </w:rPr>
        <w:t xml:space="preserve">Scope note: formulas are documented only where they are exercised by at least one of the 15 confirmed Payment Component consumer functions (Payment_Mapping_Functions.docx §6). Module branches in TrxSys.js for modules outside that set (SYND, PYMT, SHGT, CFNC, etc.) are out of scope here and not reproduced.</w:t>
      </w:r>
    </w:p>
    <w:p>
      <w:pPr>
        <w:pStyle w:val="Heading1"/>
        <w:spacing w:after="160" w:before="320"/>
      </w:pPr>
      <w:r>
        <w:t xml:space="preserve">3. Step 1 — Dr/Cr Balance Validation</w:t>
      </w:r>
    </w:p>
    <w:p>
      <w:pPr>
        <w:spacing w:after="160"/>
      </w:pPr>
      <w:r>
        <w:t xml:space="preserve">The original system enforces balance client-side, per side, against a shared target total — not by directly comparing the debit total to the credit total. Both Debit_Chk_Total_Pct() (debit legs) and CHK_Total_Pct() (credit legs) sum every leg’s CPYT_DR_AMT_TXCCY / CPYT_CR_AMT_TXCCY and reject if the sum exceeds CPYT_DR_TTL_AMT_TTLCCY / CPYT_CR_TTL_AMT_TTLCCY respectively (both fields are set to the same instruction-level total, so the two independent per-side checks transitively enforce Dr total ≈ Cr total).</w:t>
      </w:r>
    </w:p>
    <w:p>
      <w:pPr>
        <w:pStyle w:val="Heading2"/>
        <w:spacing w:after="120" w:before="240"/>
      </w:pPr>
      <w:r>
        <w:t xml:space="preserve">3.1 Debit side — Debit_Chk_Total_Pct()</w:t>
      </w:r>
    </w:p>
    <w:p>
      <w:pPr>
        <w:spacing w:after="160"/>
      </w:pPr>
      <w:r>
        <w:t xml:space="preserve">Source: X/CALJS/CDOSCRLEVEL/SSSS_PaymentDebit.js:347-390</w:t>
      </w:r>
    </w:p>
    <w:p>
      <w:pPr>
        <w:shd w:fill="F2F2F2" w:val="clear"/>
        <w:spacing w:after="0"/>
      </w:pPr>
      <w:r>
        <w:rPr>
          <w:rFonts w:ascii="Consolas" w:cs="Consolas" w:eastAsia="Consolas" w:hAnsi="Consolas"/>
          <w:sz w:val="15"/>
          <w:szCs w:val="15"/>
        </w:rPr>
        <w:t xml:space="preserve">function Debit_Chk_Total_Pct() {</w:t>
      </w:r>
    </w:p>
    <w:p>
      <w:pPr>
        <w:shd w:fill="F2F2F2" w:val="clear"/>
        <w:spacing w:after="0"/>
      </w:pPr>
      <w:r>
        <w:rPr>
          <w:rFonts w:ascii="Consolas" w:cs="Consolas" w:eastAsia="Consolas" w:hAnsi="Consolas"/>
          <w:sz w:val="15"/>
          <w:szCs w:val="15"/>
        </w:rPr>
        <w:t xml:space="preserve">    arrDebit = SYS_GetObjByDoName('PaymentDebit');</w:t>
      </w:r>
    </w:p>
    <w:p>
      <w:pPr>
        <w:shd w:fill="F2F2F2" w:val="clear"/>
        <w:spacing w:after="0"/>
      </w:pPr>
      <w:r>
        <w:rPr>
          <w:rFonts w:ascii="Consolas" w:cs="Consolas" w:eastAsia="Consolas" w:hAnsi="Consolas"/>
          <w:sz w:val="15"/>
          <w:szCs w:val="15"/>
        </w:rPr>
        <w:t xml:space="preserve">    tempSum = SYS_BeFloat(document.MAINFORM.CPYT_DR_AMT_TXCCY.value);</w:t>
      </w:r>
    </w:p>
    <w:p>
      <w:pPr>
        <w:shd w:fill="F2F2F2" w:val="clear"/>
        <w:spacing w:after="0"/>
      </w:pPr>
      <w:r>
        <w:rPr>
          <w:rFonts w:ascii="Consolas" w:cs="Consolas" w:eastAsia="Consolas" w:hAnsi="Consolas"/>
          <w:sz w:val="15"/>
          <w:szCs w:val="15"/>
        </w:rPr>
        <w:t xml:space="preserve">    ttlAmt  = SYS_BeFloat(document.MAINFORM.CPYT_DR_TTL_AMT_TTLCCY.value);</w:t>
      </w:r>
    </w:p>
    <w:p>
      <w:pPr>
        <w:shd w:fill="F2F2F2" w:val="clear"/>
        <w:spacing w:after="0"/>
      </w:pPr>
      <w:r>
        <w:rPr>
          <w:rFonts w:ascii="Consolas" w:cs="Consolas" w:eastAsia="Consolas" w:hAnsi="Consolas"/>
          <w:sz w:val="15"/>
          <w:szCs w:val="15"/>
        </w:rPr>
        <w:t xml:space="preserve">    oldValue = currentDeibt ? SYS_BeFloat(currentDeibt.getDoValueByName("CPYT_DR_AMT_TXCCY")) : 0;</w:t>
      </w:r>
    </w:p>
    <w:p>
      <w:pPr>
        <w:shd w:fill="F2F2F2" w:val="clear"/>
        <w:spacing w:after="0"/>
      </w:pPr>
      <w:r>
        <w:rPr>
          <w:rFonts w:ascii="Consolas" w:cs="Consolas" w:eastAsia="Consolas" w:hAnsi="Consolas"/>
          <w:sz w:val="15"/>
          <w:szCs w:val="15"/>
        </w:rPr>
        <w:t xml:space="preserve">    for (i = 0; i &lt; arrDebit.length; i++) {</w:t>
      </w:r>
    </w:p>
    <w:p>
      <w:pPr>
        <w:shd w:fill="F2F2F2" w:val="clear"/>
        <w:spacing w:after="0"/>
      </w:pPr>
      <w:r>
        <w:rPr>
          <w:rFonts w:ascii="Consolas" w:cs="Consolas" w:eastAsia="Consolas" w:hAnsi="Consolas"/>
          <w:sz w:val="15"/>
          <w:szCs w:val="15"/>
        </w:rPr>
        <w:t xml:space="preserve">        tempSum += SYS_BeFloat(arrDebit[i].getDoValueByName("CPYT_DR_AMT_TXCCY"));</w:t>
      </w:r>
    </w:p>
    <w:p>
      <w:pPr>
        <w:shd w:fill="F2F2F2" w:val="clear"/>
        <w:spacing w:after="0"/>
      </w:pPr>
      <w:r>
        <w:rPr>
          <w:rFonts w:ascii="Consolas" w:cs="Consolas" w:eastAsia="Consolas" w:hAnsi="Consolas"/>
          <w:sz w:val="15"/>
          <w:szCs w:val="15"/>
        </w:rPr>
        <w:t xml:space="preserve">    }</w:t>
      </w:r>
    </w:p>
    <w:p>
      <w:pPr>
        <w:shd w:fill="F2F2F2" w:val="clear"/>
        <w:spacing w:after="0"/>
      </w:pPr>
      <w:r>
        <w:rPr>
          <w:rFonts w:ascii="Consolas" w:cs="Consolas" w:eastAsia="Consolas" w:hAnsi="Consolas"/>
          <w:sz w:val="15"/>
          <w:szCs w:val="15"/>
        </w:rPr>
        <w:t xml:space="preserve">    newSum = tempSum - oldValue;</w:t>
      </w:r>
    </w:p>
    <w:p>
      <w:pPr>
        <w:shd w:fill="F2F2F2" w:val="clear"/>
        <w:spacing w:after="0"/>
      </w:pPr>
      <w:r>
        <w:rPr>
          <w:rFonts w:ascii="Consolas" w:cs="Consolas" w:eastAsia="Consolas" w:hAnsi="Consolas"/>
          <w:sz w:val="15"/>
          <w:szCs w:val="15"/>
        </w:rPr>
        <w:t xml:space="preserve">    if (SYS_BeFloat(newSum) &gt; ttlAmt) {</w:t>
      </w:r>
    </w:p>
    <w:p>
      <w:pPr>
        <w:shd w:fill="F2F2F2" w:val="clear"/>
        <w:spacing w:after="0"/>
      </w:pPr>
      <w:r>
        <w:rPr>
          <w:rFonts w:ascii="Consolas" w:cs="Consolas" w:eastAsia="Consolas" w:hAnsi="Consolas"/>
          <w:sz w:val="15"/>
          <w:szCs w:val="15"/>
        </w:rPr>
        <w:t xml:space="preserve">        if ("RPFM" == SYS_MODULE_NAME) {</w:t>
      </w:r>
    </w:p>
    <w:p>
      <w:pPr>
        <w:shd w:fill="F2F2F2" w:val="clear"/>
        <w:spacing w:after="0"/>
      </w:pPr>
      <w:r>
        <w:rPr>
          <w:rFonts w:ascii="Consolas" w:cs="Consolas" w:eastAsia="Consolas" w:hAnsi="Consolas"/>
          <w:sz w:val="15"/>
          <w:szCs w:val="15"/>
        </w:rPr>
        <w:t xml:space="preserve">            var sub = newSum - ttlAmt;</w:t>
      </w:r>
    </w:p>
    <w:p>
      <w:pPr>
        <w:shd w:fill="F2F2F2" w:val="clear"/>
        <w:spacing w:after="0"/>
      </w:pPr>
      <w:r>
        <w:rPr>
          <w:rFonts w:ascii="Consolas" w:cs="Consolas" w:eastAsia="Consolas" w:hAnsi="Consolas"/>
          <w:sz w:val="15"/>
          <w:szCs w:val="15"/>
        </w:rPr>
        <w:t xml:space="preserve">            if (sub &lt;= 0.01 &amp;&amp; sub &gt;= 0) { return true; }   // RPFM tolerance</w:t>
      </w:r>
    </w:p>
    <w:p>
      <w:pPr>
        <w:shd w:fill="F2F2F2" w:val="clear"/>
        <w:spacing w:after="0"/>
      </w:pPr>
      <w:r>
        <w:rPr>
          <w:rFonts w:ascii="Consolas" w:cs="Consolas" w:eastAsia="Consolas" w:hAnsi="Consolas"/>
          <w:sz w:val="15"/>
          <w:szCs w:val="15"/>
        </w:rPr>
        <w:t xml:space="preserve">        }</w:t>
      </w:r>
    </w:p>
    <w:p>
      <w:pPr>
        <w:shd w:fill="F2F2F2" w:val="clear"/>
        <w:spacing w:after="0"/>
      </w:pPr>
      <w:r>
        <w:rPr>
          <w:rFonts w:ascii="Consolas" w:cs="Consolas" w:eastAsia="Consolas" w:hAnsi="Consolas"/>
          <w:sz w:val="15"/>
          <w:szCs w:val="15"/>
        </w:rPr>
        <w:t xml:space="preserve">        alert("Please note that the total percent exceeds 100%");</w:t>
      </w:r>
    </w:p>
    <w:p>
      <w:pPr>
        <w:shd w:fill="F2F2F2" w:val="clear"/>
        <w:spacing w:after="0"/>
      </w:pPr>
      <w:r>
        <w:rPr>
          <w:rFonts w:ascii="Consolas" w:cs="Consolas" w:eastAsia="Consolas" w:hAnsi="Consolas"/>
          <w:sz w:val="15"/>
          <w:szCs w:val="15"/>
        </w:rPr>
        <w:t xml:space="preserve">        // reset CPYT_DR_PER / CPYT_DR_AMT_DRCCY / CPYT_DR_AMT_TXCCY to 0</w:t>
      </w:r>
    </w:p>
    <w:p>
      <w:pPr>
        <w:shd w:fill="F2F2F2" w:val="clear"/>
        <w:spacing w:after="0"/>
      </w:pPr>
      <w:r>
        <w:rPr>
          <w:rFonts w:ascii="Consolas" w:cs="Consolas" w:eastAsia="Consolas" w:hAnsi="Consolas"/>
          <w:sz w:val="15"/>
          <w:szCs w:val="15"/>
        </w:rPr>
        <w:t xml:space="preserve">        return false;</w:t>
      </w:r>
    </w:p>
    <w:p>
      <w:pPr>
        <w:shd w:fill="F2F2F2" w:val="clear"/>
        <w:spacing w:after="0"/>
      </w:pPr>
      <w:r>
        <w:rPr>
          <w:rFonts w:ascii="Consolas" w:cs="Consolas" w:eastAsia="Consolas" w:hAnsi="Consolas"/>
          <w:sz w:val="15"/>
          <w:szCs w:val="15"/>
        </w:rPr>
        <w:t xml:space="preserve">    }</w:t>
      </w:r>
    </w:p>
    <w:p>
      <w:pPr>
        <w:shd w:fill="F2F2F2" w:val="clear"/>
        <w:spacing w:after="0"/>
      </w:pPr>
      <w:r>
        <w:rPr>
          <w:rFonts w:ascii="Consolas" w:cs="Consolas" w:eastAsia="Consolas" w:hAnsi="Consolas"/>
          <w:sz w:val="15"/>
          <w:szCs w:val="15"/>
        </w:rPr>
        <w:t xml:space="preserve">    return true;</w:t>
      </w:r>
    </w:p>
    <w:p>
      <w:pPr>
        <w:shd w:fill="F2F2F2" w:val="clear"/>
        <w:spacing w:after="0"/>
      </w:pPr>
      <w:r>
        <w:rPr>
          <w:rFonts w:ascii="Consolas" w:cs="Consolas" w:eastAsia="Consolas" w:hAnsi="Consolas"/>
          <w:sz w:val="15"/>
          <w:szCs w:val="15"/>
        </w:rPr>
        <w:t xml:space="preserve">}</w:t>
      </w:r>
    </w:p>
    <w:p>
      <w:pPr>
        <w:spacing w:after="140"/>
      </w:pPr>
    </w:p>
    <w:p>
      <w:pPr>
        <w:spacing w:after="160"/>
      </w:pPr>
      <w:r>
        <w:t xml:space="preserve">Formula:</w:t>
      </w:r>
    </w:p>
    <w:p>
      <w:pPr>
        <w:shd w:fill="F2F2F2" w:val="clear"/>
        <w:spacing w:after="0"/>
      </w:pPr>
      <w:r>
        <w:rPr>
          <w:rFonts w:ascii="Consolas" w:cs="Consolas" w:eastAsia="Consolas" w:hAnsi="Consolas"/>
          <w:sz w:val="15"/>
          <w:szCs w:val="15"/>
        </w:rPr>
        <w:t xml:space="preserve">newSum(debit) = ( Σ CPYT_DR_AMT_TXCCY over all existing PaymentDebit legs</w:t>
      </w:r>
    </w:p>
    <w:p>
      <w:pPr>
        <w:shd w:fill="F2F2F2" w:val="clear"/>
        <w:spacing w:after="0"/>
      </w:pPr>
      <w:r>
        <w:rPr>
          <w:rFonts w:ascii="Consolas" w:cs="Consolas" w:eastAsia="Consolas" w:hAnsi="Consolas"/>
          <w:sz w:val="15"/>
          <w:szCs w:val="15"/>
        </w:rPr>
        <w:t xml:space="preserve">                  + CPYT_DR_AMT_TXCCY of the leg being added/edited</w:t>
      </w:r>
    </w:p>
    <w:p>
      <w:pPr>
        <w:shd w:fill="F2F2F2" w:val="clear"/>
        <w:spacing w:after="0"/>
      </w:pPr>
      <w:r>
        <w:rPr>
          <w:rFonts w:ascii="Consolas" w:cs="Consolas" w:eastAsia="Consolas" w:hAnsi="Consolas"/>
          <w:sz w:val="15"/>
          <w:szCs w:val="15"/>
        </w:rPr>
        <w:t xml:space="preserve">                  − CPYT_DR_AMT_TXCCY of that leg's prior saved value )</w:t>
      </w:r>
    </w:p>
    <w:p>
      <w:pPr>
        <w:shd w:fill="F2F2F2" w:val="clear"/>
        <w:spacing w:after="0"/>
      </w:pPr>
      <w:r>
        <w:rPr>
          <w:rFonts w:ascii="Consolas" w:cs="Consolas" w:eastAsia="Consolas" w:hAnsi="Consolas"/>
          <w:sz w:val="15"/>
          <w:szCs w:val="15"/>
        </w:rPr>
        <w:t xml:space="preserve"> </w:t>
      </w:r>
    </w:p>
    <w:p>
      <w:pPr>
        <w:shd w:fill="F2F2F2" w:val="clear"/>
        <w:spacing w:after="0"/>
      </w:pPr>
      <w:r>
        <w:rPr>
          <w:rFonts w:ascii="Consolas" w:cs="Consolas" w:eastAsia="Consolas" w:hAnsi="Consolas"/>
          <w:sz w:val="15"/>
          <w:szCs w:val="15"/>
        </w:rPr>
        <w:t xml:space="preserve">PASS  iff  newSum(debit) ≤ CPYT_DR_TTL_AMT_TTLCCY</w:t>
      </w:r>
    </w:p>
    <w:p>
      <w:pPr>
        <w:shd w:fill="F2F2F2" w:val="clear"/>
        <w:spacing w:after="0"/>
      </w:pPr>
      <w:r>
        <w:rPr>
          <w:rFonts w:ascii="Consolas" w:cs="Consolas" w:eastAsia="Consolas" w:hAnsi="Consolas"/>
          <w:sz w:val="15"/>
          <w:szCs w:val="15"/>
        </w:rPr>
        <w:t xml:space="preserve">           OR (originModule == RPFM AND 0 ≤ newSum(debit) − CPYT_DR_TTL_AMT_TTLCCY ≤ 0.01)</w:t>
      </w:r>
    </w:p>
    <w:p>
      <w:pPr>
        <w:spacing w:after="140"/>
      </w:pPr>
    </w:p>
    <w:p>
      <w:pPr>
        <w:pStyle w:val="Heading2"/>
        <w:spacing w:after="120" w:before="240"/>
      </w:pPr>
      <w:r>
        <w:t xml:space="preserve">3.2 Credit side — CHK_Total_Pct()</w:t>
      </w:r>
    </w:p>
    <w:p>
      <w:pPr>
        <w:spacing w:after="160"/>
      </w:pPr>
      <w:r>
        <w:t xml:space="preserve">Source: X/CALJS/CDOSCRLEVEL/SSSS_PaymentCredit.js:164-210</w:t>
      </w:r>
    </w:p>
    <w:p>
      <w:pPr>
        <w:shd w:fill="F2F2F2" w:val="clear"/>
        <w:spacing w:after="0"/>
      </w:pPr>
      <w:r>
        <w:rPr>
          <w:rFonts w:ascii="Consolas" w:cs="Consolas" w:eastAsia="Consolas" w:hAnsi="Consolas"/>
          <w:sz w:val="15"/>
          <w:szCs w:val="15"/>
        </w:rPr>
        <w:t xml:space="preserve">function CHK_Total_Pct() {</w:t>
      </w:r>
    </w:p>
    <w:p>
      <w:pPr>
        <w:shd w:fill="F2F2F2" w:val="clear"/>
        <w:spacing w:after="0"/>
      </w:pPr>
      <w:r>
        <w:rPr>
          <w:rFonts w:ascii="Consolas" w:cs="Consolas" w:eastAsia="Consolas" w:hAnsi="Consolas"/>
          <w:sz w:val="15"/>
          <w:szCs w:val="15"/>
        </w:rPr>
        <w:t xml:space="preserve">    arrCredit = SYS_GetObjByDoName('PaymentCredit');</w:t>
      </w:r>
    </w:p>
    <w:p>
      <w:pPr>
        <w:shd w:fill="F2F2F2" w:val="clear"/>
        <w:spacing w:after="0"/>
      </w:pPr>
      <w:r>
        <w:rPr>
          <w:rFonts w:ascii="Consolas" w:cs="Consolas" w:eastAsia="Consolas" w:hAnsi="Consolas"/>
          <w:sz w:val="15"/>
          <w:szCs w:val="15"/>
        </w:rPr>
        <w:t xml:space="preserve">    tempSum = SYS_BeFloat(document.MAINFORM.CPYT_CR_AMT_TXCCY.value);</w:t>
      </w:r>
    </w:p>
    <w:p>
      <w:pPr>
        <w:shd w:fill="F2F2F2" w:val="clear"/>
        <w:spacing w:after="0"/>
      </w:pPr>
      <w:r>
        <w:rPr>
          <w:rFonts w:ascii="Consolas" w:cs="Consolas" w:eastAsia="Consolas" w:hAnsi="Consolas"/>
          <w:sz w:val="15"/>
          <w:szCs w:val="15"/>
        </w:rPr>
        <w:t xml:space="preserve">    ttlAmt  = SYS_BeFloat(document.MAINFORM.CPYT_CR_TTL_AMT_TTLCCY.value);</w:t>
      </w:r>
    </w:p>
    <w:p>
      <w:pPr>
        <w:shd w:fill="F2F2F2" w:val="clear"/>
        <w:spacing w:after="0"/>
      </w:pPr>
      <w:r>
        <w:rPr>
          <w:rFonts w:ascii="Consolas" w:cs="Consolas" w:eastAsia="Consolas" w:hAnsi="Consolas"/>
          <w:sz w:val="15"/>
          <w:szCs w:val="15"/>
        </w:rPr>
        <w:t xml:space="preserve">    oldValue = currentCredit ? SYS_BeFloat(currentCredit.getDoValueByName(...)) : 0;</w:t>
      </w:r>
    </w:p>
    <w:p>
      <w:pPr>
        <w:shd w:fill="F2F2F2" w:val="clear"/>
        <w:spacing w:after="0"/>
      </w:pPr>
      <w:r>
        <w:rPr>
          <w:rFonts w:ascii="Consolas" w:cs="Consolas" w:eastAsia="Consolas" w:hAnsi="Consolas"/>
          <w:sz w:val="15"/>
          <w:szCs w:val="15"/>
        </w:rPr>
        <w:t xml:space="preserve">    for (i = 0; i &lt; arrCredit.length; i++) {</w:t>
      </w:r>
    </w:p>
    <w:p>
      <w:pPr>
        <w:shd w:fill="F2F2F2" w:val="clear"/>
        <w:spacing w:after="0"/>
      </w:pPr>
      <w:r>
        <w:rPr>
          <w:rFonts w:ascii="Consolas" w:cs="Consolas" w:eastAsia="Consolas" w:hAnsi="Consolas"/>
          <w:sz w:val="15"/>
          <w:szCs w:val="15"/>
        </w:rPr>
        <w:t xml:space="preserve">        tempSum += SYS_BeFloat(arrCredit[i].getDoValueByName(...));</w:t>
      </w:r>
    </w:p>
    <w:p>
      <w:pPr>
        <w:shd w:fill="F2F2F2" w:val="clear"/>
        <w:spacing w:after="0"/>
      </w:pPr>
      <w:r>
        <w:rPr>
          <w:rFonts w:ascii="Consolas" w:cs="Consolas" w:eastAsia="Consolas" w:hAnsi="Consolas"/>
          <w:sz w:val="15"/>
          <w:szCs w:val="15"/>
        </w:rPr>
        <w:t xml:space="preserve">    }</w:t>
      </w:r>
    </w:p>
    <w:p>
      <w:pPr>
        <w:shd w:fill="F2F2F2" w:val="clear"/>
        <w:spacing w:after="0"/>
      </w:pPr>
      <w:r>
        <w:rPr>
          <w:rFonts w:ascii="Consolas" w:cs="Consolas" w:eastAsia="Consolas" w:hAnsi="Consolas"/>
          <w:sz w:val="15"/>
          <w:szCs w:val="15"/>
        </w:rPr>
        <w:t xml:space="preserve">    newSum = tempSum - oldValue;</w:t>
      </w:r>
    </w:p>
    <w:p>
      <w:pPr>
        <w:shd w:fill="F2F2F2" w:val="clear"/>
        <w:spacing w:after="0"/>
      </w:pPr>
      <w:r>
        <w:rPr>
          <w:rFonts w:ascii="Consolas" w:cs="Consolas" w:eastAsia="Consolas" w:hAnsi="Consolas"/>
          <w:sz w:val="15"/>
          <w:szCs w:val="15"/>
        </w:rPr>
        <w:t xml:space="preserve">    if (newSum &gt; ttlAmt) {</w:t>
      </w:r>
    </w:p>
    <w:p>
      <w:pPr>
        <w:shd w:fill="F2F2F2" w:val="clear"/>
        <w:spacing w:after="0"/>
      </w:pPr>
      <w:r>
        <w:rPr>
          <w:rFonts w:ascii="Consolas" w:cs="Consolas" w:eastAsia="Consolas" w:hAnsi="Consolas"/>
          <w:sz w:val="15"/>
          <w:szCs w:val="15"/>
        </w:rPr>
        <w:t xml:space="preserve">        if ("CFNC" == SYS_MODULE_NAME) {</w:t>
      </w:r>
    </w:p>
    <w:p>
      <w:pPr>
        <w:shd w:fill="F2F2F2" w:val="clear"/>
        <w:spacing w:after="0"/>
      </w:pPr>
      <w:r>
        <w:rPr>
          <w:rFonts w:ascii="Consolas" w:cs="Consolas" w:eastAsia="Consolas" w:hAnsi="Consolas"/>
          <w:sz w:val="15"/>
          <w:szCs w:val="15"/>
        </w:rPr>
        <w:t xml:space="preserve">            var sub = newSum - ttlAmt;</w:t>
      </w:r>
    </w:p>
    <w:p>
      <w:pPr>
        <w:shd w:fill="F2F2F2" w:val="clear"/>
        <w:spacing w:after="0"/>
      </w:pPr>
      <w:r>
        <w:rPr>
          <w:rFonts w:ascii="Consolas" w:cs="Consolas" w:eastAsia="Consolas" w:hAnsi="Consolas"/>
          <w:sz w:val="15"/>
          <w:szCs w:val="15"/>
        </w:rPr>
        <w:t xml:space="preserve">            if (sub &lt;= 0.02) { return true; }               // CFNC tolerance</w:t>
      </w:r>
    </w:p>
    <w:p>
      <w:pPr>
        <w:shd w:fill="F2F2F2" w:val="clear"/>
        <w:spacing w:after="0"/>
      </w:pPr>
      <w:r>
        <w:rPr>
          <w:rFonts w:ascii="Consolas" w:cs="Consolas" w:eastAsia="Consolas" w:hAnsi="Consolas"/>
          <w:sz w:val="15"/>
          <w:szCs w:val="15"/>
        </w:rPr>
        <w:t xml:space="preserve">        }</w:t>
      </w:r>
    </w:p>
    <w:p>
      <w:pPr>
        <w:shd w:fill="F2F2F2" w:val="clear"/>
        <w:spacing w:after="0"/>
      </w:pPr>
      <w:r>
        <w:rPr>
          <w:rFonts w:ascii="Consolas" w:cs="Consolas" w:eastAsia="Consolas" w:hAnsi="Consolas"/>
          <w:sz w:val="15"/>
          <w:szCs w:val="15"/>
        </w:rPr>
        <w:t xml:space="preserve">        if ("RPFM" == SYS_MODULE_NAME) {</w:t>
      </w:r>
    </w:p>
    <w:p>
      <w:pPr>
        <w:shd w:fill="F2F2F2" w:val="clear"/>
        <w:spacing w:after="0"/>
      </w:pPr>
      <w:r>
        <w:rPr>
          <w:rFonts w:ascii="Consolas" w:cs="Consolas" w:eastAsia="Consolas" w:hAnsi="Consolas"/>
          <w:sz w:val="15"/>
          <w:szCs w:val="15"/>
        </w:rPr>
        <w:t xml:space="preserve">            var sub = newSum - ttlAmt;</w:t>
      </w:r>
    </w:p>
    <w:p>
      <w:pPr>
        <w:shd w:fill="F2F2F2" w:val="clear"/>
        <w:spacing w:after="0"/>
      </w:pPr>
      <w:r>
        <w:rPr>
          <w:rFonts w:ascii="Consolas" w:cs="Consolas" w:eastAsia="Consolas" w:hAnsi="Consolas"/>
          <w:sz w:val="15"/>
          <w:szCs w:val="15"/>
        </w:rPr>
        <w:t xml:space="preserve">            if (sub &lt;= 0.01 &amp;&amp; sub &gt;= 0) { return true; }   // RPFM tolerance</w:t>
      </w:r>
    </w:p>
    <w:p>
      <w:pPr>
        <w:shd w:fill="F2F2F2" w:val="clear"/>
        <w:spacing w:after="0"/>
      </w:pPr>
      <w:r>
        <w:rPr>
          <w:rFonts w:ascii="Consolas" w:cs="Consolas" w:eastAsia="Consolas" w:hAnsi="Consolas"/>
          <w:sz w:val="15"/>
          <w:szCs w:val="15"/>
        </w:rPr>
        <w:t xml:space="preserve">        }</w:t>
      </w:r>
    </w:p>
    <w:p>
      <w:pPr>
        <w:shd w:fill="F2F2F2" w:val="clear"/>
        <w:spacing w:after="0"/>
      </w:pPr>
      <w:r>
        <w:rPr>
          <w:rFonts w:ascii="Consolas" w:cs="Consolas" w:eastAsia="Consolas" w:hAnsi="Consolas"/>
          <w:sz w:val="15"/>
          <w:szCs w:val="15"/>
        </w:rPr>
        <w:t xml:space="preserve">        if (SYS_ORG_FUNCTION_NAME == "SettleParticipant") {</w:t>
      </w:r>
    </w:p>
    <w:p>
      <w:pPr>
        <w:shd w:fill="F2F2F2" w:val="clear"/>
        <w:spacing w:after="0"/>
      </w:pPr>
      <w:r>
        <w:rPr>
          <w:rFonts w:ascii="Consolas" w:cs="Consolas" w:eastAsia="Consolas" w:hAnsi="Consolas"/>
          <w:sz w:val="15"/>
          <w:szCs w:val="15"/>
        </w:rPr>
        <w:t xml:space="preserve">            // reset CPYT_CR_PER / CPYT_CR_AMT_CRCCY / CPYT_CR_AMT_TXCCY to 0, return true</w:t>
      </w:r>
    </w:p>
    <w:p>
      <w:pPr>
        <w:shd w:fill="F2F2F2" w:val="clear"/>
        <w:spacing w:after="0"/>
      </w:pPr>
      <w:r>
        <w:rPr>
          <w:rFonts w:ascii="Consolas" w:cs="Consolas" w:eastAsia="Consolas" w:hAnsi="Consolas"/>
          <w:sz w:val="15"/>
          <w:szCs w:val="15"/>
        </w:rPr>
        <w:t xml:space="preserve">        }</w:t>
      </w:r>
    </w:p>
    <w:p>
      <w:pPr>
        <w:shd w:fill="F2F2F2" w:val="clear"/>
        <w:spacing w:after="0"/>
      </w:pPr>
      <w:r>
        <w:rPr>
          <w:rFonts w:ascii="Consolas" w:cs="Consolas" w:eastAsia="Consolas" w:hAnsi="Consolas"/>
          <w:sz w:val="15"/>
          <w:szCs w:val="15"/>
        </w:rPr>
        <w:t xml:space="preserve">        // else: reject</w:t>
      </w:r>
    </w:p>
    <w:p>
      <w:pPr>
        <w:shd w:fill="F2F2F2" w:val="clear"/>
        <w:spacing w:after="0"/>
      </w:pPr>
      <w:r>
        <w:rPr>
          <w:rFonts w:ascii="Consolas" w:cs="Consolas" w:eastAsia="Consolas" w:hAnsi="Consolas"/>
          <w:sz w:val="15"/>
          <w:szCs w:val="15"/>
        </w:rPr>
        <w:t xml:space="preserve">    }</w:t>
      </w:r>
    </w:p>
    <w:p>
      <w:pPr>
        <w:shd w:fill="F2F2F2" w:val="clear"/>
        <w:spacing w:after="0"/>
      </w:pPr>
      <w:r>
        <w:rPr>
          <w:rFonts w:ascii="Consolas" w:cs="Consolas" w:eastAsia="Consolas" w:hAnsi="Consolas"/>
          <w:sz w:val="15"/>
          <w:szCs w:val="15"/>
        </w:rPr>
        <w:t xml:space="preserve">}</w:t>
      </w:r>
    </w:p>
    <w:p>
      <w:pPr>
        <w:spacing w:after="140"/>
      </w:pPr>
    </w:p>
    <w:p>
      <w:pPr>
        <w:spacing w:after="160"/>
      </w:pPr>
      <w:r>
        <w:t xml:space="preserve">Formula: identical shape to §3.1 with the credit-side fields, and a wider tolerance for CFNC (0.02) alongside the same RPFM tolerance (0.01). CFNC is not in the 15 confirmed-consumer set (Payment_Mapping_Functions.docx §8, N/A) — its tolerance branch is inert for in-scope functions but is reproduced here for completeness since it lives in the same shared function.</w:t>
      </w:r>
    </w:p>
    <w:p>
      <w:pPr>
        <w:pStyle w:val="Heading2"/>
        <w:spacing w:after="120" w:before="240"/>
      </w:pPr>
      <w:r>
        <w:t xml:space="preserve">3.3 OAS mapping and open item</w:t>
      </w:r>
    </w:p>
    <w:p>
      <w:pPr>
        <w:pStyle w:val="ListParagraph"/>
        <w:numPr>
          <w:ilvl w:val="0"/>
          <w:numId w:val="1"/>
        </w:numPr>
        <w:spacing w:after="60"/>
      </w:pPr>
      <w:r>
        <w:t xml:space="preserve">Maps to the 409 response on POST /payment-instructions ("legs unbalanced, missing mandatory account type") when either side’s validation fails.</w:t>
      </w:r>
    </w:p>
    <w:p>
      <w:pPr>
        <w:pStyle w:val="ListParagraph"/>
        <w:numPr>
          <w:ilvl w:val="0"/>
          <w:numId w:val="1"/>
        </w:numPr>
        <w:spacing w:after="60"/>
      </w:pPr>
      <w:r>
        <w:t xml:space="preserve">RPFM tolerance (±0.01) applies to a GAP-status module (Payment_Mapping_Functions.docx §7) — reproduce it if/when RPFM is remediated, otherwise it is dead logic for the 15 in-scope functions.</w:t>
      </w:r>
    </w:p>
    <w:p>
      <w:pPr>
        <w:pBdr>
          <w:left w:val="single" w:color="1F4E78" w:sz="12" w:space="8"/>
        </w:pBdr>
        <w:spacing w:after="200"/>
        <w:ind w:left="120"/>
      </w:pPr>
      <w:r>
        <w:rPr>
          <w:i/>
          <w:iCs/>
          <w:color w:val="444444"/>
          <w:sz w:val="20"/>
          <w:szCs w:val="20"/>
        </w:rPr>
        <w:t xml:space="preserve">Open item: the source enforces "leg sum ≤ shared target total" independently per side, not "Σ debitLegs == Σ creditLegs" directly. These are equivalent ONLY if CPYT_DR_TTL_AMT_TTLCCY and CPYT_CR_TTL_AMT_TTLCCY are always set to the same value by the calling screen — this was not independently re-verified in this pass. Before finalizing the server-side validator, confirm whether an exact Σdebit == Σcredit check (stronger than the two independent ≤ checks) is required, or whether the original "each side ≤ shared total, no side required to hit it exactly" semantics should be preserved (see §12).</w:t>
      </w:r>
    </w:p>
    <w:p>
      <w:pPr>
        <w:pStyle w:val="Heading1"/>
        <w:spacing w:after="160" w:before="320"/>
      </w:pPr>
      <w:r>
        <w:t xml:space="preserve">4. Step 2 — Payment Component Identification Rule (Classification)</w:t>
      </w:r>
    </w:p>
    <w:p>
      <w:pPr>
        <w:spacing w:after="160"/>
      </w:pPr>
      <w:r>
        <w:t xml:space="preserve">Already fully specified and source-verified in the FSD (§2.3, Rev. 2) — recapped here only for completeness of the confirm-flow trace, not re-derived.</w:t>
      </w:r>
    </w:p>
    <w:p>
      <w:pPr>
        <w:shd w:fill="F2F2F2" w:val="clear"/>
        <w:spacing w:after="0"/>
      </w:pPr>
      <w:r>
        <w:rPr>
          <w:rFonts w:ascii="Consolas" w:cs="Consolas" w:eastAsia="Consolas" w:hAnsi="Consolas"/>
          <w:sz w:val="15"/>
          <w:szCs w:val="15"/>
        </w:rPr>
        <w:t xml:space="preserve">paymentComponentRelated =</w:t>
      </w:r>
    </w:p>
    <w:p>
      <w:pPr>
        <w:shd w:fill="F2F2F2" w:val="clear"/>
        <w:spacing w:after="0"/>
      </w:pPr>
      <w:r>
        <w:rPr>
          <w:rFonts w:ascii="Consolas" w:cs="Consolas" w:eastAsia="Consolas" w:hAnsi="Consolas"/>
          <w:sz w:val="15"/>
          <w:szCs w:val="15"/>
        </w:rPr>
        <w:t xml:space="preserve">      ( Dr_has(CUSTOMER) XOR Cr_has(CUSTOMER) )</w:t>
      </w:r>
    </w:p>
    <w:p>
      <w:pPr>
        <w:shd w:fill="F2F2F2" w:val="clear"/>
        <w:spacing w:after="0"/>
      </w:pPr>
      <w:r>
        <w:rPr>
          <w:rFonts w:ascii="Consolas" w:cs="Consolas" w:eastAsia="Consolas" w:hAnsi="Consolas"/>
          <w:sz w:val="15"/>
          <w:szCs w:val="15"/>
        </w:rPr>
        <w:t xml:space="preserve">   OR ( Dr_has(NOSTRO)   XOR Cr_has(NOSTRO)   )</w:t>
      </w:r>
    </w:p>
    <w:p>
      <w:pPr>
        <w:shd w:fill="F2F2F2" w:val="clear"/>
        <w:spacing w:after="0"/>
      </w:pPr>
      <w:r>
        <w:rPr>
          <w:rFonts w:ascii="Consolas" w:cs="Consolas" w:eastAsia="Consolas" w:hAnsi="Consolas"/>
          <w:sz w:val="15"/>
          <w:szCs w:val="15"/>
        </w:rPr>
        <w:t xml:space="preserve">   OR ( Dr_has(VOSTRO)   XOR Cr_has(VOSTRO)   )</w:t>
      </w:r>
    </w:p>
    <w:p>
      <w:pPr>
        <w:shd w:fill="F2F2F2" w:val="clear"/>
        <w:spacing w:after="0"/>
      </w:pPr>
      <w:r>
        <w:rPr>
          <w:rFonts w:ascii="Consolas" w:cs="Consolas" w:eastAsia="Consolas" w:hAnsi="Consolas"/>
          <w:sz w:val="15"/>
          <w:szCs w:val="15"/>
        </w:rPr>
        <w:t xml:space="preserve"> </w:t>
      </w:r>
    </w:p>
    <w:p>
      <w:pPr>
        <w:shd w:fill="F2F2F2" w:val="clear"/>
        <w:spacing w:after="0"/>
      </w:pPr>
      <w:r>
        <w:rPr>
          <w:rFonts w:ascii="Consolas" w:cs="Consolas" w:eastAsia="Consolas" w:hAnsi="Consolas"/>
          <w:sz w:val="15"/>
          <w:szCs w:val="15"/>
        </w:rPr>
        <w:t xml:space="preserve">Dr_has(t) = true iff t ∈ { leg.accountType : leg ∈ debitLegs[] }</w:t>
      </w:r>
    </w:p>
    <w:p>
      <w:pPr>
        <w:shd w:fill="F2F2F2" w:val="clear"/>
        <w:spacing w:after="0"/>
      </w:pPr>
      <w:r>
        <w:rPr>
          <w:rFonts w:ascii="Consolas" w:cs="Consolas" w:eastAsia="Consolas" w:hAnsi="Consolas"/>
          <w:sz w:val="15"/>
          <w:szCs w:val="15"/>
        </w:rPr>
        <w:t xml:space="preserve">Cr_has(t) = true iff t ∈ { leg.accountType : leg ∈ creditLegs[] }</w:t>
      </w:r>
    </w:p>
    <w:p>
      <w:pPr>
        <w:spacing w:after="140"/>
      </w:pPr>
    </w:p>
    <w:p>
      <w:pPr>
        <w:pStyle w:val="ListParagraph"/>
        <w:numPr>
          <w:ilvl w:val="0"/>
          <w:numId w:val="1"/>
        </w:numPr>
        <w:spacing w:after="60"/>
      </w:pPr>
      <w:r>
        <w:t xml:space="preserve">SUSPENSE, INTERNAL, and RTGS (RPFM only, v1.1.0) are not tested by any XOR term — they can never by themselves make paymentComponentRelated true, matching FSD §2.3 and the v1.2.0 AccountType description correction (RTGS is excluded from the XOR terms for the same structural reason as SUSPENSE/INTERNAL, not because it is a different kind of value).</w:t>
      </w:r>
    </w:p>
    <w:p>
      <w:pPr>
        <w:pStyle w:val="ListParagraph"/>
        <w:numPr>
          <w:ilvl w:val="0"/>
          <w:numId w:val="1"/>
        </w:numPr>
        <w:spacing w:after="60"/>
      </w:pPr>
      <w:r>
        <w:t xml:space="preserve">This step never blocks the request (§7 note below still applies) — it is informational, embedded in the response as PaymentInstruction.classification, and does not gate Step 4 (Account Entry generation is unconditional).</w:t>
      </w:r>
    </w:p>
    <w:p>
      <w:pPr>
        <w:pStyle w:val="Heading1"/>
        <w:spacing w:after="160" w:before="320"/>
      </w:pPr>
      <w:r>
        <w:t xml:space="preserve">5. Step 3 — Voucher Description Code Assembly</w:t>
      </w:r>
    </w:p>
    <w:p>
      <w:pPr>
        <w:spacing w:after="160"/>
      </w:pPr>
      <w:r>
        <w:t xml:space="preserve">This is the actual implementation behind the accountDesc formula the FSD already documents in prose (§3.3: "{MODULE}{FuncCode}NULLNULLNULL{TypeChar}") — re-derived here from a real function body rather than restated. Example taken from SYF_EXCO_CAL_PAYMENT_AC_DESC(), one of the 15 confirmed-consumer functions (EXCO Payment).</w:t>
      </w:r>
    </w:p>
    <w:p>
      <w:pPr>
        <w:spacing w:after="160"/>
      </w:pPr>
      <w:r>
        <w:t xml:space="preserve">Source: X/CALJS/FUNCLEVEL/SYF_EXCO_EXCO_Payment.js:302-334</w:t>
      </w:r>
    </w:p>
    <w:p>
      <w:pPr>
        <w:shd w:fill="F2F2F2" w:val="clear"/>
        <w:spacing w:after="0"/>
      </w:pPr>
      <w:r>
        <w:rPr>
          <w:rFonts w:ascii="Consolas" w:cs="Consolas" w:eastAsia="Consolas" w:hAnsi="Consolas"/>
          <w:sz w:val="15"/>
          <w:szCs w:val="15"/>
        </w:rPr>
        <w:t xml:space="preserve">csFuncLevelProto.SYF_EXCO_CAL_PAYMENT_AC_DESC = function() {</w:t>
      </w:r>
    </w:p>
    <w:p>
      <w:pPr>
        <w:shd w:fill="F2F2F2" w:val="clear"/>
        <w:spacing w:after="0"/>
      </w:pPr>
      <w:r>
        <w:rPr>
          <w:rFonts w:ascii="Consolas" w:cs="Consolas" w:eastAsia="Consolas" w:hAnsi="Consolas"/>
          <w:sz w:val="15"/>
          <w:szCs w:val="15"/>
        </w:rPr>
        <w:t xml:space="preserve">    _Dr = SYS_GetObjByDoName("PaymentDebit");</w:t>
      </w:r>
    </w:p>
    <w:p>
      <w:pPr>
        <w:shd w:fill="F2F2F2" w:val="clear"/>
        <w:spacing w:after="0"/>
      </w:pPr>
      <w:r>
        <w:rPr>
          <w:rFonts w:ascii="Consolas" w:cs="Consolas" w:eastAsia="Consolas" w:hAnsi="Consolas"/>
          <w:sz w:val="15"/>
          <w:szCs w:val="15"/>
        </w:rPr>
        <w:t xml:space="preserve">    _Cr = SYS_GetObjByDoName("PaymentCredit");</w:t>
      </w:r>
    </w:p>
    <w:p>
      <w:pPr>
        <w:shd w:fill="F2F2F2" w:val="clear"/>
        <w:spacing w:after="0"/>
      </w:pPr>
      <w:r>
        <w:rPr>
          <w:rFonts w:ascii="Consolas" w:cs="Consolas" w:eastAsia="Consolas" w:hAnsi="Consolas"/>
          <w:sz w:val="15"/>
          <w:szCs w:val="15"/>
        </w:rPr>
        <w:t xml:space="preserve">    for (i = 0; i &lt; _Dr.length; i++) {</w:t>
      </w:r>
    </w:p>
    <w:p>
      <w:pPr>
        <w:shd w:fill="F2F2F2" w:val="clear"/>
        <w:spacing w:after="0"/>
      </w:pPr>
      <w:r>
        <w:rPr>
          <w:rFonts w:ascii="Consolas" w:cs="Consolas" w:eastAsia="Consolas" w:hAnsi="Consolas"/>
          <w:sz w:val="15"/>
          <w:szCs w:val="15"/>
        </w:rPr>
        <w:t xml:space="preserve">        DR_TYPE = _Dr[i].getDoValueByName("CPYT_DR_AC_TYPE");</w:t>
      </w:r>
    </w:p>
    <w:p>
      <w:pPr>
        <w:shd w:fill="F2F2F2" w:val="clear"/>
        <w:spacing w:after="0"/>
      </w:pPr>
      <w:r>
        <w:rPr>
          <w:rFonts w:ascii="Consolas" w:cs="Consolas" w:eastAsia="Consolas" w:hAnsi="Consolas"/>
          <w:sz w:val="15"/>
          <w:szCs w:val="15"/>
        </w:rPr>
        <w:t xml:space="preserve">        ntype = DR_TYPE.substring(0, 1);</w:t>
      </w:r>
    </w:p>
    <w:p>
      <w:pPr>
        <w:shd w:fill="F2F2F2" w:val="clear"/>
        <w:spacing w:after="0"/>
      </w:pPr>
      <w:r>
        <w:rPr>
          <w:rFonts w:ascii="Consolas" w:cs="Consolas" w:eastAsia="Consolas" w:hAnsi="Consolas"/>
          <w:sz w:val="15"/>
          <w:szCs w:val="15"/>
        </w:rPr>
        <w:t xml:space="preserve">        dr_desc = "EXCO01NULLNULLNULL" + ntype;</w:t>
      </w:r>
    </w:p>
    <w:p>
      <w:pPr>
        <w:shd w:fill="F2F2F2" w:val="clear"/>
        <w:spacing w:after="0"/>
      </w:pPr>
      <w:r>
        <w:rPr>
          <w:rFonts w:ascii="Consolas" w:cs="Consolas" w:eastAsia="Consolas" w:hAnsi="Consolas"/>
          <w:sz w:val="15"/>
          <w:szCs w:val="15"/>
        </w:rPr>
        <w:t xml:space="preserve">        SYS_UpdateFldValueByDo(_Dr[i], "CPYT_DR_AC_DESC", dr_desc);</w:t>
      </w:r>
    </w:p>
    <w:p>
      <w:pPr>
        <w:shd w:fill="F2F2F2" w:val="clear"/>
        <w:spacing w:after="0"/>
      </w:pPr>
      <w:r>
        <w:rPr>
          <w:rFonts w:ascii="Consolas" w:cs="Consolas" w:eastAsia="Consolas" w:hAnsi="Consolas"/>
          <w:sz w:val="15"/>
          <w:szCs w:val="15"/>
        </w:rPr>
        <w:t xml:space="preserve">    }</w:t>
      </w:r>
    </w:p>
    <w:p>
      <w:pPr>
        <w:shd w:fill="F2F2F2" w:val="clear"/>
        <w:spacing w:after="0"/>
      </w:pPr>
      <w:r>
        <w:rPr>
          <w:rFonts w:ascii="Consolas" w:cs="Consolas" w:eastAsia="Consolas" w:hAnsi="Consolas"/>
          <w:sz w:val="15"/>
          <w:szCs w:val="15"/>
        </w:rPr>
        <w:t xml:space="preserve">    for (i = 0; i &lt; _Cr.length; i++) {</w:t>
      </w:r>
    </w:p>
    <w:p>
      <w:pPr>
        <w:shd w:fill="F2F2F2" w:val="clear"/>
        <w:spacing w:after="0"/>
      </w:pPr>
      <w:r>
        <w:rPr>
          <w:rFonts w:ascii="Consolas" w:cs="Consolas" w:eastAsia="Consolas" w:hAnsi="Consolas"/>
          <w:sz w:val="15"/>
          <w:szCs w:val="15"/>
        </w:rPr>
        <w:t xml:space="preserve">        CR_TYPE = _Cr[i].getDoValueByName("CPYT_CR_AC_TYPE");</w:t>
      </w:r>
    </w:p>
    <w:p>
      <w:pPr>
        <w:shd w:fill="F2F2F2" w:val="clear"/>
        <w:spacing w:after="0"/>
      </w:pPr>
      <w:r>
        <w:rPr>
          <w:rFonts w:ascii="Consolas" w:cs="Consolas" w:eastAsia="Consolas" w:hAnsi="Consolas"/>
          <w:sz w:val="15"/>
          <w:szCs w:val="15"/>
        </w:rPr>
        <w:t xml:space="preserve">        ntype = CR_TYPE.substring(0, 1);</w:t>
      </w:r>
    </w:p>
    <w:p>
      <w:pPr>
        <w:shd w:fill="F2F2F2" w:val="clear"/>
        <w:spacing w:after="0"/>
      </w:pPr>
      <w:r>
        <w:rPr>
          <w:rFonts w:ascii="Consolas" w:cs="Consolas" w:eastAsia="Consolas" w:hAnsi="Consolas"/>
          <w:sz w:val="15"/>
          <w:szCs w:val="15"/>
        </w:rPr>
        <w:t xml:space="preserve">        cr_desc = "EXCO01NULLNULLNULL" + ntype;</w:t>
      </w:r>
    </w:p>
    <w:p>
      <w:pPr>
        <w:shd w:fill="F2F2F2" w:val="clear"/>
        <w:spacing w:after="0"/>
      </w:pPr>
      <w:r>
        <w:rPr>
          <w:rFonts w:ascii="Consolas" w:cs="Consolas" w:eastAsia="Consolas" w:hAnsi="Consolas"/>
          <w:sz w:val="15"/>
          <w:szCs w:val="15"/>
        </w:rPr>
        <w:t xml:space="preserve">        SYS_UpdateFldValueByDo(_Cr[i], "CPYT_CR_AC_DESC", cr_desc);</w:t>
      </w:r>
    </w:p>
    <w:p>
      <w:pPr>
        <w:shd w:fill="F2F2F2" w:val="clear"/>
        <w:spacing w:after="0"/>
      </w:pPr>
      <w:r>
        <w:rPr>
          <w:rFonts w:ascii="Consolas" w:cs="Consolas" w:eastAsia="Consolas" w:hAnsi="Consolas"/>
          <w:sz w:val="15"/>
          <w:szCs w:val="15"/>
        </w:rPr>
        <w:t xml:space="preserve">    }</w:t>
      </w:r>
    </w:p>
    <w:p>
      <w:pPr>
        <w:shd w:fill="F2F2F2" w:val="clear"/>
        <w:spacing w:after="0"/>
      </w:pPr>
      <w:r>
        <w:rPr>
          <w:rFonts w:ascii="Consolas" w:cs="Consolas" w:eastAsia="Consolas" w:hAnsi="Consolas"/>
          <w:sz w:val="15"/>
          <w:szCs w:val="15"/>
        </w:rPr>
        <w:t xml:space="preserve">}</w:t>
      </w:r>
    </w:p>
    <w:p>
      <w:pPr>
        <w:spacing w:after="140"/>
      </w:pPr>
    </w:p>
    <w:p>
      <w:pPr>
        <w:spacing w:after="160"/>
      </w:pPr>
      <w:r>
        <w:t xml:space="preserve">Formula (applies once per leg, independently — not once per instruction):</w:t>
      </w:r>
    </w:p>
    <w:p>
      <w:pPr>
        <w:shd w:fill="F2F2F2" w:val="clear"/>
        <w:spacing w:after="0"/>
      </w:pPr>
      <w:r>
        <w:rPr>
          <w:rFonts w:ascii="Consolas" w:cs="Consolas" w:eastAsia="Consolas" w:hAnsi="Consolas"/>
          <w:sz w:val="15"/>
          <w:szCs w:val="15"/>
        </w:rPr>
        <w:t xml:space="preserve">FOR EACH leg IN debitLegs[] ∪ creditLegs[]:</w:t>
      </w:r>
    </w:p>
    <w:p>
      <w:pPr>
        <w:shd w:fill="F2F2F2" w:val="clear"/>
        <w:spacing w:after="0"/>
      </w:pPr>
      <w:r>
        <w:rPr>
          <w:rFonts w:ascii="Consolas" w:cs="Consolas" w:eastAsia="Consolas" w:hAnsi="Consolas"/>
          <w:sz w:val="15"/>
          <w:szCs w:val="15"/>
        </w:rPr>
        <w:t xml:space="preserve">    leg.accountDesc = "{MODULE}{FuncCode}NULLNULLNULL" + leg.accountType.charAt(0)</w:t>
      </w:r>
    </w:p>
    <w:p>
      <w:pPr>
        <w:shd w:fill="F2F2F2" w:val="clear"/>
        <w:spacing w:after="0"/>
      </w:pPr>
      <w:r>
        <w:rPr>
          <w:rFonts w:ascii="Consolas" w:cs="Consolas" w:eastAsia="Consolas" w:hAnsi="Consolas"/>
          <w:sz w:val="15"/>
          <w:szCs w:val="15"/>
        </w:rPr>
        <w:t xml:space="preserve"> </w:t>
      </w:r>
    </w:p>
    <w:p>
      <w:pPr>
        <w:shd w:fill="F2F2F2" w:val="clear"/>
        <w:spacing w:after="0"/>
      </w:pPr>
      <w:r>
        <w:rPr>
          <w:rFonts w:ascii="Consolas" w:cs="Consolas" w:eastAsia="Consolas" w:hAnsi="Consolas"/>
          <w:sz w:val="15"/>
          <w:szCs w:val="15"/>
        </w:rPr>
        <w:t xml:space="preserve">where {MODULE}{FuncCode} is the fixed voucher-code prefix already catalogued per</w:t>
      </w:r>
    </w:p>
    <w:p>
      <w:pPr>
        <w:shd w:fill="F2F2F2" w:val="clear"/>
        <w:spacing w:after="0"/>
      </w:pPr>
      <w:r>
        <w:rPr>
          <w:rFonts w:ascii="Consolas" w:cs="Consolas" w:eastAsia="Consolas" w:hAnsi="Consolas"/>
          <w:sz w:val="15"/>
          <w:szCs w:val="15"/>
        </w:rPr>
        <w:t xml:space="preserve">function in Payment_Mapping_Functions.docx §6 (e.g. "EXCO01" for EXCO Payment,</w:t>
      </w:r>
    </w:p>
    <w:p>
      <w:pPr>
        <w:shd w:fill="F2F2F2" w:val="clear"/>
        <w:spacing w:after="0"/>
      </w:pPr>
      <w:r>
        <w:rPr>
          <w:rFonts w:ascii="Consolas" w:cs="Consolas" w:eastAsia="Consolas" w:hAnsi="Consolas"/>
          <w:sz w:val="15"/>
          <w:szCs w:val="15"/>
        </w:rPr>
        <w:t xml:space="preserve">"IPLC03" for IPLC Pay/Accept, "GTEE04" for GTEE Outward Claim Settlement).</w:t>
      </w:r>
    </w:p>
    <w:p>
      <w:pPr>
        <w:spacing w:after="140"/>
      </w:pPr>
    </w:p>
    <w:p>
      <w:pPr>
        <w:pStyle w:val="Heading2"/>
        <w:spacing w:after="120" w:before="240"/>
      </w:pPr>
      <w:r>
        <w:t xml:space="preserve">5.1 TypeChar Mapping</w:t>
      </w:r>
    </w:p>
    <w:p>
      <w:pPr>
        <w:spacing w:after="160"/>
      </w:pPr>
      <w:r>
        <w:t xml:space="preserve">First character of AccountType, applied per leg based on that leg’s own accountType — never the instruction-level classification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4E78" w:val="clear"/>
            <w:tcMar>
              <w:top w:type="dxa" w:w="60"/>
              <w:left w:type="dxa" w:w="80"/>
              <w:bottom w:type="dxa" w:w="60"/>
              <w:right w:type="dxa" w:w="80"/>
            </w:tcMar>
          </w:tcPr>
          <w:p>
            <w:r>
              <w:rPr>
                <w:b/>
                <w:bCs/>
                <w:color w:val="FFFFFF"/>
                <w:sz w:val="18"/>
                <w:szCs w:val="18"/>
              </w:rPr>
              <w:t xml:space="preserve">AccountType</w:t>
            </w:r>
          </w:p>
        </w:tc>
        <w:tc>
          <w:tcPr>
            <w:tcW w:type="dxa" w:w="4680"/>
            <w:shd w:fill="1F4E78" w:val="clear"/>
            <w:tcMar>
              <w:top w:type="dxa" w:w="60"/>
              <w:left w:type="dxa" w:w="80"/>
              <w:bottom w:type="dxa" w:w="60"/>
              <w:right w:type="dxa" w:w="80"/>
            </w:tcMar>
          </w:tcPr>
          <w:p>
            <w:r>
              <w:rPr>
                <w:b/>
                <w:bCs/>
                <w:color w:val="FFFFFF"/>
                <w:sz w:val="18"/>
                <w:szCs w:val="18"/>
              </w:rPr>
              <w:t xml:space="preserve">TypeChar</w:t>
            </w:r>
          </w:p>
        </w:tc>
      </w:tr>
      <w:tr>
        <w:tc>
          <w:tcPr>
            <w:tcW w:type="dxa" w:w="4680"/>
            <w:tcMar>
              <w:top w:type="dxa" w:w="50"/>
              <w:left w:type="dxa" w:w="80"/>
              <w:bottom w:type="dxa" w:w="50"/>
              <w:right w:type="dxa" w:w="80"/>
            </w:tcMar>
          </w:tcPr>
          <w:p>
            <w:r>
              <w:rPr>
                <w:sz w:val="18"/>
                <w:szCs w:val="18"/>
              </w:rPr>
              <w:t xml:space="preserve">CUSTOMER</w:t>
            </w:r>
          </w:p>
        </w:tc>
        <w:tc>
          <w:tcPr>
            <w:tcW w:type="dxa" w:w="4680"/>
            <w:tcMar>
              <w:top w:type="dxa" w:w="50"/>
              <w:left w:type="dxa" w:w="80"/>
              <w:bottom w:type="dxa" w:w="50"/>
              <w:right w:type="dxa" w:w="80"/>
            </w:tcMar>
          </w:tcPr>
          <w:p>
            <w:r>
              <w:rPr>
                <w:sz w:val="18"/>
                <w:szCs w:val="18"/>
              </w:rPr>
              <w:t xml:space="preserve">C</w:t>
            </w:r>
          </w:p>
        </w:tc>
      </w:tr>
      <w:tr>
        <w:tc>
          <w:tcPr>
            <w:tcW w:type="dxa" w:w="4680"/>
            <w:shd w:fill="F7F9FB" w:val="clear"/>
            <w:tcMar>
              <w:top w:type="dxa" w:w="50"/>
              <w:left w:type="dxa" w:w="80"/>
              <w:bottom w:type="dxa" w:w="50"/>
              <w:right w:type="dxa" w:w="80"/>
            </w:tcMar>
          </w:tcPr>
          <w:p>
            <w:r>
              <w:rPr>
                <w:sz w:val="18"/>
                <w:szCs w:val="18"/>
              </w:rPr>
              <w:t xml:space="preserve">NOSTRO</w:t>
            </w:r>
          </w:p>
        </w:tc>
        <w:tc>
          <w:tcPr>
            <w:tcW w:type="dxa" w:w="4680"/>
            <w:shd w:fill="F7F9FB" w:val="clear"/>
            <w:tcMar>
              <w:top w:type="dxa" w:w="50"/>
              <w:left w:type="dxa" w:w="80"/>
              <w:bottom w:type="dxa" w:w="50"/>
              <w:right w:type="dxa" w:w="80"/>
            </w:tcMar>
          </w:tcPr>
          <w:p>
            <w:r>
              <w:rPr>
                <w:sz w:val="18"/>
                <w:szCs w:val="18"/>
              </w:rPr>
              <w:t xml:space="preserve">N</w:t>
            </w:r>
          </w:p>
        </w:tc>
      </w:tr>
      <w:tr>
        <w:tc>
          <w:tcPr>
            <w:tcW w:type="dxa" w:w="4680"/>
            <w:tcMar>
              <w:top w:type="dxa" w:w="50"/>
              <w:left w:type="dxa" w:w="80"/>
              <w:bottom w:type="dxa" w:w="50"/>
              <w:right w:type="dxa" w:w="80"/>
            </w:tcMar>
          </w:tcPr>
          <w:p>
            <w:r>
              <w:rPr>
                <w:sz w:val="18"/>
                <w:szCs w:val="18"/>
              </w:rPr>
              <w:t xml:space="preserve">VOSTRO</w:t>
            </w:r>
          </w:p>
        </w:tc>
        <w:tc>
          <w:tcPr>
            <w:tcW w:type="dxa" w:w="4680"/>
            <w:tcMar>
              <w:top w:type="dxa" w:w="50"/>
              <w:left w:type="dxa" w:w="80"/>
              <w:bottom w:type="dxa" w:w="50"/>
              <w:right w:type="dxa" w:w="80"/>
            </w:tcMar>
          </w:tcPr>
          <w:p>
            <w:r>
              <w:rPr>
                <w:sz w:val="18"/>
                <w:szCs w:val="18"/>
              </w:rPr>
              <w:t xml:space="preserve">V</w:t>
            </w:r>
          </w:p>
        </w:tc>
      </w:tr>
      <w:tr>
        <w:tc>
          <w:tcPr>
            <w:tcW w:type="dxa" w:w="4680"/>
            <w:shd w:fill="F7F9FB" w:val="clear"/>
            <w:tcMar>
              <w:top w:type="dxa" w:w="50"/>
              <w:left w:type="dxa" w:w="80"/>
              <w:bottom w:type="dxa" w:w="50"/>
              <w:right w:type="dxa" w:w="80"/>
            </w:tcMar>
          </w:tcPr>
          <w:p>
            <w:r>
              <w:rPr>
                <w:sz w:val="18"/>
                <w:szCs w:val="18"/>
              </w:rPr>
              <w:t xml:space="preserve">SUSPENSE</w:t>
            </w:r>
          </w:p>
        </w:tc>
        <w:tc>
          <w:tcPr>
            <w:tcW w:type="dxa" w:w="4680"/>
            <w:shd w:fill="F7F9FB" w:val="clear"/>
            <w:tcMar>
              <w:top w:type="dxa" w:w="50"/>
              <w:left w:type="dxa" w:w="80"/>
              <w:bottom w:type="dxa" w:w="50"/>
              <w:right w:type="dxa" w:w="80"/>
            </w:tcMar>
          </w:tcPr>
          <w:p>
            <w:r>
              <w:rPr>
                <w:sz w:val="18"/>
                <w:szCs w:val="18"/>
              </w:rPr>
              <w:t xml:space="preserve">S</w:t>
            </w:r>
          </w:p>
        </w:tc>
      </w:tr>
      <w:tr>
        <w:tc>
          <w:tcPr>
            <w:tcW w:type="dxa" w:w="4680"/>
            <w:tcMar>
              <w:top w:type="dxa" w:w="50"/>
              <w:left w:type="dxa" w:w="80"/>
              <w:bottom w:type="dxa" w:w="50"/>
              <w:right w:type="dxa" w:w="80"/>
            </w:tcMar>
          </w:tcPr>
          <w:p>
            <w:r>
              <w:rPr>
                <w:sz w:val="18"/>
                <w:szCs w:val="18"/>
              </w:rPr>
              <w:t xml:space="preserve">INTERNAL</w:t>
            </w:r>
          </w:p>
        </w:tc>
        <w:tc>
          <w:tcPr>
            <w:tcW w:type="dxa" w:w="4680"/>
            <w:tcMar>
              <w:top w:type="dxa" w:w="50"/>
              <w:left w:type="dxa" w:w="80"/>
              <w:bottom w:type="dxa" w:w="50"/>
              <w:right w:type="dxa" w:w="80"/>
            </w:tcMar>
          </w:tcPr>
          <w:p>
            <w:r>
              <w:rPr>
                <w:sz w:val="18"/>
                <w:szCs w:val="18"/>
              </w:rPr>
              <w:t xml:space="preserve">I</w:t>
            </w:r>
          </w:p>
        </w:tc>
      </w:tr>
      <w:tr>
        <w:tc>
          <w:tcPr>
            <w:tcW w:type="dxa" w:w="4680"/>
            <w:shd w:fill="F7F9FB" w:val="clear"/>
            <w:tcMar>
              <w:top w:type="dxa" w:w="50"/>
              <w:left w:type="dxa" w:w="80"/>
              <w:bottom w:type="dxa" w:w="50"/>
              <w:right w:type="dxa" w:w="80"/>
            </w:tcMar>
          </w:tcPr>
          <w:p>
            <w:r>
              <w:rPr>
                <w:sz w:val="18"/>
                <w:szCs w:val="18"/>
              </w:rPr>
              <w:t xml:space="preserve">RTGS (RPFM only, v1.1.0)</w:t>
            </w:r>
          </w:p>
        </w:tc>
        <w:tc>
          <w:tcPr>
            <w:tcW w:type="dxa" w:w="4680"/>
            <w:shd w:fill="F7F9FB" w:val="clear"/>
            <w:tcMar>
              <w:top w:type="dxa" w:w="50"/>
              <w:left w:type="dxa" w:w="80"/>
              <w:bottom w:type="dxa" w:w="50"/>
              <w:right w:type="dxa" w:w="80"/>
            </w:tcMar>
          </w:tcPr>
          <w:p>
            <w:r>
              <w:rPr>
                <w:sz w:val="18"/>
                <w:szCs w:val="18"/>
              </w:rPr>
              <w:t xml:space="preserve">R</w:t>
            </w:r>
          </w:p>
        </w:tc>
      </w:tr>
    </w:tbl>
    <w:p>
      <w:pPr>
        <w:spacing w:after="140"/>
      </w:pPr>
    </w:p>
    <w:p>
      <w:pPr>
        <w:pBdr>
          <w:left w:val="single" w:color="1F4E78" w:sz="12" w:space="8"/>
        </w:pBdr>
        <w:spacing w:after="200"/>
        <w:ind w:left="120"/>
      </w:pPr>
      <w:r>
        <w:rPr>
          <w:i/>
          <w:iCs/>
          <w:color w:val="444444"/>
          <w:sz w:val="20"/>
          <w:szCs w:val="20"/>
        </w:rPr>
        <w:t xml:space="preserve">Uniqueness check: C/N/V/S/I/R are pairwise distinct, so RTGS legs (RPFM, v1.1.0) do not collide with any other AccountType's description code once RPFM is remediated (Payment_Mapping_Functions.docx §7). No other per-function CAL_PAYMENT_AC_DESC implementation was re-read in this pass to confirm the same substring(0,1) pattern is used verbatim everywhere — the FSD (§3.2) already establishes that IPLC/EPLC/EXCO/GTEE each have their own function or module-level CAL_PAYMENT_AC_DESC procedure; this formula should be spot-checked against at least one more (e.g. SYM_GTEE.js) before being treated as universal.</w:t>
      </w:r>
    </w:p>
    <w:p>
      <w:pPr>
        <w:pStyle w:val="ListParagraph"/>
        <w:numPr>
          <w:ilvl w:val="0"/>
          <w:numId w:val="1"/>
        </w:numPr>
        <w:spacing w:after="60"/>
      </w:pPr>
      <w:r>
        <w:t xml:space="preserve">This step never fails/blocks — accountDesc is always computable from accountType, which is itself validated by the AccountType enum (§3, indirectly) before this step runs.</w:t>
      </w:r>
    </w:p>
    <w:p>
      <w:pPr>
        <w:pStyle w:val="ListParagraph"/>
        <w:numPr>
          <w:ilvl w:val="0"/>
          <w:numId w:val="1"/>
        </w:numPr>
        <w:spacing w:after="60"/>
      </w:pPr>
      <w:r>
        <w:t xml:space="preserve">OAS mapping: PaymentLeg.accountDesc (readOnly, server-derived) on every leg in the POST response.</w:t>
      </w:r>
    </w:p>
    <w:p>
      <w:pPr>
        <w:pStyle w:val="Heading1"/>
        <w:spacing w:after="160" w:before="320"/>
      </w:pPr>
      <w:r>
        <w:t xml:space="preserve">6. Step 4 — Account Entry Generation</w:t>
      </w:r>
    </w:p>
    <w:p>
      <w:pPr>
        <w:spacing w:after="160"/>
      </w:pPr>
      <w:r>
        <w:t xml:space="preserve">Three parallel streams feed AccountEntry[] (voucherType: SETTLEMENT / CHARGE / LIABILITY), generated unconditionally per FSD §5.4 step 4 — independent of the Step 2 classification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3300"/>
        <w:gridCol w:w="1460"/>
      </w:tblGrid>
      <w:tr>
        <w:trPr>
          <w:tblHeader/>
        </w:trPr>
        <w:tc>
          <w:tcPr>
            <w:tcW w:type="dxa" w:w="1600"/>
            <w:shd w:fill="1F4E78" w:val="clear"/>
            <w:tcMar>
              <w:top w:type="dxa" w:w="60"/>
              <w:left w:type="dxa" w:w="80"/>
              <w:bottom w:type="dxa" w:w="60"/>
              <w:right w:type="dxa" w:w="80"/>
            </w:tcMar>
          </w:tcPr>
          <w:p>
            <w:r>
              <w:rPr>
                <w:b/>
                <w:bCs/>
                <w:color w:val="FFFFFF"/>
                <w:sz w:val="18"/>
                <w:szCs w:val="18"/>
              </w:rPr>
              <w:t xml:space="preserve">Stream</w:t>
            </w:r>
          </w:p>
        </w:tc>
        <w:tc>
          <w:tcPr>
            <w:tcW w:type="dxa" w:w="3000"/>
            <w:shd w:fill="1F4E78" w:val="clear"/>
            <w:tcMar>
              <w:top w:type="dxa" w:w="60"/>
              <w:left w:type="dxa" w:w="80"/>
              <w:bottom w:type="dxa" w:w="60"/>
              <w:right w:type="dxa" w:w="80"/>
            </w:tcMar>
          </w:tcPr>
          <w:p>
            <w:r>
              <w:rPr>
                <w:b/>
                <w:bCs/>
                <w:color w:val="FFFFFF"/>
                <w:sz w:val="18"/>
                <w:szCs w:val="18"/>
              </w:rPr>
              <w:t xml:space="preserve">Source Function</w:t>
            </w:r>
          </w:p>
        </w:tc>
        <w:tc>
          <w:tcPr>
            <w:tcW w:type="dxa" w:w="3300"/>
            <w:shd w:fill="1F4E78" w:val="clear"/>
            <w:tcMar>
              <w:top w:type="dxa" w:w="60"/>
              <w:left w:type="dxa" w:w="80"/>
              <w:bottom w:type="dxa" w:w="60"/>
              <w:right w:type="dxa" w:w="80"/>
            </w:tcMar>
          </w:tcPr>
          <w:p>
            <w:r>
              <w:rPr>
                <w:b/>
                <w:bCs/>
                <w:color w:val="FFFFFF"/>
                <w:sz w:val="18"/>
                <w:szCs w:val="18"/>
              </w:rPr>
              <w:t xml:space="preserve">Formula (summary)</w:t>
            </w:r>
          </w:p>
        </w:tc>
        <w:tc>
          <w:tcPr>
            <w:tcW w:type="dxa" w:w="1460"/>
            <w:shd w:fill="1F4E78" w:val="clear"/>
            <w:tcMar>
              <w:top w:type="dxa" w:w="60"/>
              <w:left w:type="dxa" w:w="80"/>
              <w:bottom w:type="dxa" w:w="60"/>
              <w:right w:type="dxa" w:w="80"/>
            </w:tcMar>
          </w:tcPr>
          <w:p>
            <w:r>
              <w:rPr>
                <w:b/>
                <w:bCs/>
                <w:color w:val="FFFFFF"/>
                <w:sz w:val="18"/>
                <w:szCs w:val="18"/>
              </w:rPr>
              <w:t xml:space="preserve">Detail</w:t>
            </w:r>
          </w:p>
        </w:tc>
      </w:tr>
      <w:tr>
        <w:tc>
          <w:tcPr>
            <w:tcW w:type="dxa" w:w="1600"/>
            <w:tcMar>
              <w:top w:type="dxa" w:w="50"/>
              <w:left w:type="dxa" w:w="80"/>
              <w:bottom w:type="dxa" w:w="50"/>
              <w:right w:type="dxa" w:w="80"/>
            </w:tcMar>
          </w:tcPr>
          <w:p>
            <w:r>
              <w:rPr>
                <w:sz w:val="18"/>
                <w:szCs w:val="18"/>
              </w:rPr>
              <w:t xml:space="preserve">Settlement</w:t>
            </w:r>
          </w:p>
        </w:tc>
        <w:tc>
          <w:tcPr>
            <w:tcW w:type="dxa" w:w="3000"/>
            <w:tcMar>
              <w:top w:type="dxa" w:w="50"/>
              <w:left w:type="dxa" w:w="80"/>
              <w:bottom w:type="dxa" w:w="50"/>
              <w:right w:type="dxa" w:w="80"/>
            </w:tcMar>
          </w:tcPr>
          <w:p>
            <w:r>
              <w:rPr>
                <w:sz w:val="18"/>
                <w:szCs w:val="18"/>
              </w:rPr>
              <w:t xml:space="preserve">None beyond §5/§8 — the PaymentDebit/PaymentCredit legs themselves</w:t>
            </w:r>
          </w:p>
        </w:tc>
        <w:tc>
          <w:tcPr>
            <w:tcW w:type="dxa" w:w="3300"/>
            <w:tcMar>
              <w:top w:type="dxa" w:w="50"/>
              <w:left w:type="dxa" w:w="80"/>
              <w:bottom w:type="dxa" w:w="50"/>
              <w:right w:type="dxa" w:w="80"/>
            </w:tcMar>
          </w:tcPr>
          <w:p>
            <w:r>
              <w:rPr>
                <w:sz w:val="18"/>
                <w:szCs w:val="18"/>
              </w:rPr>
              <w:t xml:space="preserve">1:1 with debitLegs[]/creditLegs[] as submitted</w:t>
            </w:r>
          </w:p>
        </w:tc>
        <w:tc>
          <w:tcPr>
            <w:tcW w:type="dxa" w:w="1460"/>
            <w:tcMar>
              <w:top w:type="dxa" w:w="50"/>
              <w:left w:type="dxa" w:w="80"/>
              <w:bottom w:type="dxa" w:w="50"/>
              <w:right w:type="dxa" w:w="80"/>
            </w:tcMar>
          </w:tcPr>
          <w:p>
            <w:r>
              <w:rPr>
                <w:sz w:val="18"/>
                <w:szCs w:val="18"/>
              </w:rPr>
              <w:t xml:space="preserve">§6.1</w:t>
            </w:r>
          </w:p>
        </w:tc>
      </w:tr>
      <w:tr>
        <w:tc>
          <w:tcPr>
            <w:tcW w:type="dxa" w:w="1600"/>
            <w:shd w:fill="F7F9FB" w:val="clear"/>
            <w:tcMar>
              <w:top w:type="dxa" w:w="50"/>
              <w:left w:type="dxa" w:w="80"/>
              <w:bottom w:type="dxa" w:w="50"/>
              <w:right w:type="dxa" w:w="80"/>
            </w:tcMar>
          </w:tcPr>
          <w:p>
            <w:r>
              <w:rPr>
                <w:sz w:val="18"/>
                <w:szCs w:val="18"/>
              </w:rPr>
              <w:t xml:space="preserve">Charge</w:t>
            </w:r>
          </w:p>
        </w:tc>
        <w:tc>
          <w:tcPr>
            <w:tcW w:type="dxa" w:w="3000"/>
            <w:shd w:fill="F7F9FB" w:val="clear"/>
            <w:tcMar>
              <w:top w:type="dxa" w:w="50"/>
              <w:left w:type="dxa" w:w="80"/>
              <w:bottom w:type="dxa" w:w="50"/>
              <w:right w:type="dxa" w:w="80"/>
            </w:tcMar>
          </w:tcPr>
          <w:p>
            <w:r>
              <w:rPr>
                <w:sz w:val="18"/>
                <w:szCs w:val="18"/>
              </w:rPr>
              <w:t xml:space="preserve">SYT_CHG_VOUCHER() — TrxSys.js:1810-1896</w:t>
            </w:r>
          </w:p>
        </w:tc>
        <w:tc>
          <w:tcPr>
            <w:tcW w:type="dxa" w:w="3300"/>
            <w:shd w:fill="F7F9FB" w:val="clear"/>
            <w:tcMar>
              <w:top w:type="dxa" w:w="50"/>
              <w:left w:type="dxa" w:w="80"/>
              <w:bottom w:type="dxa" w:w="50"/>
              <w:right w:type="dxa" w:w="80"/>
            </w:tcMar>
          </w:tcPr>
          <w:p>
            <w:r>
              <w:rPr>
                <w:sz w:val="18"/>
                <w:szCs w:val="18"/>
              </w:rPr>
              <w:t xml:space="preserve">CHG_CUST_AMT = MAX(local, foreign) or local+VAT, depending on function</w:t>
            </w:r>
          </w:p>
        </w:tc>
        <w:tc>
          <w:tcPr>
            <w:tcW w:type="dxa" w:w="1460"/>
            <w:shd w:fill="F7F9FB" w:val="clear"/>
            <w:tcMar>
              <w:top w:type="dxa" w:w="50"/>
              <w:left w:type="dxa" w:w="80"/>
              <w:bottom w:type="dxa" w:w="50"/>
              <w:right w:type="dxa" w:w="80"/>
            </w:tcMar>
          </w:tcPr>
          <w:p>
            <w:r>
              <w:rPr>
                <w:sz w:val="18"/>
                <w:szCs w:val="18"/>
              </w:rPr>
              <w:t xml:space="preserve">§6.2</w:t>
            </w:r>
          </w:p>
        </w:tc>
      </w:tr>
      <w:tr>
        <w:tc>
          <w:tcPr>
            <w:tcW w:type="dxa" w:w="1600"/>
            <w:tcMar>
              <w:top w:type="dxa" w:w="50"/>
              <w:left w:type="dxa" w:w="80"/>
              <w:bottom w:type="dxa" w:w="50"/>
              <w:right w:type="dxa" w:w="80"/>
            </w:tcMar>
          </w:tcPr>
          <w:p>
            <w:r>
              <w:rPr>
                <w:sz w:val="18"/>
                <w:szCs w:val="18"/>
              </w:rPr>
              <w:t xml:space="preserve">Liability</w:t>
            </w:r>
          </w:p>
        </w:tc>
        <w:tc>
          <w:tcPr>
            <w:tcW w:type="dxa" w:w="3000"/>
            <w:tcMar>
              <w:top w:type="dxa" w:w="50"/>
              <w:left w:type="dxa" w:w="80"/>
              <w:bottom w:type="dxa" w:w="50"/>
              <w:right w:type="dxa" w:w="80"/>
            </w:tcMar>
          </w:tcPr>
          <w:p>
            <w:r>
              <w:rPr>
                <w:sz w:val="18"/>
                <w:szCs w:val="18"/>
              </w:rPr>
              <w:t xml:space="preserve">SYT_LIAB_VOUCHER() — TrxSys.js:5564-5677+</w:t>
            </w:r>
          </w:p>
        </w:tc>
        <w:tc>
          <w:tcPr>
            <w:tcW w:type="dxa" w:w="3300"/>
            <w:tcMar>
              <w:top w:type="dxa" w:w="50"/>
              <w:left w:type="dxa" w:w="80"/>
              <w:bottom w:type="dxa" w:w="50"/>
              <w:right w:type="dxa" w:w="80"/>
            </w:tcMar>
          </w:tcPr>
          <w:p>
            <w:r>
              <w:rPr>
                <w:sz w:val="18"/>
                <w:szCs w:val="18"/>
              </w:rPr>
              <w:t xml:space="preserve">Per-module/function GL account pair + amount, catalogued in §6.3</w:t>
            </w:r>
          </w:p>
        </w:tc>
        <w:tc>
          <w:tcPr>
            <w:tcW w:type="dxa" w:w="1460"/>
            <w:tcMar>
              <w:top w:type="dxa" w:w="50"/>
              <w:left w:type="dxa" w:w="80"/>
              <w:bottom w:type="dxa" w:w="50"/>
              <w:right w:type="dxa" w:w="80"/>
            </w:tcMar>
          </w:tcPr>
          <w:p>
            <w:r>
              <w:rPr>
                <w:sz w:val="18"/>
                <w:szCs w:val="18"/>
              </w:rPr>
              <w:t xml:space="preserve">§6.3</w:t>
            </w:r>
          </w:p>
        </w:tc>
      </w:tr>
    </w:tbl>
    <w:p>
      <w:pPr>
        <w:spacing w:after="160"/>
      </w:pPr>
    </w:p>
    <w:p>
      <w:pPr>
        <w:pStyle w:val="Heading2"/>
        <w:spacing w:after="120" w:before="240"/>
      </w:pPr>
      <w:r>
        <w:t xml:space="preserve">6.1 Settlement Stream</w:t>
      </w:r>
    </w:p>
    <w:p>
      <w:pPr>
        <w:spacing w:after="160"/>
      </w:pPr>
      <w:r>
        <w:t xml:space="preserve">No separate calculation — each submitted debitLegs[]/creditLegs[] item posts as one AccountEntry (voucherType: SETTLEMENT), using that leg’s own accountNo, accountType, amountTxCcy/amountAccountCcy, and currency (§3.4.2 of the FSD). No formula beyond what is already specified for the leg itself.</w:t>
      </w:r>
    </w:p>
    <w:p>
      <w:pPr>
        <w:pStyle w:val="Heading2"/>
        <w:spacing w:after="120" w:before="240"/>
      </w:pPr>
      <w:r>
        <w:t xml:space="preserve">6.2 Charge Voucher Stream — SYT_CHG_VOUCHER()</w:t>
      </w:r>
    </w:p>
    <w:p>
      <w:pPr>
        <w:spacing w:after="160"/>
      </w:pPr>
      <w:r>
        <w:t xml:space="preserve">Source: X/CALJS/COMMONLEVEL/TrxSys.js:1810-1896</w:t>
      </w:r>
    </w:p>
    <w:p>
      <w:pPr>
        <w:shd w:fill="F2F2F2" w:val="clear"/>
        <w:spacing w:after="0"/>
      </w:pPr>
      <w:r>
        <w:rPr>
          <w:rFonts w:ascii="Consolas" w:cs="Consolas" w:eastAsia="Consolas" w:hAnsi="Consolas"/>
          <w:sz w:val="15"/>
          <w:szCs w:val="15"/>
        </w:rPr>
        <w:t xml:space="preserve">function SYT_CHG_VOUCHER() {</w:t>
      </w:r>
    </w:p>
    <w:p>
      <w:pPr>
        <w:shd w:fill="F2F2F2" w:val="clear"/>
        <w:spacing w:after="0"/>
      </w:pPr>
      <w:r>
        <w:rPr>
          <w:rFonts w:ascii="Consolas" w:cs="Consolas" w:eastAsia="Consolas" w:hAnsi="Consolas"/>
          <w:sz w:val="15"/>
          <w:szCs w:val="15"/>
        </w:rPr>
        <w:t xml:space="preserve">    sMark = (SYS_ORG_FUNCTION_NAME.indexOf("_SettleCharges") &gt; -1) ? "YES" : "NO";</w:t>
      </w:r>
    </w:p>
    <w:p>
      <w:pPr>
        <w:shd w:fill="F2F2F2" w:val="clear"/>
        <w:spacing w:after="0"/>
      </w:pPr>
      <w:r>
        <w:rPr>
          <w:rFonts w:ascii="Consolas" w:cs="Consolas" w:eastAsia="Consolas" w:hAnsi="Consolas"/>
          <w:sz w:val="15"/>
          <w:szCs w:val="15"/>
        </w:rPr>
        <w:t xml:space="preserve">    // sACNO resolved from CHG_BANK_FLG (Foreign -&gt; STL_CHG_ACNO, else -&gt; local customer AC)</w:t>
      </w:r>
    </w:p>
    <w:p>
      <w:pPr>
        <w:shd w:fill="F2F2F2" w:val="clear"/>
        <w:spacing w:after="0"/>
      </w:pPr>
      <w:r>
        <w:rPr>
          <w:rFonts w:ascii="Consolas" w:cs="Consolas" w:eastAsia="Consolas" w:hAnsi="Consolas"/>
          <w:sz w:val="15"/>
          <w:szCs w:val="15"/>
        </w:rPr>
        <w:t xml:space="preserve">    document.MAINFORM.CHG_CUST_AC.value = sACNO;</w:t>
      </w:r>
    </w:p>
    <w:p>
      <w:pPr>
        <w:shd w:fill="F2F2F2" w:val="clear"/>
        <w:spacing w:after="0"/>
      </w:pPr>
      <w:r>
        <w:rPr>
          <w:rFonts w:ascii="Consolas" w:cs="Consolas" w:eastAsia="Consolas" w:hAnsi="Consolas"/>
          <w:sz w:val="15"/>
          <w:szCs w:val="15"/>
        </w:rPr>
        <w:t xml:space="preserve">    nAmt_Local   = Chg.Screen.getLocalChgCustPayTotalAmt();</w:t>
      </w:r>
    </w:p>
    <w:p>
      <w:pPr>
        <w:shd w:fill="F2F2F2" w:val="clear"/>
        <w:spacing w:after="0"/>
      </w:pPr>
      <w:r>
        <w:rPr>
          <w:rFonts w:ascii="Consolas" w:cs="Consolas" w:eastAsia="Consolas" w:hAnsi="Consolas"/>
          <w:sz w:val="15"/>
          <w:szCs w:val="15"/>
        </w:rPr>
        <w:t xml:space="preserve">    nAmt_Foreign = Chg.Screen.getForeignChgCustPayTotalAmt();</w:t>
      </w:r>
    </w:p>
    <w:p>
      <w:pPr>
        <w:shd w:fill="F2F2F2" w:val="clear"/>
        <w:spacing w:after="0"/>
      </w:pPr>
      <w:r>
        <w:rPr>
          <w:rFonts w:ascii="Consolas" w:cs="Consolas" w:eastAsia="Consolas" w:hAnsi="Consolas"/>
          <w:sz w:val="15"/>
          <w:szCs w:val="15"/>
        </w:rPr>
        <w:t xml:space="preserve">    if (sMark == "YES") {</w:t>
      </w:r>
    </w:p>
    <w:p>
      <w:pPr>
        <w:shd w:fill="F2F2F2" w:val="clear"/>
        <w:spacing w:after="0"/>
      </w:pPr>
      <w:r>
        <w:rPr>
          <w:rFonts w:ascii="Consolas" w:cs="Consolas" w:eastAsia="Consolas" w:hAnsi="Consolas"/>
          <w:sz w:val="15"/>
          <w:szCs w:val="15"/>
        </w:rPr>
        <w:t xml:space="preserve">        document.MAINFORM.CHG_CUST_AMT.value = Math.max(nAmt_Local, nAmt_Foreign);</w:t>
      </w:r>
    </w:p>
    <w:p>
      <w:pPr>
        <w:shd w:fill="F2F2F2" w:val="clear"/>
        <w:spacing w:after="0"/>
      </w:pPr>
      <w:r>
        <w:rPr>
          <w:rFonts w:ascii="Consolas" w:cs="Consolas" w:eastAsia="Consolas" w:hAnsi="Consolas"/>
          <w:sz w:val="15"/>
          <w:szCs w:val="15"/>
        </w:rPr>
        <w:t xml:space="preserve">    } else {</w:t>
      </w:r>
    </w:p>
    <w:p>
      <w:pPr>
        <w:shd w:fill="F2F2F2" w:val="clear"/>
        <w:spacing w:after="0"/>
      </w:pPr>
      <w:r>
        <w:rPr>
          <w:rFonts w:ascii="Consolas" w:cs="Consolas" w:eastAsia="Consolas" w:hAnsi="Consolas"/>
          <w:sz w:val="15"/>
          <w:szCs w:val="15"/>
        </w:rPr>
        <w:t xml:space="preserve">        document.MAINFORM.CHG_CUST_AMT.value =</w:t>
      </w:r>
    </w:p>
    <w:p>
      <w:pPr>
        <w:shd w:fill="F2F2F2" w:val="clear"/>
        <w:spacing w:after="0"/>
      </w:pPr>
      <w:r>
        <w:rPr>
          <w:rFonts w:ascii="Consolas" w:cs="Consolas" w:eastAsia="Consolas" w:hAnsi="Consolas"/>
          <w:sz w:val="15"/>
          <w:szCs w:val="15"/>
        </w:rPr>
        <w:t xml:space="preserve">            Chg.Screen.getLocalChgCustPayTotalAmt() + Chg.Screen.getLocalPayVatTotalAmt();</w:t>
      </w:r>
    </w:p>
    <w:p>
      <w:pPr>
        <w:shd w:fill="F2F2F2" w:val="clear"/>
        <w:spacing w:after="0"/>
      </w:pPr>
      <w:r>
        <w:rPr>
          <w:rFonts w:ascii="Consolas" w:cs="Consolas" w:eastAsia="Consolas" w:hAnsi="Consolas"/>
          <w:sz w:val="15"/>
          <w:szCs w:val="15"/>
        </w:rPr>
        <w:t xml:space="preserve">    }</w:t>
      </w:r>
    </w:p>
    <w:p>
      <w:pPr>
        <w:shd w:fill="F2F2F2" w:val="clear"/>
        <w:spacing w:after="0"/>
      </w:pPr>
      <w:r>
        <w:rPr>
          <w:rFonts w:ascii="Consolas" w:cs="Consolas" w:eastAsia="Consolas" w:hAnsi="Consolas"/>
          <w:sz w:val="15"/>
          <w:szCs w:val="15"/>
        </w:rPr>
        <w:t xml:space="preserve">    document.MAINFORM.CHG_CUST_AMT_DR.value = (sACNO.length &gt; 0) ? document.MAINFORM.CHG_CUST_AMT.value : 0;</w:t>
      </w:r>
    </w:p>
    <w:p>
      <w:pPr>
        <w:shd w:fill="F2F2F2" w:val="clear"/>
        <w:spacing w:after="0"/>
      </w:pPr>
      <w:r>
        <w:rPr>
          <w:rFonts w:ascii="Consolas" w:cs="Consolas" w:eastAsia="Consolas" w:hAnsi="Consolas"/>
          <w:sz w:val="15"/>
          <w:szCs w:val="15"/>
        </w:rPr>
        <w:t xml:space="preserve">    document.MAINFORM.CHG_TRX_DATE.value = SYS_BUSI_DATE;   // (non-SYND)</w:t>
      </w:r>
    </w:p>
    <w:p>
      <w:pPr>
        <w:shd w:fill="F2F2F2" w:val="clear"/>
        <w:spacing w:after="0"/>
      </w:pPr>
      <w:r>
        <w:rPr>
          <w:rFonts w:ascii="Consolas" w:cs="Consolas" w:eastAsia="Consolas" w:hAnsi="Consolas"/>
          <w:sz w:val="15"/>
          <w:szCs w:val="15"/>
        </w:rPr>
        <w:t xml:space="preserve">    SYT_Cal_C_VOUCHER_DESC('charge');</w:t>
      </w:r>
    </w:p>
    <w:p>
      <w:pPr>
        <w:shd w:fill="F2F2F2" w:val="clear"/>
        <w:spacing w:after="0"/>
      </w:pPr>
      <w:r>
        <w:rPr>
          <w:rFonts w:ascii="Consolas" w:cs="Consolas" w:eastAsia="Consolas" w:hAnsi="Consolas"/>
          <w:sz w:val="15"/>
          <w:szCs w:val="15"/>
        </w:rPr>
        <w:t xml:space="preserve">}</w:t>
      </w:r>
    </w:p>
    <w:p>
      <w:pPr>
        <w:spacing w:after="140"/>
      </w:pPr>
    </w:p>
    <w:p>
      <w:pPr>
        <w:spacing w:after="160"/>
      </w:pPr>
      <w:r>
        <w:t xml:space="preserve">Formula:</w:t>
      </w:r>
    </w:p>
    <w:p>
      <w:pPr>
        <w:shd w:fill="F2F2F2" w:val="clear"/>
        <w:spacing w:after="0"/>
      </w:pPr>
      <w:r>
        <w:rPr>
          <w:rFonts w:ascii="Consolas" w:cs="Consolas" w:eastAsia="Consolas" w:hAnsi="Consolas"/>
          <w:sz w:val="15"/>
          <w:szCs w:val="15"/>
        </w:rPr>
        <w:t xml:space="preserve">chargeAmount =</w:t>
      </w:r>
    </w:p>
    <w:p>
      <w:pPr>
        <w:shd w:fill="F2F2F2" w:val="clear"/>
        <w:spacing w:after="0"/>
      </w:pPr>
      <w:r>
        <w:rPr>
          <w:rFonts w:ascii="Consolas" w:cs="Consolas" w:eastAsia="Consolas" w:hAnsi="Consolas"/>
          <w:sz w:val="15"/>
          <w:szCs w:val="15"/>
        </w:rPr>
        <w:t xml:space="preserve">    IF function name contains "_SettleCharges":</w:t>
      </w:r>
    </w:p>
    <w:p>
      <w:pPr>
        <w:shd w:fill="F2F2F2" w:val="clear"/>
        <w:spacing w:after="0"/>
      </w:pPr>
      <w:r>
        <w:rPr>
          <w:rFonts w:ascii="Consolas" w:cs="Consolas" w:eastAsia="Consolas" w:hAnsi="Consolas"/>
          <w:sz w:val="15"/>
          <w:szCs w:val="15"/>
        </w:rPr>
        <w:t xml:space="preserve">        MAX( getLocalChgCustPayTotalAmt(), getForeignChgCustPayTotalAmt() )</w:t>
      </w:r>
    </w:p>
    <w:p>
      <w:pPr>
        <w:shd w:fill="F2F2F2" w:val="clear"/>
        <w:spacing w:after="0"/>
      </w:pPr>
      <w:r>
        <w:rPr>
          <w:rFonts w:ascii="Consolas" w:cs="Consolas" w:eastAsia="Consolas" w:hAnsi="Consolas"/>
          <w:sz w:val="15"/>
          <w:szCs w:val="15"/>
        </w:rPr>
        <w:t xml:space="preserve">    ELSE:</w:t>
      </w:r>
    </w:p>
    <w:p>
      <w:pPr>
        <w:shd w:fill="F2F2F2" w:val="clear"/>
        <w:spacing w:after="0"/>
      </w:pPr>
      <w:r>
        <w:rPr>
          <w:rFonts w:ascii="Consolas" w:cs="Consolas" w:eastAsia="Consolas" w:hAnsi="Consolas"/>
          <w:sz w:val="15"/>
          <w:szCs w:val="15"/>
        </w:rPr>
        <w:t xml:space="preserve">        getLocalChgCustPayTotalAmt() + getLocalPayVatTotalAmt()</w:t>
      </w:r>
    </w:p>
    <w:p>
      <w:pPr>
        <w:shd w:fill="F2F2F2" w:val="clear"/>
        <w:spacing w:after="0"/>
      </w:pPr>
      <w:r>
        <w:rPr>
          <w:rFonts w:ascii="Consolas" w:cs="Consolas" w:eastAsia="Consolas" w:hAnsi="Consolas"/>
          <w:sz w:val="15"/>
          <w:szCs w:val="15"/>
        </w:rPr>
        <w:t xml:space="preserve"> </w:t>
      </w:r>
    </w:p>
    <w:p>
      <w:pPr>
        <w:shd w:fill="F2F2F2" w:val="clear"/>
        <w:spacing w:after="0"/>
      </w:pPr>
      <w:r>
        <w:rPr>
          <w:rFonts w:ascii="Consolas" w:cs="Consolas" w:eastAsia="Consolas" w:hAnsi="Consolas"/>
          <w:sz w:val="15"/>
          <w:szCs w:val="15"/>
        </w:rPr>
        <w:t xml:space="preserve">chargeDebitAmount = chargeAmount  IF chargeAccountNo is non-empty  ELSE 0</w:t>
      </w:r>
    </w:p>
    <w:p>
      <w:pPr>
        <w:shd w:fill="F2F2F2" w:val="clear"/>
        <w:spacing w:after="0"/>
      </w:pPr>
      <w:r>
        <w:rPr>
          <w:rFonts w:ascii="Consolas" w:cs="Consolas" w:eastAsia="Consolas" w:hAnsi="Consolas"/>
          <w:sz w:val="15"/>
          <w:szCs w:val="15"/>
        </w:rPr>
        <w:t xml:space="preserve">bookingDate = SYS_BUSI_DATE  (except SYND module)</w:t>
      </w:r>
    </w:p>
    <w:p>
      <w:pPr>
        <w:spacing w:after="140"/>
      </w:pPr>
    </w:p>
    <w:p>
      <w:pPr>
        <w:pBdr>
          <w:left w:val="single" w:color="1F4E78" w:sz="12" w:space="8"/>
        </w:pBdr>
        <w:spacing w:after="200"/>
        <w:ind w:left="120"/>
      </w:pPr>
      <w:r>
        <w:rPr>
          <w:i/>
          <w:iCs/>
          <w:color w:val="444444"/>
          <w:sz w:val="20"/>
          <w:szCs w:val="20"/>
        </w:rPr>
        <w:t xml:space="preserve">Portability caveat: getLocalChgCustPayTotalAmt(), getForeignChgCustPayTotalAmt(), and getLocalPayVatTotalAmt() are Chg.Screen widget helper methods — UI-layer aggregations over an on-screen charge grid, not pure CALJS functions available to a server-side microservice. This formula's inputs cannot be re-derived from the PaymentLegInput schema alone; the charge total must be computed by whatever charge-calculation logic the calling module already runs before submitting to POST /payment-instructions, and passed through (or the microservice needs its own equivalent charge-aggregation logic, which is outside Payment Component scope per FSD §8.2). See §12.</w:t>
      </w:r>
    </w:p>
    <w:p>
      <w:pPr>
        <w:pStyle w:val="Heading2"/>
        <w:spacing w:after="120" w:before="240"/>
      </w:pPr>
      <w:r>
        <w:t xml:space="preserve">6.3 Liability Voucher Stream — SYT_LIAB_VOUCHER()</w:t>
      </w:r>
    </w:p>
    <w:p>
      <w:pPr>
        <w:spacing w:after="160"/>
      </w:pPr>
      <w:r>
        <w:t xml:space="preserve">Source: X/CALJS/COMMONLEVEL/TrxSys.js:5564-5677+. This is a large module-by-module dispatch function; only the branches matching the 15 confirmed-consumer functions are reproduced below. Coverage is uneven by design — collections (EXCO, most of IMCO) do not carry a bank contingent liability the way LCs and guarantees do, so several confirmed functions correctly produce no Liability Voucher entry at 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2200"/>
        <w:gridCol w:w="2760"/>
      </w:tblGrid>
      <w:tr>
        <w:trPr>
          <w:tblHeader/>
        </w:trPr>
        <w:tc>
          <w:tcPr>
            <w:tcW w:type="dxa" w:w="1200"/>
            <w:shd w:fill="1F4E78" w:val="clear"/>
            <w:tcMar>
              <w:top w:type="dxa" w:w="60"/>
              <w:left w:type="dxa" w:w="80"/>
              <w:bottom w:type="dxa" w:w="60"/>
              <w:right w:type="dxa" w:w="80"/>
            </w:tcMar>
          </w:tcPr>
          <w:p>
            <w:r>
              <w:rPr>
                <w:b/>
                <w:bCs/>
                <w:color w:val="FFFFFF"/>
                <w:sz w:val="18"/>
                <w:szCs w:val="18"/>
              </w:rPr>
              <w:t xml:space="preserve">Module</w:t>
            </w:r>
          </w:p>
        </w:tc>
        <w:tc>
          <w:tcPr>
            <w:tcW w:type="dxa" w:w="3200"/>
            <w:shd w:fill="1F4E78" w:val="clear"/>
            <w:tcMar>
              <w:top w:type="dxa" w:w="60"/>
              <w:left w:type="dxa" w:w="80"/>
              <w:bottom w:type="dxa" w:w="60"/>
              <w:right w:type="dxa" w:w="80"/>
            </w:tcMar>
          </w:tcPr>
          <w:p>
            <w:r>
              <w:rPr>
                <w:b/>
                <w:bCs/>
                <w:color w:val="FFFFFF"/>
                <w:sz w:val="18"/>
                <w:szCs w:val="18"/>
              </w:rPr>
              <w:t xml:space="preserve">Function(s)</w:t>
            </w:r>
          </w:p>
        </w:tc>
        <w:tc>
          <w:tcPr>
            <w:tcW w:type="dxa" w:w="2200"/>
            <w:shd w:fill="1F4E78" w:val="clear"/>
            <w:tcMar>
              <w:top w:type="dxa" w:w="60"/>
              <w:left w:type="dxa" w:w="80"/>
              <w:bottom w:type="dxa" w:w="60"/>
              <w:right w:type="dxa" w:w="80"/>
            </w:tcMar>
          </w:tcPr>
          <w:p>
            <w:r>
              <w:rPr>
                <w:b/>
                <w:bCs/>
                <w:color w:val="FFFFFF"/>
                <w:sz w:val="18"/>
                <w:szCs w:val="18"/>
              </w:rPr>
              <w:t xml:space="preserve">Produces Liability Voucher?</w:t>
            </w:r>
          </w:p>
        </w:tc>
        <w:tc>
          <w:tcPr>
            <w:tcW w:type="dxa" w:w="2760"/>
            <w:shd w:fill="1F4E78" w:val="clear"/>
            <w:tcMar>
              <w:top w:type="dxa" w:w="60"/>
              <w:left w:type="dxa" w:w="80"/>
              <w:bottom w:type="dxa" w:w="60"/>
              <w:right w:type="dxa" w:w="80"/>
            </w:tcMar>
          </w:tcPr>
          <w:p>
            <w:r>
              <w:rPr>
                <w:b/>
                <w:bCs/>
                <w:color w:val="FFFFFF"/>
                <w:sz w:val="18"/>
                <w:szCs w:val="18"/>
              </w:rPr>
              <w:t xml:space="preserve">Match Basis</w:t>
            </w:r>
          </w:p>
        </w:tc>
      </w:tr>
      <w:tr>
        <w:tc>
          <w:tcPr>
            <w:tcW w:type="dxa" w:w="1200"/>
            <w:tcMar>
              <w:top w:type="dxa" w:w="50"/>
              <w:left w:type="dxa" w:w="80"/>
              <w:bottom w:type="dxa" w:w="50"/>
              <w:right w:type="dxa" w:w="80"/>
            </w:tcMar>
          </w:tcPr>
          <w:p>
            <w:r>
              <w:rPr>
                <w:sz w:val="18"/>
                <w:szCs w:val="18"/>
              </w:rPr>
              <w:t xml:space="preserve">IPLC</w:t>
            </w:r>
          </w:p>
        </w:tc>
        <w:tc>
          <w:tcPr>
            <w:tcW w:type="dxa" w:w="3200"/>
            <w:tcMar>
              <w:top w:type="dxa" w:w="50"/>
              <w:left w:type="dxa" w:w="80"/>
              <w:bottom w:type="dxa" w:w="50"/>
              <w:right w:type="dxa" w:w="80"/>
            </w:tcMar>
          </w:tcPr>
          <w:p>
            <w:r>
              <w:rPr>
                <w:sz w:val="18"/>
                <w:szCs w:val="18"/>
              </w:rPr>
              <w:t xml:space="preserve">Pay/Accept, Pay/Accept With Discount</w:t>
            </w:r>
          </w:p>
        </w:tc>
        <w:tc>
          <w:tcPr>
            <w:tcW w:type="dxa" w:w="2200"/>
            <w:tcMar>
              <w:top w:type="dxa" w:w="50"/>
              <w:left w:type="dxa" w:w="80"/>
              <w:bottom w:type="dxa" w:w="50"/>
              <w:right w:type="dxa" w:w="80"/>
            </w:tcMar>
          </w:tcPr>
          <w:p>
            <w:r>
              <w:rPr>
                <w:sz w:val="18"/>
                <w:szCs w:val="18"/>
              </w:rPr>
              <w:t xml:space="preserve">YES</w:t>
            </w:r>
          </w:p>
        </w:tc>
        <w:tc>
          <w:tcPr>
            <w:tcW w:type="dxa" w:w="2760"/>
            <w:tcMar>
              <w:top w:type="dxa" w:w="50"/>
              <w:left w:type="dxa" w:w="80"/>
              <w:bottom w:type="dxa" w:w="50"/>
              <w:right w:type="dxa" w:w="80"/>
            </w:tcMar>
          </w:tcPr>
          <w:p>
            <w:r>
              <w:rPr>
                <w:sz w:val="18"/>
                <w:szCs w:val="18"/>
              </w:rPr>
              <w:t xml:space="preserve">IPLC_PAY_ACCEPT / IPLC_PAY_ACP_DIS branch</w:t>
            </w:r>
          </w:p>
        </w:tc>
      </w:tr>
      <w:tr>
        <w:tc>
          <w:tcPr>
            <w:tcW w:type="dxa" w:w="1200"/>
            <w:shd w:fill="F7F9FB" w:val="clear"/>
            <w:tcMar>
              <w:top w:type="dxa" w:w="50"/>
              <w:left w:type="dxa" w:w="80"/>
              <w:bottom w:type="dxa" w:w="50"/>
              <w:right w:type="dxa" w:w="80"/>
            </w:tcMar>
          </w:tcPr>
          <w:p>
            <w:r>
              <w:rPr>
                <w:sz w:val="18"/>
                <w:szCs w:val="18"/>
              </w:rPr>
              <w:t xml:space="preserve">IPLC</w:t>
            </w:r>
          </w:p>
        </w:tc>
        <w:tc>
          <w:tcPr>
            <w:tcW w:type="dxa" w:w="3200"/>
            <w:shd w:fill="F7F9FB" w:val="clear"/>
            <w:tcMar>
              <w:top w:type="dxa" w:w="50"/>
              <w:left w:type="dxa" w:w="80"/>
              <w:bottom w:type="dxa" w:w="50"/>
              <w:right w:type="dxa" w:w="80"/>
            </w:tcMar>
          </w:tcPr>
          <w:p>
            <w:r>
              <w:rPr>
                <w:sz w:val="18"/>
                <w:szCs w:val="18"/>
              </w:rPr>
              <w:t xml:space="preserve">Payment at Maturity</w:t>
            </w:r>
          </w:p>
        </w:tc>
        <w:tc>
          <w:tcPr>
            <w:tcW w:type="dxa" w:w="2200"/>
            <w:shd w:fill="F7F9FB" w:val="clear"/>
            <w:tcMar>
              <w:top w:type="dxa" w:w="50"/>
              <w:left w:type="dxa" w:w="80"/>
              <w:bottom w:type="dxa" w:w="50"/>
              <w:right w:type="dxa" w:w="80"/>
            </w:tcMar>
          </w:tcPr>
          <w:p>
            <w:r>
              <w:rPr>
                <w:sz w:val="18"/>
                <w:szCs w:val="18"/>
              </w:rPr>
              <w:t xml:space="preserve">YES</w:t>
            </w:r>
          </w:p>
        </w:tc>
        <w:tc>
          <w:tcPr>
            <w:tcW w:type="dxa" w:w="2760"/>
            <w:shd w:fill="F7F9FB" w:val="clear"/>
            <w:tcMar>
              <w:top w:type="dxa" w:w="50"/>
              <w:left w:type="dxa" w:w="80"/>
              <w:bottom w:type="dxa" w:w="50"/>
              <w:right w:type="dxa" w:w="80"/>
            </w:tcMar>
          </w:tcPr>
          <w:p>
            <w:r>
              <w:rPr>
                <w:sz w:val="18"/>
                <w:szCs w:val="18"/>
              </w:rPr>
              <w:t xml:space="preserve">IPLC_PAY_AT_MATU branch</w:t>
            </w:r>
          </w:p>
        </w:tc>
      </w:tr>
      <w:tr>
        <w:tc>
          <w:tcPr>
            <w:tcW w:type="dxa" w:w="1200"/>
            <w:tcMar>
              <w:top w:type="dxa" w:w="50"/>
              <w:left w:type="dxa" w:w="80"/>
              <w:bottom w:type="dxa" w:w="50"/>
              <w:right w:type="dxa" w:w="80"/>
            </w:tcMar>
          </w:tcPr>
          <w:p>
            <w:r>
              <w:rPr>
                <w:sz w:val="18"/>
                <w:szCs w:val="18"/>
              </w:rPr>
              <w:t xml:space="preserve">EPLC</w:t>
            </w:r>
          </w:p>
        </w:tc>
        <w:tc>
          <w:tcPr>
            <w:tcW w:type="dxa" w:w="3200"/>
            <w:tcMar>
              <w:top w:type="dxa" w:w="50"/>
              <w:left w:type="dxa" w:w="80"/>
              <w:bottom w:type="dxa" w:w="50"/>
              <w:right w:type="dxa" w:w="80"/>
            </w:tcMar>
          </w:tcPr>
          <w:p>
            <w:r>
              <w:rPr>
                <w:sz w:val="18"/>
                <w:szCs w:val="18"/>
              </w:rPr>
              <w:t xml:space="preserve">Pay/Accept, Pay at Maturity, (Discount not matched)</w:t>
            </w:r>
          </w:p>
        </w:tc>
        <w:tc>
          <w:tcPr>
            <w:tcW w:type="dxa" w:w="2200"/>
            <w:tcMar>
              <w:top w:type="dxa" w:w="50"/>
              <w:left w:type="dxa" w:w="80"/>
              <w:bottom w:type="dxa" w:w="50"/>
              <w:right w:type="dxa" w:w="80"/>
            </w:tcMar>
          </w:tcPr>
          <w:p>
            <w:r>
              <w:rPr>
                <w:sz w:val="18"/>
                <w:szCs w:val="18"/>
              </w:rPr>
              <w:t xml:space="preserve">YES (Pay/Accept, Pay at Maturity) / NO (Discount)</w:t>
            </w:r>
          </w:p>
        </w:tc>
        <w:tc>
          <w:tcPr>
            <w:tcW w:type="dxa" w:w="2760"/>
            <w:tcMar>
              <w:top w:type="dxa" w:w="50"/>
              <w:left w:type="dxa" w:w="80"/>
              <w:bottom w:type="dxa" w:w="50"/>
              <w:right w:type="dxa" w:w="80"/>
            </w:tcMar>
          </w:tcPr>
          <w:p>
            <w:r>
              <w:rPr>
                <w:sz w:val="18"/>
                <w:szCs w:val="18"/>
              </w:rPr>
              <w:t xml:space="preserve">arr_Func_Manag3 = ["PayAccept","PayAtMat","SettlePartial","PayAccept(CE)"] — "Discount" is not in this list</w:t>
            </w:r>
          </w:p>
        </w:tc>
      </w:tr>
      <w:tr>
        <w:tc>
          <w:tcPr>
            <w:tcW w:type="dxa" w:w="1200"/>
            <w:shd w:fill="F7F9FB" w:val="clear"/>
            <w:tcMar>
              <w:top w:type="dxa" w:w="50"/>
              <w:left w:type="dxa" w:w="80"/>
              <w:bottom w:type="dxa" w:w="50"/>
              <w:right w:type="dxa" w:w="80"/>
            </w:tcMar>
          </w:tcPr>
          <w:p>
            <w:r>
              <w:rPr>
                <w:sz w:val="18"/>
                <w:szCs w:val="18"/>
              </w:rPr>
              <w:t xml:space="preserve">EXCO</w:t>
            </w:r>
          </w:p>
        </w:tc>
        <w:tc>
          <w:tcPr>
            <w:tcW w:type="dxa" w:w="3200"/>
            <w:shd w:fill="F7F9FB" w:val="clear"/>
            <w:tcMar>
              <w:top w:type="dxa" w:w="50"/>
              <w:left w:type="dxa" w:w="80"/>
              <w:bottom w:type="dxa" w:w="50"/>
              <w:right w:type="dxa" w:w="80"/>
            </w:tcMar>
          </w:tcPr>
          <w:p>
            <w:r>
              <w:rPr>
                <w:sz w:val="18"/>
                <w:szCs w:val="18"/>
              </w:rPr>
              <w:t xml:space="preserve">Payment, Settlement at Maturity, Discount, Process 400</w:t>
            </w:r>
          </w:p>
        </w:tc>
        <w:tc>
          <w:tcPr>
            <w:tcW w:type="dxa" w:w="2200"/>
            <w:shd w:fill="F7F9FB" w:val="clear"/>
            <w:tcMar>
              <w:top w:type="dxa" w:w="50"/>
              <w:left w:type="dxa" w:w="80"/>
              <w:bottom w:type="dxa" w:w="50"/>
              <w:right w:type="dxa" w:w="80"/>
            </w:tcMar>
          </w:tcPr>
          <w:p>
            <w:r>
              <w:rPr>
                <w:sz w:val="18"/>
                <w:szCs w:val="18"/>
              </w:rPr>
              <w:t xml:space="preserve">NO — module absent from SYT_LIAB_VOUCHER entirely</w:t>
            </w:r>
          </w:p>
        </w:tc>
        <w:tc>
          <w:tcPr>
            <w:tcW w:type="dxa" w:w="2760"/>
            <w:shd w:fill="F7F9FB" w:val="clear"/>
            <w:tcMar>
              <w:top w:type="dxa" w:w="50"/>
              <w:left w:type="dxa" w:w="80"/>
              <w:bottom w:type="dxa" w:w="50"/>
              <w:right w:type="dxa" w:w="80"/>
            </w:tcMar>
          </w:tcPr>
          <w:p>
            <w:r>
              <w:rPr>
                <w:sz w:val="18"/>
                <w:szCs w:val="18"/>
              </w:rPr>
              <w:t xml:space="preserve">No SYS_MODULE_NAME == "EXCO" branch exists in the function</w:t>
            </w:r>
          </w:p>
        </w:tc>
      </w:tr>
      <w:tr>
        <w:tc>
          <w:tcPr>
            <w:tcW w:type="dxa" w:w="1200"/>
            <w:tcMar>
              <w:top w:type="dxa" w:w="50"/>
              <w:left w:type="dxa" w:w="80"/>
              <w:bottom w:type="dxa" w:w="50"/>
              <w:right w:type="dxa" w:w="80"/>
            </w:tcMar>
          </w:tcPr>
          <w:p>
            <w:r>
              <w:rPr>
                <w:sz w:val="18"/>
                <w:szCs w:val="18"/>
              </w:rPr>
              <w:t xml:space="preserve">IMCO</w:t>
            </w:r>
          </w:p>
        </w:tc>
        <w:tc>
          <w:tcPr>
            <w:tcW w:type="dxa" w:w="3200"/>
            <w:tcMar>
              <w:top w:type="dxa" w:w="50"/>
              <w:left w:type="dxa" w:w="80"/>
              <w:bottom w:type="dxa" w:w="50"/>
              <w:right w:type="dxa" w:w="80"/>
            </w:tcMar>
          </w:tcPr>
          <w:p>
            <w:r>
              <w:rPr>
                <w:sz w:val="18"/>
                <w:szCs w:val="18"/>
              </w:rPr>
              <w:t xml:space="preserve">Pre-Payment, Payment D/P</w:t>
            </w:r>
          </w:p>
        </w:tc>
        <w:tc>
          <w:tcPr>
            <w:tcW w:type="dxa" w:w="2200"/>
            <w:tcMar>
              <w:top w:type="dxa" w:w="50"/>
              <w:left w:type="dxa" w:w="80"/>
              <w:bottom w:type="dxa" w:w="50"/>
              <w:right w:type="dxa" w:w="80"/>
            </w:tcMar>
          </w:tcPr>
          <w:p>
            <w:r>
              <w:rPr>
                <w:sz w:val="18"/>
                <w:szCs w:val="18"/>
              </w:rPr>
              <w:t xml:space="preserve">NO</w:t>
            </w:r>
          </w:p>
        </w:tc>
        <w:tc>
          <w:tcPr>
            <w:tcW w:type="dxa" w:w="2760"/>
            <w:tcMar>
              <w:top w:type="dxa" w:w="50"/>
              <w:left w:type="dxa" w:w="80"/>
              <w:bottom w:type="dxa" w:w="50"/>
              <w:right w:type="dxa" w:w="80"/>
            </w:tcMar>
          </w:tcPr>
          <w:p>
            <w:r>
              <w:rPr>
                <w:sz w:val="18"/>
                <w:szCs w:val="18"/>
              </w:rPr>
              <w:t xml:space="preserve">Only AddAvalisation / RemoveAvalisation / SettlementDA are matched — neither confirmed function name appears</w:t>
            </w:r>
          </w:p>
        </w:tc>
      </w:tr>
      <w:tr>
        <w:tc>
          <w:tcPr>
            <w:tcW w:type="dxa" w:w="1200"/>
            <w:shd w:fill="F7F9FB" w:val="clear"/>
            <w:tcMar>
              <w:top w:type="dxa" w:w="50"/>
              <w:left w:type="dxa" w:w="80"/>
              <w:bottom w:type="dxa" w:w="50"/>
              <w:right w:type="dxa" w:w="80"/>
            </w:tcMar>
          </w:tcPr>
          <w:p>
            <w:r>
              <w:rPr>
                <w:sz w:val="18"/>
                <w:szCs w:val="18"/>
              </w:rPr>
              <w:t xml:space="preserve">IMCO</w:t>
            </w:r>
          </w:p>
        </w:tc>
        <w:tc>
          <w:tcPr>
            <w:tcW w:type="dxa" w:w="3200"/>
            <w:shd w:fill="F7F9FB" w:val="clear"/>
            <w:tcMar>
              <w:top w:type="dxa" w:w="50"/>
              <w:left w:type="dxa" w:w="80"/>
              <w:bottom w:type="dxa" w:w="50"/>
              <w:right w:type="dxa" w:w="80"/>
            </w:tcMar>
          </w:tcPr>
          <w:p>
            <w:r>
              <w:rPr>
                <w:sz w:val="18"/>
                <w:szCs w:val="18"/>
              </w:rPr>
              <w:t xml:space="preserve">Settlement D/A</w:t>
            </w:r>
          </w:p>
        </w:tc>
        <w:tc>
          <w:tcPr>
            <w:tcW w:type="dxa" w:w="2200"/>
            <w:shd w:fill="F7F9FB" w:val="clear"/>
            <w:tcMar>
              <w:top w:type="dxa" w:w="50"/>
              <w:left w:type="dxa" w:w="80"/>
              <w:bottom w:type="dxa" w:w="50"/>
              <w:right w:type="dxa" w:w="80"/>
            </w:tcMar>
          </w:tcPr>
          <w:p>
            <w:r>
              <w:rPr>
                <w:sz w:val="18"/>
                <w:szCs w:val="18"/>
              </w:rPr>
              <w:t xml:space="preserve">YES (as "SettlementDA")</w:t>
            </w:r>
          </w:p>
        </w:tc>
        <w:tc>
          <w:tcPr>
            <w:tcW w:type="dxa" w:w="2760"/>
            <w:shd w:fill="F7F9FB" w:val="clear"/>
            <w:tcMar>
              <w:top w:type="dxa" w:w="50"/>
              <w:left w:type="dxa" w:w="80"/>
              <w:bottom w:type="dxa" w:w="50"/>
              <w:right w:type="dxa" w:w="80"/>
            </w:tcMar>
          </w:tcPr>
          <w:p>
            <w:r>
              <w:rPr>
                <w:sz w:val="18"/>
                <w:szCs w:val="18"/>
              </w:rPr>
              <w:t xml:space="preserve">arr_Func_Manag9 branch</w:t>
            </w:r>
          </w:p>
        </w:tc>
      </w:tr>
      <w:tr>
        <w:tc>
          <w:tcPr>
            <w:tcW w:type="dxa" w:w="1200"/>
            <w:tcMar>
              <w:top w:type="dxa" w:w="50"/>
              <w:left w:type="dxa" w:w="80"/>
              <w:bottom w:type="dxa" w:w="50"/>
              <w:right w:type="dxa" w:w="80"/>
            </w:tcMar>
          </w:tcPr>
          <w:p>
            <w:r>
              <w:rPr>
                <w:sz w:val="18"/>
                <w:szCs w:val="18"/>
              </w:rPr>
              <w:t xml:space="preserve">GTEE</w:t>
            </w:r>
          </w:p>
        </w:tc>
        <w:tc>
          <w:tcPr>
            <w:tcW w:type="dxa" w:w="3200"/>
            <w:tcMar>
              <w:top w:type="dxa" w:w="50"/>
              <w:left w:type="dxa" w:w="80"/>
              <w:bottom w:type="dxa" w:w="50"/>
              <w:right w:type="dxa" w:w="80"/>
            </w:tcMar>
          </w:tcPr>
          <w:p>
            <w:r>
              <w:rPr>
                <w:sz w:val="18"/>
                <w:szCs w:val="18"/>
              </w:rPr>
              <w:t xml:space="preserve">Outward Claim Settlement</w:t>
            </w:r>
          </w:p>
        </w:tc>
        <w:tc>
          <w:tcPr>
            <w:tcW w:type="dxa" w:w="2200"/>
            <w:tcMar>
              <w:top w:type="dxa" w:w="50"/>
              <w:left w:type="dxa" w:w="80"/>
              <w:bottom w:type="dxa" w:w="50"/>
              <w:right w:type="dxa" w:w="80"/>
            </w:tcMar>
          </w:tcPr>
          <w:p>
            <w:r>
              <w:rPr>
                <w:sz w:val="18"/>
                <w:szCs w:val="18"/>
              </w:rPr>
              <w:t xml:space="preserve">YES (as "OutwardSett")</w:t>
            </w:r>
          </w:p>
        </w:tc>
        <w:tc>
          <w:tcPr>
            <w:tcW w:type="dxa" w:w="2760"/>
            <w:tcMar>
              <w:top w:type="dxa" w:w="50"/>
              <w:left w:type="dxa" w:w="80"/>
              <w:bottom w:type="dxa" w:w="50"/>
              <w:right w:type="dxa" w:w="80"/>
            </w:tcMar>
          </w:tcPr>
          <w:p>
            <w:r>
              <w:rPr>
                <w:sz w:val="18"/>
                <w:szCs w:val="18"/>
              </w:rPr>
              <w:t xml:space="preserve">str_func_name == "OutwardSett" branch</w:t>
            </w:r>
          </w:p>
        </w:tc>
      </w:tr>
      <w:tr>
        <w:tc>
          <w:tcPr>
            <w:tcW w:type="dxa" w:w="1200"/>
            <w:shd w:fill="F7F9FB" w:val="clear"/>
            <w:tcMar>
              <w:top w:type="dxa" w:w="50"/>
              <w:left w:type="dxa" w:w="80"/>
              <w:bottom w:type="dxa" w:w="50"/>
              <w:right w:type="dxa" w:w="80"/>
            </w:tcMar>
          </w:tcPr>
          <w:p>
            <w:r>
              <w:rPr>
                <w:sz w:val="18"/>
                <w:szCs w:val="18"/>
              </w:rPr>
              <w:t xml:space="preserve">IWGT</w:t>
            </w:r>
          </w:p>
        </w:tc>
        <w:tc>
          <w:tcPr>
            <w:tcW w:type="dxa" w:w="3200"/>
            <w:shd w:fill="F7F9FB" w:val="clear"/>
            <w:tcMar>
              <w:top w:type="dxa" w:w="50"/>
              <w:left w:type="dxa" w:w="80"/>
              <w:bottom w:type="dxa" w:w="50"/>
              <w:right w:type="dxa" w:w="80"/>
            </w:tcMar>
          </w:tcPr>
          <w:p>
            <w:r>
              <w:rPr>
                <w:sz w:val="18"/>
                <w:szCs w:val="18"/>
              </w:rPr>
              <w:t xml:space="preserve">Settle Inward Claim</w:t>
            </w:r>
          </w:p>
        </w:tc>
        <w:tc>
          <w:tcPr>
            <w:tcW w:type="dxa" w:w="2200"/>
            <w:shd w:fill="F7F9FB" w:val="clear"/>
            <w:tcMar>
              <w:top w:type="dxa" w:w="50"/>
              <w:left w:type="dxa" w:w="80"/>
              <w:bottom w:type="dxa" w:w="50"/>
              <w:right w:type="dxa" w:w="80"/>
            </w:tcMar>
          </w:tcPr>
          <w:p>
            <w:r>
              <w:rPr>
                <w:sz w:val="18"/>
                <w:szCs w:val="18"/>
              </w:rPr>
              <w:t xml:space="preserve">YES, conditional</w:t>
            </w:r>
          </w:p>
        </w:tc>
        <w:tc>
          <w:tcPr>
            <w:tcW w:type="dxa" w:w="2760"/>
            <w:shd w:fill="F7F9FB" w:val="clear"/>
            <w:tcMar>
              <w:top w:type="dxa" w:w="50"/>
              <w:left w:type="dxa" w:w="80"/>
              <w:bottom w:type="dxa" w:w="50"/>
              <w:right w:type="dxa" w:w="80"/>
            </w:tcMar>
          </w:tcPr>
          <w:p>
            <w:r>
              <w:rPr>
                <w:sz w:val="18"/>
                <w:szCs w:val="18"/>
              </w:rPr>
              <w:t xml:space="preserve">str_func_name == "SettleClaim", only when MTHD_OF_ISS == "Issue"</w:t>
            </w:r>
          </w:p>
        </w:tc>
      </w:tr>
    </w:tbl>
    <w:p>
      <w:pPr>
        <w:spacing w:after="160"/>
      </w:pPr>
    </w:p>
    <w:p>
      <w:pPr>
        <w:pStyle w:val="Heading3"/>
        <w:spacing w:after="100" w:before="200"/>
      </w:pPr>
      <w:r>
        <w:t xml:space="preserve">6.3.1 IPLC — Pay/Accept, Pay/Accept With Discount, Payment at Maturity</w:t>
      </w:r>
    </w:p>
    <w:p>
      <w:pPr>
        <w:spacing w:after="160"/>
      </w:pPr>
      <w:r>
        <w:t xml:space="preserve">Source: TrxSys.js:5630-5661</w:t>
      </w:r>
    </w:p>
    <w:p>
      <w:pPr>
        <w:shd w:fill="F2F2F2" w:val="clear"/>
        <w:spacing w:after="0"/>
      </w:pPr>
      <w:r>
        <w:rPr>
          <w:rFonts w:ascii="Consolas" w:cs="Consolas" w:eastAsia="Consolas" w:hAnsi="Consolas"/>
          <w:sz w:val="15"/>
          <w:szCs w:val="15"/>
        </w:rPr>
        <w:t xml:space="preserve">// IPLC_PAY_ACCEPT / IPLC_PAY_ACP_DIS:</w:t>
      </w:r>
    </w:p>
    <w:p>
      <w:pPr>
        <w:shd w:fill="F2F2F2" w:val="clear"/>
        <w:spacing w:after="0"/>
      </w:pPr>
      <w:r>
        <w:rPr>
          <w:rFonts w:ascii="Consolas" w:cs="Consolas" w:eastAsia="Consolas" w:hAnsi="Consolas"/>
          <w:sz w:val="15"/>
          <w:szCs w:val="15"/>
        </w:rPr>
        <w:t xml:space="preserve">IF STL_AMT &gt; 0:</w:t>
      </w:r>
    </w:p>
    <w:p>
      <w:pPr>
        <w:shd w:fill="F2F2F2" w:val="clear"/>
        <w:spacing w:after="0"/>
      </w:pPr>
      <w:r>
        <w:rPr>
          <w:rFonts w:ascii="Consolas" w:cs="Consolas" w:eastAsia="Consolas" w:hAnsi="Consolas"/>
          <w:sz w:val="15"/>
          <w:szCs w:val="15"/>
        </w:rPr>
        <w:t xml:space="preserve">    Dr ASSET_ACNO = STL_AMT      (desc "IPLC03CONTNULLNULLI")</w:t>
      </w:r>
    </w:p>
    <w:p>
      <w:pPr>
        <w:shd w:fill="F2F2F2" w:val="clear"/>
        <w:spacing w:after="0"/>
      </w:pPr>
      <w:r>
        <w:rPr>
          <w:rFonts w:ascii="Consolas" w:cs="Consolas" w:eastAsia="Consolas" w:hAnsi="Consolas"/>
          <w:sz w:val="15"/>
          <w:szCs w:val="15"/>
        </w:rPr>
        <w:t xml:space="preserve">    Cr LIAB_ACNO  = STL_AMT      (desc "IPLC03CONTNULLNULLI")</w:t>
      </w:r>
    </w:p>
    <w:p>
      <w:pPr>
        <w:shd w:fill="F2F2F2" w:val="clear"/>
        <w:spacing w:after="0"/>
      </w:pPr>
      <w:r>
        <w:rPr>
          <w:rFonts w:ascii="Consolas" w:cs="Consolas" w:eastAsia="Consolas" w:hAnsi="Consolas"/>
          <w:sz w:val="15"/>
          <w:szCs w:val="15"/>
        </w:rPr>
        <w:t xml:space="preserve">ELSE IF ACPT_AMT &gt; 0 AND CPYT_C_SDA_FLAG == 'Sight':</w:t>
      </w:r>
    </w:p>
    <w:p>
      <w:pPr>
        <w:shd w:fill="F2F2F2" w:val="clear"/>
        <w:spacing w:after="0"/>
      </w:pPr>
      <w:r>
        <w:rPr>
          <w:rFonts w:ascii="Consolas" w:cs="Consolas" w:eastAsia="Consolas" w:hAnsi="Consolas"/>
          <w:sz w:val="15"/>
          <w:szCs w:val="15"/>
        </w:rPr>
        <w:t xml:space="preserve">    Dr TEMP_ASSET_ACNO = STL_AMT   Cr TEMP_LIAB_ACNO = STL_AMT   (desc "IPLC04CONTNULLNULLI")</w:t>
      </w:r>
    </w:p>
    <w:p>
      <w:pPr>
        <w:shd w:fill="F2F2F2" w:val="clear"/>
        <w:spacing w:after="0"/>
      </w:pPr>
      <w:r>
        <w:rPr>
          <w:rFonts w:ascii="Consolas" w:cs="Consolas" w:eastAsia="Consolas" w:hAnsi="Consolas"/>
          <w:sz w:val="15"/>
          <w:szCs w:val="15"/>
        </w:rPr>
        <w:t xml:space="preserve">    Dr LIAB_ACNO       = ACPT_AMT  Cr ASSET_ACNO     = ACPT_AMT  (desc "IPLC04FIRMNULLNULLI")</w:t>
      </w:r>
    </w:p>
    <w:p>
      <w:pPr>
        <w:shd w:fill="F2F2F2" w:val="clear"/>
        <w:spacing w:after="0"/>
      </w:pPr>
      <w:r>
        <w:rPr>
          <w:rFonts w:ascii="Consolas" w:cs="Consolas" w:eastAsia="Consolas" w:hAnsi="Consolas"/>
          <w:sz w:val="15"/>
          <w:szCs w:val="15"/>
        </w:rPr>
        <w:t xml:space="preserve"> </w:t>
      </w:r>
    </w:p>
    <w:p>
      <w:pPr>
        <w:shd w:fill="F2F2F2" w:val="clear"/>
        <w:spacing w:after="0"/>
      </w:pPr>
      <w:r>
        <w:rPr>
          <w:rFonts w:ascii="Consolas" w:cs="Consolas" w:eastAsia="Consolas" w:hAnsi="Consolas"/>
          <w:sz w:val="15"/>
          <w:szCs w:val="15"/>
        </w:rPr>
        <w:t xml:space="preserve">// IPLC_PAY_AT_MATU:</w:t>
      </w:r>
    </w:p>
    <w:p>
      <w:pPr>
        <w:shd w:fill="F2F2F2" w:val="clear"/>
        <w:spacing w:after="0"/>
      </w:pPr>
      <w:r>
        <w:rPr>
          <w:rFonts w:ascii="Consolas" w:cs="Consolas" w:eastAsia="Consolas" w:hAnsi="Consolas"/>
          <w:sz w:val="15"/>
          <w:szCs w:val="15"/>
        </w:rPr>
        <w:t xml:space="preserve">Dr ASSET_ACNO = STL_AMT      (desc "IPLC06FIRMNULLNULLI")</w:t>
      </w:r>
    </w:p>
    <w:p>
      <w:pPr>
        <w:shd w:fill="F2F2F2" w:val="clear"/>
        <w:spacing w:after="0"/>
      </w:pPr>
      <w:r>
        <w:rPr>
          <w:rFonts w:ascii="Consolas" w:cs="Consolas" w:eastAsia="Consolas" w:hAnsi="Consolas"/>
          <w:sz w:val="15"/>
          <w:szCs w:val="15"/>
        </w:rPr>
        <w:t xml:space="preserve">Cr LIAB_ACNO  = STL_AMT      (desc "IPLC06FIRMNULLNULLI")</w:t>
      </w:r>
    </w:p>
    <w:p>
      <w:pPr>
        <w:spacing w:after="140"/>
      </w:pPr>
    </w:p>
    <w:p>
      <w:pPr>
        <w:pStyle w:val="Heading3"/>
        <w:spacing w:after="100" w:before="200"/>
      </w:pPr>
      <w:r>
        <w:t xml:space="preserve">6.3.2 EPLC — Pay/Accept, Pay at Maturity, SettlePartial</w:t>
      </w:r>
    </w:p>
    <w:p>
      <w:pPr>
        <w:spacing w:after="160"/>
      </w:pPr>
      <w:r>
        <w:t xml:space="preserve">Source: TrxSys.js:5902-5908</w:t>
      </w:r>
    </w:p>
    <w:p>
      <w:pPr>
        <w:shd w:fill="F2F2F2" w:val="clear"/>
        <w:spacing w:after="0"/>
      </w:pPr>
      <w:r>
        <w:rPr>
          <w:rFonts w:ascii="Consolas" w:cs="Consolas" w:eastAsia="Consolas" w:hAnsi="Consolas"/>
          <w:sz w:val="15"/>
          <w:szCs w:val="15"/>
        </w:rPr>
        <w:t xml:space="preserve">Dr ASSET_ACNO = STL_AMT      (desc "EPLC03CONTNULLNULLI")</w:t>
      </w:r>
    </w:p>
    <w:p>
      <w:pPr>
        <w:shd w:fill="F2F2F2" w:val="clear"/>
        <w:spacing w:after="0"/>
      </w:pPr>
      <w:r>
        <w:rPr>
          <w:rFonts w:ascii="Consolas" w:cs="Consolas" w:eastAsia="Consolas" w:hAnsi="Consolas"/>
          <w:sz w:val="15"/>
          <w:szCs w:val="15"/>
        </w:rPr>
        <w:t xml:space="preserve">Cr LIAB_ACNO  = STL_AMT      (desc: see caution below)</w:t>
      </w:r>
    </w:p>
    <w:p>
      <w:pPr>
        <w:spacing w:after="140"/>
      </w:pPr>
    </w:p>
    <w:p>
      <w:pPr>
        <w:pBdr>
          <w:left w:val="single" w:color="1F4E78" w:sz="12" w:space="8"/>
        </w:pBdr>
        <w:spacing w:after="200"/>
        <w:ind w:left="120"/>
      </w:pPr>
      <w:r>
        <w:rPr>
          <w:i/>
          <w:iCs/>
          <w:color w:val="444444"/>
          <w:sz w:val="20"/>
          <w:szCs w:val="20"/>
        </w:rPr>
        <w:t xml:space="preserve">Source-code defect found this pass: line 5908 reads document.MAINFORM.TEMP_AC_VCH_DESC2.valuee = 'EPLC03CONTNULLNULLI' — note "valuee", not "value". This assigns a stray JS property, not the DOM field's .value, so TEMP_AC_VCH_DESC2 (the credit-leg voucher description) is never actually set by this line in the current codebase. Confirm with the module owner whether to replicate this defect (byte-for-byte parity with current production behavior) or fix it (correct behavior) when the microservice reimplements this formula — this is a genuine business decision, not just a typo to silently correct. See §11.</w:t>
      </w:r>
    </w:p>
    <w:p>
      <w:pPr>
        <w:pStyle w:val="Heading3"/>
        <w:spacing w:after="100" w:before="200"/>
      </w:pPr>
      <w:r>
        <w:t xml:space="preserve">6.3.3 IMCO — Settlement D/A only</w:t>
      </w:r>
    </w:p>
    <w:p>
      <w:pPr>
        <w:spacing w:after="160"/>
      </w:pPr>
      <w:r>
        <w:t xml:space="preserve">Source: TrxSys.js:5862-5869. Pre-Payment and Payment D/P are NOT matched by any branch in this function — they produce no Liability Voucher entry at all, correctly reflecting that a simple collection payment carries no bank contingent liability.</w:t>
      </w:r>
    </w:p>
    <w:p>
      <w:pPr>
        <w:shd w:fill="F2F2F2" w:val="clear"/>
        <w:spacing w:after="0"/>
      </w:pPr>
      <w:r>
        <w:rPr>
          <w:rFonts w:ascii="Consolas" w:cs="Consolas" w:eastAsia="Consolas" w:hAnsi="Consolas"/>
          <w:sz w:val="15"/>
          <w:szCs w:val="15"/>
        </w:rPr>
        <w:t xml:space="preserve">// arr_Func_Manag9 = ["SettlementDA"]:</w:t>
      </w:r>
    </w:p>
    <w:p>
      <w:pPr>
        <w:shd w:fill="F2F2F2" w:val="clear"/>
        <w:spacing w:after="0"/>
      </w:pPr>
      <w:r>
        <w:rPr>
          <w:rFonts w:ascii="Consolas" w:cs="Consolas" w:eastAsia="Consolas" w:hAnsi="Consolas"/>
          <w:sz w:val="15"/>
          <w:szCs w:val="15"/>
        </w:rPr>
        <w:t xml:space="preserve">Dr ASSET_ACNO = BILL_AMT_FM_DRWE      (desc "IMCO03CONTNULLNULLI")</w:t>
      </w:r>
    </w:p>
    <w:p>
      <w:pPr>
        <w:shd w:fill="F2F2F2" w:val="clear"/>
        <w:spacing w:after="0"/>
      </w:pPr>
      <w:r>
        <w:rPr>
          <w:rFonts w:ascii="Consolas" w:cs="Consolas" w:eastAsia="Consolas" w:hAnsi="Consolas"/>
          <w:sz w:val="15"/>
          <w:szCs w:val="15"/>
        </w:rPr>
        <w:t xml:space="preserve">Cr LIAB_ACNO  = BILL_AMT_FM_DRWE      (desc "IMCO03CONTNULLNULLI")</w:t>
      </w:r>
    </w:p>
    <w:p>
      <w:pPr>
        <w:spacing w:after="140"/>
      </w:pPr>
    </w:p>
    <w:p>
      <w:pPr>
        <w:pStyle w:val="Heading3"/>
        <w:spacing w:after="100" w:before="200"/>
      </w:pPr>
      <w:r>
        <w:t xml:space="preserve">6.3.4 GTEE — Outward Claim Settlement</w:t>
      </w:r>
    </w:p>
    <w:p>
      <w:pPr>
        <w:spacing w:after="160"/>
      </w:pPr>
      <w:r>
        <w:t xml:space="preserve">Source: TrxSys.js:5705-5711</w:t>
      </w:r>
    </w:p>
    <w:p>
      <w:pPr>
        <w:shd w:fill="F2F2F2" w:val="clear"/>
        <w:spacing w:after="0"/>
      </w:pPr>
      <w:r>
        <w:rPr>
          <w:rFonts w:ascii="Consolas" w:cs="Consolas" w:eastAsia="Consolas" w:hAnsi="Consolas"/>
          <w:sz w:val="15"/>
          <w:szCs w:val="15"/>
        </w:rPr>
        <w:t xml:space="preserve">// str_func_name == "OutwardSett" || "OutwardSett(CE)":</w:t>
      </w:r>
    </w:p>
    <w:p>
      <w:pPr>
        <w:shd w:fill="F2F2F2" w:val="clear"/>
        <w:spacing w:after="0"/>
      </w:pPr>
      <w:r>
        <w:rPr>
          <w:rFonts w:ascii="Consolas" w:cs="Consolas" w:eastAsia="Consolas" w:hAnsi="Consolas"/>
          <w:sz w:val="15"/>
          <w:szCs w:val="15"/>
        </w:rPr>
        <w:t xml:space="preserve">Dr ASSET_ACNO = CLM_TRX_CCY_AMT      (desc "GTEE04CONTNULLNULLI")</w:t>
      </w:r>
    </w:p>
    <w:p>
      <w:pPr>
        <w:shd w:fill="F2F2F2" w:val="clear"/>
        <w:spacing w:after="0"/>
      </w:pPr>
      <w:r>
        <w:rPr>
          <w:rFonts w:ascii="Consolas" w:cs="Consolas" w:eastAsia="Consolas" w:hAnsi="Consolas"/>
          <w:sz w:val="15"/>
          <w:szCs w:val="15"/>
        </w:rPr>
        <w:t xml:space="preserve">Cr LIAB_ACNO  = CLM_TRX_CCY_AMT      (desc "GTEE04CONTNULLNULLI")</w:t>
      </w:r>
    </w:p>
    <w:p>
      <w:pPr>
        <w:spacing w:after="140"/>
      </w:pPr>
    </w:p>
    <w:p>
      <w:pPr>
        <w:pBdr>
          <w:left w:val="single" w:color="1F4E78" w:sz="12" w:space="8"/>
        </w:pBdr>
        <w:spacing w:after="200"/>
        <w:ind w:left="120"/>
      </w:pPr>
      <w:r>
        <w:rPr>
          <w:i/>
          <w:iCs/>
          <w:color w:val="444444"/>
          <w:sz w:val="20"/>
          <w:szCs w:val="20"/>
        </w:rPr>
        <w:t xml:space="preserve">The Liability Voucher description code (e.g. "GTEE04CONTNULLNULLI") is a DIFFERENT code stream from the Payment Component's own accountDesc formula in §5 (e.g. "GTEE04NULLNULLNULL" + TypeChar) — same {MODULE}{FuncCode} prefix, different suffix pattern ("CONT..." vs "...NULL{TypeChar}"). Do not conflate the two when implementing Account Entry generation: this is a separate voucher stream with its own description-code convention, hardcoded per branch rather than derived from AccountType.</w:t>
      </w:r>
    </w:p>
    <w:p>
      <w:pPr>
        <w:pStyle w:val="Heading3"/>
        <w:spacing w:after="100" w:before="200"/>
      </w:pPr>
      <w:r>
        <w:t xml:space="preserve">6.3.5 IWGT — Settle Inward Claim (conditional)</w:t>
      </w:r>
    </w:p>
    <w:p>
      <w:pPr>
        <w:spacing w:after="160"/>
      </w:pPr>
      <w:r>
        <w:t xml:space="preserve">Source: TrxSys.js:5768-5776</w:t>
      </w:r>
    </w:p>
    <w:p>
      <w:pPr>
        <w:shd w:fill="F2F2F2" w:val="clear"/>
        <w:spacing w:after="0"/>
      </w:pPr>
      <w:r>
        <w:rPr>
          <w:rFonts w:ascii="Consolas" w:cs="Consolas" w:eastAsia="Consolas" w:hAnsi="Consolas"/>
          <w:sz w:val="15"/>
          <w:szCs w:val="15"/>
        </w:rPr>
        <w:t xml:space="preserve">// str_func_name == "SettleClaim":</w:t>
      </w:r>
    </w:p>
    <w:p>
      <w:pPr>
        <w:shd w:fill="F2F2F2" w:val="clear"/>
        <w:spacing w:after="0"/>
      </w:pPr>
      <w:r>
        <w:rPr>
          <w:rFonts w:ascii="Consolas" w:cs="Consolas" w:eastAsia="Consolas" w:hAnsi="Consolas"/>
          <w:sz w:val="15"/>
          <w:szCs w:val="15"/>
        </w:rPr>
        <w:t xml:space="preserve">IF MTHD_OF_ISS == 'Issue':</w:t>
      </w:r>
    </w:p>
    <w:p>
      <w:pPr>
        <w:shd w:fill="F2F2F2" w:val="clear"/>
        <w:spacing w:after="0"/>
      </w:pPr>
      <w:r>
        <w:rPr>
          <w:rFonts w:ascii="Consolas" w:cs="Consolas" w:eastAsia="Consolas" w:hAnsi="Consolas"/>
          <w:sz w:val="15"/>
          <w:szCs w:val="15"/>
        </w:rPr>
        <w:t xml:space="preserve">    Dr ASSET_ACNO = CLM_TRX_CCY_AMT      (desc1 "IWGT04CONTNULLNULLC")</w:t>
      </w:r>
    </w:p>
    <w:p>
      <w:pPr>
        <w:shd w:fill="F2F2F2" w:val="clear"/>
        <w:spacing w:after="0"/>
      </w:pPr>
      <w:r>
        <w:rPr>
          <w:rFonts w:ascii="Consolas" w:cs="Consolas" w:eastAsia="Consolas" w:hAnsi="Consolas"/>
          <w:sz w:val="15"/>
          <w:szCs w:val="15"/>
        </w:rPr>
        <w:t xml:space="preserve">    Cr LIAB_ACNO  = CLM_TRX_CCY_AMT      (desc2 "IWGT04CONTNULLNULLI")</w:t>
      </w:r>
    </w:p>
    <w:p>
      <w:pPr>
        <w:shd w:fill="F2F2F2" w:val="clear"/>
        <w:spacing w:after="0"/>
      </w:pPr>
      <w:r>
        <w:rPr>
          <w:rFonts w:ascii="Consolas" w:cs="Consolas" w:eastAsia="Consolas" w:hAnsi="Consolas"/>
          <w:sz w:val="15"/>
          <w:szCs w:val="15"/>
        </w:rPr>
        <w:t xml:space="preserve">// ELSE: no Liability Voucher entry produced at all</w:t>
      </w:r>
    </w:p>
    <w:p>
      <w:pPr>
        <w:spacing w:after="140"/>
      </w:pPr>
    </w:p>
    <w:p>
      <w:pPr>
        <w:pStyle w:val="ListParagraph"/>
        <w:numPr>
          <w:ilvl w:val="0"/>
          <w:numId w:val="1"/>
        </w:numPr>
        <w:spacing w:after="60"/>
      </w:pPr>
      <w:r>
        <w:t xml:space="preserve">Business condition to preserve: IWGT Settle Inward Claim only posts a Liability Voucher when the guarantee's method of issuance (MTHD_OF_ISS) is "Issue" — a received-Advice-only guarantee produces none. This condition is not visible anywhere in the OAS request shape (PaymentInstructionConfirmRequest has no methodOfIssuance-equivalent field) — the calling module (IWGT) must decide whether to include a Liability-stream entry in its own pre-submission logic, or this microservice needs a new input field to carry that condition. See §12.</w:t>
      </w:r>
    </w:p>
    <w:p>
      <w:pPr>
        <w:pStyle w:val="Heading3"/>
        <w:spacing w:after="100" w:before="200"/>
      </w:pPr>
      <w:r>
        <w:t xml:space="preserve">6.3.6 EXCO — no Liability Voucher branch exists</w:t>
      </w:r>
    </w:p>
    <w:p>
      <w:pPr>
        <w:spacing w:after="160"/>
      </w:pPr>
      <w:r>
        <w:t xml:space="preserve">Confirmed by absence: the SYS_MODULE_NAME dispatch chain in SYT_LIAB_VOUCHER() covers IPLC, GTEE, IWGT, PYMT, SHGT, IMCO, EPLC — EXCO never appears. All 4 confirmed EXCO functions (Payment, Settlement at Maturity, Discount, Process 400) correctly produce Settlement + Charge entries only, never Liability — consistent with documentary collections carrying no bank contingent-liability position.</w:t>
      </w:r>
    </w:p>
    <w:p>
      <w:pPr>
        <w:pStyle w:val="Heading1"/>
        <w:spacing w:after="160" w:before="320"/>
      </w:pPr>
      <w:r>
        <w:t xml:space="preserve">7. Step 5 — SWIFT/ISO 20022 Message Generation &amp; Cross-Field Validation</w:t>
      </w:r>
    </w:p>
    <w:p>
      <w:pPr>
        <w:spacing w:after="160"/>
      </w:pPr>
      <w:r>
        <w:t xml:space="preserve">Source: X/CALJS/CDOSCRLEVEL/SSSS_PaymentCredit.js:344-400 (CPYT_PAY_ADV_MSG() and CPYT_PAY_COV_MSG() onChange handlers). Credit-leg only, per FSD §3.4.2 — these fields exist on the PaymentDebit schema too but are never read on the debit side.</w:t>
      </w:r>
    </w:p>
    <w:p>
      <w:pPr>
        <w:shd w:fill="F2F2F2" w:val="clear"/>
        <w:spacing w:after="0"/>
      </w:pPr>
      <w:r>
        <w:rPr>
          <w:rFonts w:ascii="Consolas" w:cs="Consolas" w:eastAsia="Consolas" w:hAnsi="Consolas"/>
          <w:sz w:val="15"/>
          <w:szCs w:val="15"/>
        </w:rPr>
        <w:t xml:space="preserve">function CPYT_PAY_ADV_MSG() {</w:t>
      </w:r>
    </w:p>
    <w:p>
      <w:pPr>
        <w:shd w:fill="F2F2F2" w:val="clear"/>
        <w:spacing w:after="0"/>
      </w:pPr>
      <w:r>
        <w:rPr>
          <w:rFonts w:ascii="Consolas" w:cs="Consolas" w:eastAsia="Consolas" w:hAnsi="Consolas"/>
          <w:sz w:val="15"/>
          <w:szCs w:val="15"/>
        </w:rPr>
        <w:t xml:space="preserve">    if (CPYT_PAY_ADV_MSG in ['MT103','PACS008']) {</w:t>
      </w:r>
    </w:p>
    <w:p>
      <w:pPr>
        <w:shd w:fill="F2F2F2" w:val="clear"/>
        <w:spacing w:after="0"/>
      </w:pPr>
      <w:r>
        <w:rPr>
          <w:rFonts w:ascii="Consolas" w:cs="Consolas" w:eastAsia="Consolas" w:hAnsi="Consolas"/>
          <w:sz w:val="15"/>
          <w:szCs w:val="15"/>
        </w:rPr>
        <w:t xml:space="preserve">        enable103();</w:t>
      </w:r>
    </w:p>
    <w:p>
      <w:pPr>
        <w:shd w:fill="F2F2F2" w:val="clear"/>
        <w:spacing w:after="0"/>
      </w:pPr>
      <w:r>
        <w:rPr>
          <w:rFonts w:ascii="Consolas" w:cs="Consolas" w:eastAsia="Consolas" w:hAnsi="Consolas"/>
          <w:sz w:val="15"/>
          <w:szCs w:val="15"/>
        </w:rPr>
        <w:t xml:space="preserve">        X103_SETT_CCY_32A = CPYT_CR_CCY;  X103_SETT_AMT_32A = CPYT_CR_AMT_CRCCY;</w:t>
      </w:r>
    </w:p>
    <w:p>
      <w:pPr>
        <w:shd w:fill="F2F2F2" w:val="clear"/>
        <w:spacing w:after="0"/>
      </w:pPr>
      <w:r>
        <w:rPr>
          <w:rFonts w:ascii="Consolas" w:cs="Consolas" w:eastAsia="Consolas" w:hAnsi="Consolas"/>
          <w:sz w:val="15"/>
          <w:szCs w:val="15"/>
        </w:rPr>
        <w:t xml:space="preserve">        X103_INSTR_CCY_33B = CPYT_CR_CCY; X103_INSTR_AMT_33B = CPYT_CR_AMT_CRCCY;</w:t>
      </w:r>
    </w:p>
    <w:p>
      <w:pPr>
        <w:shd w:fill="F2F2F2" w:val="clear"/>
        <w:spacing w:after="0"/>
      </w:pPr>
      <w:r>
        <w:rPr>
          <w:rFonts w:ascii="Consolas" w:cs="Consolas" w:eastAsia="Consolas" w:hAnsi="Consolas"/>
          <w:sz w:val="15"/>
          <w:szCs w:val="15"/>
        </w:rPr>
        <w:t xml:space="preserve">    } else if (CPYT_PAY_ADV_MSG NOT IN ['MT103','PACS008']</w:t>
      </w:r>
    </w:p>
    <w:p>
      <w:pPr>
        <w:shd w:fill="F2F2F2" w:val="clear"/>
        <w:spacing w:after="0"/>
      </w:pPr>
      <w:r>
        <w:rPr>
          <w:rFonts w:ascii="Consolas" w:cs="Consolas" w:eastAsia="Consolas" w:hAnsi="Consolas"/>
          <w:sz w:val="15"/>
          <w:szCs w:val="15"/>
        </w:rPr>
        <w:t xml:space="preserve">               AND CPYT_PAY_COV_MSG IN ['MT202COV','PACS009COV']) {</w:t>
      </w:r>
    </w:p>
    <w:p>
      <w:pPr>
        <w:shd w:fill="F2F2F2" w:val="clear"/>
        <w:spacing w:after="0"/>
      </w:pPr>
      <w:r>
        <w:rPr>
          <w:rFonts w:ascii="Consolas" w:cs="Consolas" w:eastAsia="Consolas" w:hAnsi="Consolas"/>
          <w:sz w:val="15"/>
          <w:szCs w:val="15"/>
        </w:rPr>
        <w:t xml:space="preserve">        REJECT: "The Payment Advice Message should be MT103 or PACS008,</w:t>
      </w:r>
    </w:p>
    <w:p>
      <w:pPr>
        <w:shd w:fill="F2F2F2" w:val="clear"/>
        <w:spacing w:after="0"/>
      </w:pPr>
      <w:r>
        <w:rPr>
          <w:rFonts w:ascii="Consolas" w:cs="Consolas" w:eastAsia="Consolas" w:hAnsi="Consolas"/>
          <w:sz w:val="15"/>
          <w:szCs w:val="15"/>
        </w:rPr>
        <w:t xml:space="preserve">                 while the Payment Cover Message is MT202COV or PACS009COV."</w:t>
      </w:r>
    </w:p>
    <w:p>
      <w:pPr>
        <w:shd w:fill="F2F2F2" w:val="clear"/>
        <w:spacing w:after="0"/>
      </w:pPr>
      <w:r>
        <w:rPr>
          <w:rFonts w:ascii="Consolas" w:cs="Consolas" w:eastAsia="Consolas" w:hAnsi="Consolas"/>
          <w:sz w:val="15"/>
          <w:szCs w:val="15"/>
        </w:rPr>
        <w:t xml:space="preserve">    } else {</w:t>
      </w:r>
    </w:p>
    <w:p>
      <w:pPr>
        <w:shd w:fill="F2F2F2" w:val="clear"/>
        <w:spacing w:after="0"/>
      </w:pPr>
      <w:r>
        <w:rPr>
          <w:rFonts w:ascii="Consolas" w:cs="Consolas" w:eastAsia="Consolas" w:hAnsi="Consolas"/>
          <w:sz w:val="15"/>
          <w:szCs w:val="15"/>
        </w:rPr>
        <w:t xml:space="preserve">        disable103();  // clear X103_* fields</w:t>
      </w:r>
    </w:p>
    <w:p>
      <w:pPr>
        <w:shd w:fill="F2F2F2" w:val="clear"/>
        <w:spacing w:after="0"/>
      </w:pPr>
      <w:r>
        <w:rPr>
          <w:rFonts w:ascii="Consolas" w:cs="Consolas" w:eastAsia="Consolas" w:hAnsi="Consolas"/>
          <w:sz w:val="15"/>
          <w:szCs w:val="15"/>
        </w:rPr>
        <w:t xml:space="preserve">    }</w:t>
      </w:r>
    </w:p>
    <w:p>
      <w:pPr>
        <w:shd w:fill="F2F2F2" w:val="clear"/>
        <w:spacing w:after="0"/>
      </w:pPr>
      <w:r>
        <w:rPr>
          <w:rFonts w:ascii="Consolas" w:cs="Consolas" w:eastAsia="Consolas" w:hAnsi="Consolas"/>
          <w:sz w:val="15"/>
          <w:szCs w:val="15"/>
        </w:rPr>
        <w:t xml:space="preserve">}</w:t>
      </w:r>
    </w:p>
    <w:p>
      <w:pPr>
        <w:shd w:fill="F2F2F2" w:val="clear"/>
        <w:spacing w:after="0"/>
      </w:pPr>
      <w:r>
        <w:rPr>
          <w:rFonts w:ascii="Consolas" w:cs="Consolas" w:eastAsia="Consolas" w:hAnsi="Consolas"/>
          <w:sz w:val="15"/>
          <w:szCs w:val="15"/>
        </w:rPr>
        <w:t xml:space="preserve"> </w:t>
      </w:r>
    </w:p>
    <w:p>
      <w:pPr>
        <w:shd w:fill="F2F2F2" w:val="clear"/>
        <w:spacing w:after="0"/>
      </w:pPr>
      <w:r>
        <w:rPr>
          <w:rFonts w:ascii="Consolas" w:cs="Consolas" w:eastAsia="Consolas" w:hAnsi="Consolas"/>
          <w:sz w:val="15"/>
          <w:szCs w:val="15"/>
        </w:rPr>
        <w:t xml:space="preserve">function CPYT_PAY_COV_MSG() {</w:t>
      </w:r>
    </w:p>
    <w:p>
      <w:pPr>
        <w:shd w:fill="F2F2F2" w:val="clear"/>
        <w:spacing w:after="0"/>
      </w:pPr>
      <w:r>
        <w:rPr>
          <w:rFonts w:ascii="Consolas" w:cs="Consolas" w:eastAsia="Consolas" w:hAnsi="Consolas"/>
          <w:sz w:val="15"/>
          <w:szCs w:val="15"/>
        </w:rPr>
        <w:t xml:space="preserve">    if (CPYT_PAY_COV_MSG == 'MT202') { enable202(); }</w:t>
      </w:r>
    </w:p>
    <w:p>
      <w:pPr>
        <w:shd w:fill="F2F2F2" w:val="clear"/>
        <w:spacing w:after="0"/>
      </w:pPr>
      <w:r>
        <w:rPr>
          <w:rFonts w:ascii="Consolas" w:cs="Consolas" w:eastAsia="Consolas" w:hAnsi="Consolas"/>
          <w:sz w:val="15"/>
          <w:szCs w:val="15"/>
        </w:rPr>
        <w:t xml:space="preserve">    else if (CPYT_PAY_COV_MSG IN ['MT202COV','PACS009COV']) {</w:t>
      </w:r>
    </w:p>
    <w:p>
      <w:pPr>
        <w:shd w:fill="F2F2F2" w:val="clear"/>
        <w:spacing w:after="0"/>
      </w:pPr>
      <w:r>
        <w:rPr>
          <w:rFonts w:ascii="Consolas" w:cs="Consolas" w:eastAsia="Consolas" w:hAnsi="Consolas"/>
          <w:sz w:val="15"/>
          <w:szCs w:val="15"/>
        </w:rPr>
        <w:t xml:space="preserve">        enable202();</w:t>
      </w:r>
    </w:p>
    <w:p>
      <w:pPr>
        <w:shd w:fill="F2F2F2" w:val="clear"/>
        <w:spacing w:after="0"/>
      </w:pPr>
      <w:r>
        <w:rPr>
          <w:rFonts w:ascii="Consolas" w:cs="Consolas" w:eastAsia="Consolas" w:hAnsi="Consolas"/>
          <w:sz w:val="15"/>
          <w:szCs w:val="15"/>
        </w:rPr>
        <w:t xml:space="preserve">        IF CPYT_PAY_ADV_MSG NOT IN ['MT103','PACS008']:</w:t>
      </w:r>
    </w:p>
    <w:p>
      <w:pPr>
        <w:shd w:fill="F2F2F2" w:val="clear"/>
        <w:spacing w:after="0"/>
      </w:pPr>
      <w:r>
        <w:rPr>
          <w:rFonts w:ascii="Consolas" w:cs="Consolas" w:eastAsia="Consolas" w:hAnsi="Consolas"/>
          <w:sz w:val="15"/>
          <w:szCs w:val="15"/>
        </w:rPr>
        <w:t xml:space="preserve">            REJECT: same message as above</w:t>
      </w:r>
    </w:p>
    <w:p>
      <w:pPr>
        <w:shd w:fill="F2F2F2" w:val="clear"/>
        <w:spacing w:after="0"/>
      </w:pPr>
      <w:r>
        <w:rPr>
          <w:rFonts w:ascii="Consolas" w:cs="Consolas" w:eastAsia="Consolas" w:hAnsi="Consolas"/>
          <w:sz w:val="15"/>
          <w:szCs w:val="15"/>
        </w:rPr>
        <w:t xml:space="preserve">    } else { disable202(); }</w:t>
      </w:r>
    </w:p>
    <w:p>
      <w:pPr>
        <w:shd w:fill="F2F2F2" w:val="clear"/>
        <w:spacing w:after="0"/>
      </w:pPr>
      <w:r>
        <w:rPr>
          <w:rFonts w:ascii="Consolas" w:cs="Consolas" w:eastAsia="Consolas" w:hAnsi="Consolas"/>
          <w:sz w:val="15"/>
          <w:szCs w:val="15"/>
        </w:rPr>
        <w:t xml:space="preserve">}</w:t>
      </w:r>
    </w:p>
    <w:p>
      <w:pPr>
        <w:spacing w:after="140"/>
      </w:pPr>
    </w:p>
    <w:p>
      <w:pPr>
        <w:spacing w:after="160"/>
      </w:pPr>
      <w:r>
        <w:t xml:space="preserve">Consolidated validation rule (both handlers enforce the same constraint, checked from either direction depending on which field changes first):</w:t>
      </w:r>
    </w:p>
    <w:p>
      <w:pPr>
        <w:shd w:fill="F2F2F2" w:val="clear"/>
        <w:spacing w:after="0"/>
      </w:pPr>
      <w:r>
        <w:rPr>
          <w:rFonts w:ascii="Consolas" w:cs="Consolas" w:eastAsia="Consolas" w:hAnsi="Consolas"/>
          <w:sz w:val="15"/>
          <w:szCs w:val="15"/>
        </w:rPr>
        <w:t xml:space="preserve">IF payCoverMsgType ∈ {MT202COV, PACS009COV}:</w:t>
      </w:r>
    </w:p>
    <w:p>
      <w:pPr>
        <w:shd w:fill="F2F2F2" w:val="clear"/>
        <w:spacing w:after="0"/>
      </w:pPr>
      <w:r>
        <w:rPr>
          <w:rFonts w:ascii="Consolas" w:cs="Consolas" w:eastAsia="Consolas" w:hAnsi="Consolas"/>
          <w:sz w:val="15"/>
          <w:szCs w:val="15"/>
        </w:rPr>
        <w:t xml:space="preserve">    payAdviceMsgType MUST BE ∈ {MT103, PACS008}</w:t>
      </w:r>
    </w:p>
    <w:p>
      <w:pPr>
        <w:shd w:fill="F2F2F2" w:val="clear"/>
        <w:spacing w:after="0"/>
      </w:pPr>
      <w:r>
        <w:rPr>
          <w:rFonts w:ascii="Consolas" w:cs="Consolas" w:eastAsia="Consolas" w:hAnsi="Consolas"/>
          <w:sz w:val="15"/>
          <w:szCs w:val="15"/>
        </w:rPr>
        <w:t xml:space="preserve">    ELSE reject: "The Payment Advice Message should be MT103 or PACS008,</w:t>
      </w:r>
    </w:p>
    <w:p>
      <w:pPr>
        <w:shd w:fill="F2F2F2" w:val="clear"/>
        <w:spacing w:after="0"/>
      </w:pPr>
      <w:r>
        <w:rPr>
          <w:rFonts w:ascii="Consolas" w:cs="Consolas" w:eastAsia="Consolas" w:hAnsi="Consolas"/>
          <w:sz w:val="15"/>
          <w:szCs w:val="15"/>
        </w:rPr>
        <w:t xml:space="preserve">                  while the Payment Cover Message is MT202COV or PACS009COV."</w:t>
      </w:r>
    </w:p>
    <w:p>
      <w:pPr>
        <w:spacing w:after="140"/>
      </w:pPr>
    </w:p>
    <w:p>
      <w:pPr>
        <w:pStyle w:val="Heading2"/>
        <w:spacing w:after="120" w:before="240"/>
      </w:pPr>
      <w:r>
        <w:t xml:space="preserve">7.1 Field Mapping Formula (MT103 / pacs.008 path)</w:t>
      </w:r>
    </w:p>
    <w:p>
      <w:pPr>
        <w:spacing w:after="160"/>
      </w:pPr>
      <w:r>
        <w:t xml:space="preserve">Applies only when payAdviceMsgType resolves to MT103/PACS008 (credit legs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shd w:fill="1F4E78" w:val="clear"/>
            <w:tcMar>
              <w:top w:type="dxa" w:w="60"/>
              <w:left w:type="dxa" w:w="80"/>
              <w:bottom w:type="dxa" w:w="60"/>
              <w:right w:type="dxa" w:w="80"/>
            </w:tcMar>
          </w:tcPr>
          <w:p>
            <w:r>
              <w:rPr>
                <w:b/>
                <w:bCs/>
                <w:color w:val="FFFFFF"/>
                <w:sz w:val="18"/>
                <w:szCs w:val="18"/>
              </w:rPr>
              <w:t xml:space="preserve">Target SWIFT/ISO Field</w:t>
            </w:r>
          </w:p>
        </w:tc>
        <w:tc>
          <w:tcPr>
            <w:tcW w:type="dxa" w:w="2800"/>
            <w:shd w:fill="1F4E78" w:val="clear"/>
            <w:tcMar>
              <w:top w:type="dxa" w:w="60"/>
              <w:left w:type="dxa" w:w="80"/>
              <w:bottom w:type="dxa" w:w="60"/>
              <w:right w:type="dxa" w:w="80"/>
            </w:tcMar>
          </w:tcPr>
          <w:p>
            <w:r>
              <w:rPr>
                <w:b/>
                <w:bCs/>
                <w:color w:val="FFFFFF"/>
                <w:sz w:val="18"/>
                <w:szCs w:val="18"/>
              </w:rPr>
              <w:t xml:space="preserve">Source (Payment Component)</w:t>
            </w:r>
          </w:p>
        </w:tc>
        <w:tc>
          <w:tcPr>
            <w:tcW w:type="dxa" w:w="3760"/>
            <w:shd w:fill="1F4E78" w:val="clear"/>
            <w:tcMar>
              <w:top w:type="dxa" w:w="60"/>
              <w:left w:type="dxa" w:w="80"/>
              <w:bottom w:type="dxa" w:w="60"/>
              <w:right w:type="dxa" w:w="80"/>
            </w:tcMar>
          </w:tcPr>
          <w:p>
            <w:r>
              <w:rPr>
                <w:b/>
                <w:bCs/>
                <w:color w:val="FFFFFF"/>
                <w:sz w:val="18"/>
                <w:szCs w:val="18"/>
              </w:rPr>
              <w:t xml:space="preserve">Formula</w:t>
            </w:r>
          </w:p>
        </w:tc>
      </w:tr>
      <w:tr>
        <w:tc>
          <w:tcPr>
            <w:tcW w:type="dxa" w:w="2800"/>
            <w:tcMar>
              <w:top w:type="dxa" w:w="50"/>
              <w:left w:type="dxa" w:w="80"/>
              <w:bottom w:type="dxa" w:w="50"/>
              <w:right w:type="dxa" w:w="80"/>
            </w:tcMar>
          </w:tcPr>
          <w:p>
            <w:r>
              <w:rPr>
                <w:sz w:val="18"/>
                <w:szCs w:val="18"/>
              </w:rPr>
              <w:t xml:space="preserve">X103_SETT_CCY_32A</w:t>
            </w:r>
          </w:p>
        </w:tc>
        <w:tc>
          <w:tcPr>
            <w:tcW w:type="dxa" w:w="2800"/>
            <w:tcMar>
              <w:top w:type="dxa" w:w="50"/>
              <w:left w:type="dxa" w:w="80"/>
              <w:bottom w:type="dxa" w:w="50"/>
              <w:right w:type="dxa" w:w="80"/>
            </w:tcMar>
          </w:tcPr>
          <w:p>
            <w:r>
              <w:rPr>
                <w:sz w:val="18"/>
                <w:szCs w:val="18"/>
              </w:rPr>
              <w:t xml:space="preserve">CPYT_CR_CCY</w:t>
            </w:r>
          </w:p>
        </w:tc>
        <w:tc>
          <w:tcPr>
            <w:tcW w:type="dxa" w:w="3760"/>
            <w:tcMar>
              <w:top w:type="dxa" w:w="50"/>
              <w:left w:type="dxa" w:w="80"/>
              <w:bottom w:type="dxa" w:w="50"/>
              <w:right w:type="dxa" w:w="80"/>
            </w:tcMar>
          </w:tcPr>
          <w:p>
            <w:r>
              <w:rPr>
                <w:sz w:val="18"/>
                <w:szCs w:val="18"/>
              </w:rPr>
              <w:t xml:space="preserve">Direct copy</w:t>
            </w:r>
          </w:p>
        </w:tc>
      </w:tr>
      <w:tr>
        <w:tc>
          <w:tcPr>
            <w:tcW w:type="dxa" w:w="2800"/>
            <w:shd w:fill="F7F9FB" w:val="clear"/>
            <w:tcMar>
              <w:top w:type="dxa" w:w="50"/>
              <w:left w:type="dxa" w:w="80"/>
              <w:bottom w:type="dxa" w:w="50"/>
              <w:right w:type="dxa" w:w="80"/>
            </w:tcMar>
          </w:tcPr>
          <w:p>
            <w:r>
              <w:rPr>
                <w:sz w:val="18"/>
                <w:szCs w:val="18"/>
              </w:rPr>
              <w:t xml:space="preserve">X103_SETT_AMT_32A</w:t>
            </w:r>
          </w:p>
        </w:tc>
        <w:tc>
          <w:tcPr>
            <w:tcW w:type="dxa" w:w="2800"/>
            <w:shd w:fill="F7F9FB" w:val="clear"/>
            <w:tcMar>
              <w:top w:type="dxa" w:w="50"/>
              <w:left w:type="dxa" w:w="80"/>
              <w:bottom w:type="dxa" w:w="50"/>
              <w:right w:type="dxa" w:w="80"/>
            </w:tcMar>
          </w:tcPr>
          <w:p>
            <w:r>
              <w:rPr>
                <w:sz w:val="18"/>
                <w:szCs w:val="18"/>
              </w:rPr>
              <w:t xml:space="preserve">CPYT_CR_AMT_CRCCY</w:t>
            </w:r>
          </w:p>
        </w:tc>
        <w:tc>
          <w:tcPr>
            <w:tcW w:type="dxa" w:w="3760"/>
            <w:shd w:fill="F7F9FB" w:val="clear"/>
            <w:tcMar>
              <w:top w:type="dxa" w:w="50"/>
              <w:left w:type="dxa" w:w="80"/>
              <w:bottom w:type="dxa" w:w="50"/>
              <w:right w:type="dxa" w:w="80"/>
            </w:tcMar>
          </w:tcPr>
          <w:p>
            <w:r>
              <w:rPr>
                <w:sz w:val="18"/>
                <w:szCs w:val="18"/>
              </w:rPr>
              <w:t xml:space="preserve">Direct copy</w:t>
            </w:r>
          </w:p>
        </w:tc>
      </w:tr>
      <w:tr>
        <w:tc>
          <w:tcPr>
            <w:tcW w:type="dxa" w:w="2800"/>
            <w:tcMar>
              <w:top w:type="dxa" w:w="50"/>
              <w:left w:type="dxa" w:w="80"/>
              <w:bottom w:type="dxa" w:w="50"/>
              <w:right w:type="dxa" w:w="80"/>
            </w:tcMar>
          </w:tcPr>
          <w:p>
            <w:r>
              <w:rPr>
                <w:sz w:val="18"/>
                <w:szCs w:val="18"/>
              </w:rPr>
              <w:t xml:space="preserve">X103_INSTR_CCY_33B</w:t>
            </w:r>
          </w:p>
        </w:tc>
        <w:tc>
          <w:tcPr>
            <w:tcW w:type="dxa" w:w="2800"/>
            <w:tcMar>
              <w:top w:type="dxa" w:w="50"/>
              <w:left w:type="dxa" w:w="80"/>
              <w:bottom w:type="dxa" w:w="50"/>
              <w:right w:type="dxa" w:w="80"/>
            </w:tcMar>
          </w:tcPr>
          <w:p>
            <w:r>
              <w:rPr>
                <w:sz w:val="18"/>
                <w:szCs w:val="18"/>
              </w:rPr>
              <w:t xml:space="preserve">CPYT_CR_CCY</w:t>
            </w:r>
          </w:p>
        </w:tc>
        <w:tc>
          <w:tcPr>
            <w:tcW w:type="dxa" w:w="3760"/>
            <w:tcMar>
              <w:top w:type="dxa" w:w="50"/>
              <w:left w:type="dxa" w:w="80"/>
              <w:bottom w:type="dxa" w:w="50"/>
              <w:right w:type="dxa" w:w="80"/>
            </w:tcMar>
          </w:tcPr>
          <w:p>
            <w:r>
              <w:rPr>
                <w:sz w:val="18"/>
                <w:szCs w:val="18"/>
              </w:rPr>
              <w:t xml:space="preserve">Direct copy — same source as settlement currency</w:t>
            </w:r>
          </w:p>
        </w:tc>
      </w:tr>
      <w:tr>
        <w:tc>
          <w:tcPr>
            <w:tcW w:type="dxa" w:w="2800"/>
            <w:shd w:fill="F7F9FB" w:val="clear"/>
            <w:tcMar>
              <w:top w:type="dxa" w:w="50"/>
              <w:left w:type="dxa" w:w="80"/>
              <w:bottom w:type="dxa" w:w="50"/>
              <w:right w:type="dxa" w:w="80"/>
            </w:tcMar>
          </w:tcPr>
          <w:p>
            <w:r>
              <w:rPr>
                <w:sz w:val="18"/>
                <w:szCs w:val="18"/>
              </w:rPr>
              <w:t xml:space="preserve">X103_INSTR_AMT_33B</w:t>
            </w:r>
          </w:p>
        </w:tc>
        <w:tc>
          <w:tcPr>
            <w:tcW w:type="dxa" w:w="2800"/>
            <w:shd w:fill="F7F9FB" w:val="clear"/>
            <w:tcMar>
              <w:top w:type="dxa" w:w="50"/>
              <w:left w:type="dxa" w:w="80"/>
              <w:bottom w:type="dxa" w:w="50"/>
              <w:right w:type="dxa" w:w="80"/>
            </w:tcMar>
          </w:tcPr>
          <w:p>
            <w:r>
              <w:rPr>
                <w:sz w:val="18"/>
                <w:szCs w:val="18"/>
              </w:rPr>
              <w:t xml:space="preserve">CPYT_CR_AMT_CRCCY</w:t>
            </w:r>
          </w:p>
        </w:tc>
        <w:tc>
          <w:tcPr>
            <w:tcW w:type="dxa" w:w="3760"/>
            <w:shd w:fill="F7F9FB" w:val="clear"/>
            <w:tcMar>
              <w:top w:type="dxa" w:w="50"/>
              <w:left w:type="dxa" w:w="80"/>
              <w:bottom w:type="dxa" w:w="50"/>
              <w:right w:type="dxa" w:w="80"/>
            </w:tcMar>
          </w:tcPr>
          <w:p>
            <w:r>
              <w:rPr>
                <w:sz w:val="18"/>
                <w:szCs w:val="18"/>
              </w:rPr>
              <w:t xml:space="preserve">Direct copy — same source as settlement amount (32A and 33B are not independently computed)</w:t>
            </w:r>
          </w:p>
        </w:tc>
      </w:tr>
    </w:tbl>
    <w:p>
      <w:pPr>
        <w:spacing w:after="140"/>
      </w:pPr>
    </w:p>
    <w:p>
      <w:pPr>
        <w:pBdr>
          <w:left w:val="single" w:color="1F4E78" w:sz="12" w:space="8"/>
        </w:pBdr>
        <w:spacing w:after="200"/>
        <w:ind w:left="120"/>
      </w:pPr>
      <w:r>
        <w:rPr>
          <w:i/>
          <w:iCs/>
          <w:color w:val="444444"/>
          <w:sz w:val="20"/>
          <w:szCs w:val="20"/>
        </w:rPr>
        <w:t xml:space="preserve">Observation, not a defect: the source code populates settlement amount (32A) and instructed amount (33B) from the exact same field, CPYT_CR_AMT_CRCCY — the two SWIFT fields are not independently computed even though MT103 semantically allows them to differ (e.g. when charges are deducted en route). This may be a simplification already accepted by the business, or an area the microservice should improve on — flagged in §12, not silently "fixed" here.</w:t>
      </w:r>
    </w:p>
    <w:p>
      <w:pPr>
        <w:pStyle w:val="Heading2"/>
        <w:spacing w:after="120" w:before="240"/>
      </w:pPr>
      <w:r>
        <w:t xml:space="preserve">7.2 OAS Mapping</w:t>
      </w:r>
    </w:p>
    <w:p>
      <w:pPr>
        <w:pStyle w:val="ListParagraph"/>
        <w:numPr>
          <w:ilvl w:val="0"/>
          <w:numId w:val="1"/>
        </w:numPr>
        <w:spacing w:after="60"/>
      </w:pPr>
      <w:r>
        <w:t xml:space="preserve">The cross-field constraint maps to a 409 (or 400) response on POST /payment-instructions when violated — this validation was not yet explicitly called out in the OAS description; recommend adding it alongside the existing "legs unbalanced" 409 case (§3.3).</w:t>
      </w:r>
    </w:p>
    <w:p>
      <w:pPr>
        <w:pStyle w:val="ListParagraph"/>
        <w:numPr>
          <w:ilvl w:val="0"/>
          <w:numId w:val="1"/>
        </w:numPr>
        <w:spacing w:after="60"/>
      </w:pPr>
      <w:r>
        <w:t xml:space="preserve">On success, produces one SwiftMessage entry per credit leg where payAdviceMsgType and/or payCoverMsgType resolve to a non-None value, per FSD §5.4 step 5.</w:t>
      </w:r>
    </w:p>
    <w:p>
      <w:pPr>
        <w:pStyle w:val="Heading1"/>
        <w:spacing w:after="160" w:before="320"/>
      </w:pPr>
      <w:r>
        <w:t xml:space="preserve">8. Leg-Level Amount &amp; Rate Calculations</w:t>
      </w:r>
    </w:p>
    <w:p>
      <w:pPr>
        <w:spacing w:after="160"/>
      </w:pPr>
      <w:r>
        <w:t xml:space="preserve">Covers two distinct questions: which rate applies to a leg (§8.1), and how that rate converts between the transaction currency and a leg's own account currency (§8.2) — the second question is what makes multi-currency, multi-leg instructions (§8.3) work at all.</w:t>
      </w:r>
    </w:p>
    <w:p>
      <w:pPr>
        <w:pStyle w:val="Heading2"/>
        <w:spacing w:after="120" w:before="240"/>
      </w:pPr>
      <w:r>
        <w:t xml:space="preserve">8.1 Rate Selection — Debit_ExchangingRate()</w:t>
      </w:r>
    </w:p>
    <w:p>
      <w:pPr>
        <w:spacing w:after="160"/>
      </w:pPr>
      <w:r>
        <w:t xml:space="preserve">Source: X/CALJS/CDOSCRLEVEL/SSSS_PaymentDebit.js:392-454. Populates the rate field(s) split in OAS v1.2.0 (drRate / drBuyRate / crBuyRate / sellRate) — this function only resolves drBuyRate directly; the other three were not traced to a populating function in this pass (see §12, carried over from Payment_Mapping_Functions.docx §10 R2).</w:t>
      </w:r>
    </w:p>
    <w:p>
      <w:pPr>
        <w:shd w:fill="F2F2F2" w:val="clear"/>
        <w:spacing w:after="0"/>
      </w:pPr>
      <w:r>
        <w:rPr>
          <w:rFonts w:ascii="Consolas" w:cs="Consolas" w:eastAsia="Consolas" w:hAnsi="Consolas"/>
          <w:sz w:val="15"/>
          <w:szCs w:val="15"/>
        </w:rPr>
        <w:t xml:space="preserve">function Debit_ExchangingRate() {</w:t>
      </w:r>
    </w:p>
    <w:p>
      <w:pPr>
        <w:shd w:fill="F2F2F2" w:val="clear"/>
        <w:spacing w:after="0"/>
      </w:pPr>
      <w:r>
        <w:rPr>
          <w:rFonts w:ascii="Consolas" w:cs="Consolas" w:eastAsia="Consolas" w:hAnsi="Consolas"/>
          <w:sz w:val="15"/>
          <w:szCs w:val="15"/>
        </w:rPr>
        <w:t xml:space="preserve">    fromccy = CPYT_DR_TTL_CCY;  toccy = CPYT_DR_CCY;</w:t>
      </w:r>
    </w:p>
    <w:p>
      <w:pPr>
        <w:shd w:fill="F2F2F2" w:val="clear"/>
        <w:spacing w:after="0"/>
      </w:pPr>
      <w:r>
        <w:rPr>
          <w:rFonts w:ascii="Consolas" w:cs="Consolas" w:eastAsia="Consolas" w:hAnsi="Consolas"/>
          <w:sz w:val="15"/>
          <w:szCs w:val="15"/>
        </w:rPr>
        <w:t xml:space="preserve">    if (SYS_MODULE_NAME == "IMCO") {</w:t>
      </w:r>
    </w:p>
    <w:p>
      <w:pPr>
        <w:shd w:fill="F2F2F2" w:val="clear"/>
        <w:spacing w:after="0"/>
      </w:pPr>
      <w:r>
        <w:rPr>
          <w:rFonts w:ascii="Consolas" w:cs="Consolas" w:eastAsia="Consolas" w:hAnsi="Consolas"/>
          <w:sz w:val="15"/>
          <w:szCs w:val="15"/>
        </w:rPr>
        <w:t xml:space="preserve">        trxDrTTL = CPYT_DR_TTL_AMT_TTLCCY;  drAmtPer = CPYT_DR_PER;</w:t>
      </w:r>
    </w:p>
    <w:p>
      <w:pPr>
        <w:shd w:fill="F2F2F2" w:val="clear"/>
        <w:spacing w:after="0"/>
      </w:pPr>
      <w:r>
        <w:rPr>
          <w:rFonts w:ascii="Consolas" w:cs="Consolas" w:eastAsia="Consolas" w:hAnsi="Consolas"/>
          <w:sz w:val="15"/>
          <w:szCs w:val="15"/>
        </w:rPr>
        <w:t xml:space="preserve">        if (fromccy == SYS_LOCAL_CCY) {</w:t>
      </w:r>
    </w:p>
    <w:p>
      <w:pPr>
        <w:shd w:fill="F2F2F2" w:val="clear"/>
        <w:spacing w:after="0"/>
      </w:pPr>
      <w:r>
        <w:rPr>
          <w:rFonts w:ascii="Consolas" w:cs="Consolas" w:eastAsia="Consolas" w:hAnsi="Consolas"/>
          <w:sz w:val="15"/>
          <w:szCs w:val="15"/>
        </w:rPr>
        <w:t xml:space="preserve">            if (toccy != SYS_LOCAL_CCY) {</w:t>
      </w:r>
    </w:p>
    <w:p>
      <w:pPr>
        <w:shd w:fill="F2F2F2" w:val="clear"/>
        <w:spacing w:after="0"/>
      </w:pPr>
      <w:r>
        <w:rPr>
          <w:rFonts w:ascii="Consolas" w:cs="Consolas" w:eastAsia="Consolas" w:hAnsi="Consolas"/>
          <w:sz w:val="15"/>
          <w:szCs w:val="15"/>
        </w:rPr>
        <w:t xml:space="preserve">                cpytDebitAmt = trxDrTTL * drAmtPer;</w:t>
      </w:r>
    </w:p>
    <w:p>
      <w:pPr>
        <w:shd w:fill="F2F2F2" w:val="clear"/>
        <w:spacing w:after="0"/>
      </w:pPr>
      <w:r>
        <w:rPr>
          <w:rFonts w:ascii="Consolas" w:cs="Consolas" w:eastAsia="Consolas" w:hAnsi="Consolas"/>
          <w:sz w:val="15"/>
          <w:szCs w:val="15"/>
        </w:rPr>
        <w:t xml:space="preserve">                rateType = (cpytDebitAmt &lt;= 50000) ? 'Buying Rate' : 'Selling Rate';</w:t>
      </w:r>
    </w:p>
    <w:p>
      <w:pPr>
        <w:shd w:fill="F2F2F2" w:val="clear"/>
        <w:spacing w:after="0"/>
      </w:pPr>
      <w:r>
        <w:rPr>
          <w:rFonts w:ascii="Consolas" w:cs="Consolas" w:eastAsia="Consolas" w:hAnsi="Consolas"/>
          <w:sz w:val="15"/>
          <w:szCs w:val="15"/>
        </w:rPr>
        <w:t xml:space="preserve">                CPYT_DR_BUY_RATE = SYS_GetExchangeRate_S(fromccy, toccy, rateType);</w:t>
      </w:r>
    </w:p>
    <w:p>
      <w:pPr>
        <w:shd w:fill="F2F2F2" w:val="clear"/>
        <w:spacing w:after="0"/>
      </w:pPr>
      <w:r>
        <w:rPr>
          <w:rFonts w:ascii="Consolas" w:cs="Consolas" w:eastAsia="Consolas" w:hAnsi="Consolas"/>
          <w:sz w:val="15"/>
          <w:szCs w:val="15"/>
        </w:rPr>
        <w:t xml:space="preserve">            } else {</w:t>
      </w:r>
    </w:p>
    <w:p>
      <w:pPr>
        <w:shd w:fill="F2F2F2" w:val="clear"/>
        <w:spacing w:after="0"/>
      </w:pPr>
      <w:r>
        <w:rPr>
          <w:rFonts w:ascii="Consolas" w:cs="Consolas" w:eastAsia="Consolas" w:hAnsi="Consolas"/>
          <w:sz w:val="15"/>
          <w:szCs w:val="15"/>
        </w:rPr>
        <w:t xml:space="preserve">                CPYT_DR_BUY_RATE = 1;   // same currency, protected field</w:t>
      </w:r>
    </w:p>
    <w:p>
      <w:pPr>
        <w:shd w:fill="F2F2F2" w:val="clear"/>
        <w:spacing w:after="0"/>
      </w:pPr>
      <w:r>
        <w:rPr>
          <w:rFonts w:ascii="Consolas" w:cs="Consolas" w:eastAsia="Consolas" w:hAnsi="Consolas"/>
          <w:sz w:val="15"/>
          <w:szCs w:val="15"/>
        </w:rPr>
        <w:t xml:space="preserve">            }</w:t>
      </w:r>
    </w:p>
    <w:p>
      <w:pPr>
        <w:shd w:fill="F2F2F2" w:val="clear"/>
        <w:spacing w:after="0"/>
      </w:pPr>
      <w:r>
        <w:rPr>
          <w:rFonts w:ascii="Consolas" w:cs="Consolas" w:eastAsia="Consolas" w:hAnsi="Consolas"/>
          <w:sz w:val="15"/>
          <w:szCs w:val="15"/>
        </w:rPr>
        <w:t xml:space="preserve">        } else {</w:t>
      </w:r>
    </w:p>
    <w:p>
      <w:pPr>
        <w:shd w:fill="F2F2F2" w:val="clear"/>
        <w:spacing w:after="0"/>
      </w:pPr>
      <w:r>
        <w:rPr>
          <w:rFonts w:ascii="Consolas" w:cs="Consolas" w:eastAsia="Consolas" w:hAnsi="Consolas"/>
          <w:sz w:val="15"/>
          <w:szCs w:val="15"/>
        </w:rPr>
        <w:t xml:space="preserve">            if (toccy == SYS_LOCAL_CCY) {</w:t>
      </w:r>
    </w:p>
    <w:p>
      <w:pPr>
        <w:shd w:fill="F2F2F2" w:val="clear"/>
        <w:spacing w:after="0"/>
      </w:pPr>
      <w:r>
        <w:rPr>
          <w:rFonts w:ascii="Consolas" w:cs="Consolas" w:eastAsia="Consolas" w:hAnsi="Consolas"/>
          <w:sz w:val="15"/>
          <w:szCs w:val="15"/>
        </w:rPr>
        <w:t xml:space="preserve">                cpytDebitAmt = calcExchAmt(fromccy, LOCAL, trxDrTTL * drAmtPer, 'Booking Rate');</w:t>
      </w:r>
    </w:p>
    <w:p>
      <w:pPr>
        <w:shd w:fill="F2F2F2" w:val="clear"/>
        <w:spacing w:after="0"/>
      </w:pPr>
      <w:r>
        <w:rPr>
          <w:rFonts w:ascii="Consolas" w:cs="Consolas" w:eastAsia="Consolas" w:hAnsi="Consolas"/>
          <w:sz w:val="15"/>
          <w:szCs w:val="15"/>
        </w:rPr>
        <w:t xml:space="preserve">                rateType = (cpytDebitAmt &lt;= 50000) ? 'Selling Rate' : 'Buying Rate';   // inverted vs. above</w:t>
      </w:r>
    </w:p>
    <w:p>
      <w:pPr>
        <w:shd w:fill="F2F2F2" w:val="clear"/>
        <w:spacing w:after="0"/>
      </w:pPr>
      <w:r>
        <w:rPr>
          <w:rFonts w:ascii="Consolas" w:cs="Consolas" w:eastAsia="Consolas" w:hAnsi="Consolas"/>
          <w:sz w:val="15"/>
          <w:szCs w:val="15"/>
        </w:rPr>
        <w:t xml:space="preserve">                CPYT_DR_BUY_RATE = SYS_GetExchangeRate_S(fromccy, toccy, rateType);</w:t>
      </w:r>
    </w:p>
    <w:p>
      <w:pPr>
        <w:shd w:fill="F2F2F2" w:val="clear"/>
        <w:spacing w:after="0"/>
      </w:pPr>
      <w:r>
        <w:rPr>
          <w:rFonts w:ascii="Consolas" w:cs="Consolas" w:eastAsia="Consolas" w:hAnsi="Consolas"/>
          <w:sz w:val="15"/>
          <w:szCs w:val="15"/>
        </w:rPr>
        <w:t xml:space="preserve">            }</w:t>
      </w:r>
    </w:p>
    <w:p>
      <w:pPr>
        <w:shd w:fill="F2F2F2" w:val="clear"/>
        <w:spacing w:after="0"/>
      </w:pPr>
      <w:r>
        <w:rPr>
          <w:rFonts w:ascii="Consolas" w:cs="Consolas" w:eastAsia="Consolas" w:hAnsi="Consolas"/>
          <w:sz w:val="15"/>
          <w:szCs w:val="15"/>
        </w:rPr>
        <w:t xml:space="preserve">            // else: both foreign — field made mandatory for manual entry</w:t>
      </w:r>
    </w:p>
    <w:p>
      <w:pPr>
        <w:shd w:fill="F2F2F2" w:val="clear"/>
        <w:spacing w:after="0"/>
      </w:pPr>
      <w:r>
        <w:rPr>
          <w:rFonts w:ascii="Consolas" w:cs="Consolas" w:eastAsia="Consolas" w:hAnsi="Consolas"/>
          <w:sz w:val="15"/>
          <w:szCs w:val="15"/>
        </w:rPr>
        <w:t xml:space="preserve">        }</w:t>
      </w:r>
    </w:p>
    <w:p>
      <w:pPr>
        <w:shd w:fill="F2F2F2" w:val="clear"/>
        <w:spacing w:after="0"/>
      </w:pPr>
      <w:r>
        <w:rPr>
          <w:rFonts w:ascii="Consolas" w:cs="Consolas" w:eastAsia="Consolas" w:hAnsi="Consolas"/>
          <w:sz w:val="15"/>
          <w:szCs w:val="15"/>
        </w:rPr>
        <w:t xml:space="preserve">    }</w:t>
      </w:r>
    </w:p>
    <w:p>
      <w:pPr>
        <w:shd w:fill="F2F2F2" w:val="clear"/>
        <w:spacing w:after="0"/>
      </w:pPr>
      <w:r>
        <w:rPr>
          <w:rFonts w:ascii="Consolas" w:cs="Consolas" w:eastAsia="Consolas" w:hAnsi="Consolas"/>
          <w:sz w:val="15"/>
          <w:szCs w:val="15"/>
        </w:rPr>
        <w:t xml:space="preserve">    // Generic fallback for ALL modules (including non-IMCO):</w:t>
      </w:r>
    </w:p>
    <w:p>
      <w:pPr>
        <w:shd w:fill="F2F2F2" w:val="clear"/>
        <w:spacing w:after="0"/>
      </w:pPr>
      <w:r>
        <w:rPr>
          <w:rFonts w:ascii="Consolas" w:cs="Consolas" w:eastAsia="Consolas" w:hAnsi="Consolas"/>
          <w:sz w:val="15"/>
          <w:szCs w:val="15"/>
        </w:rPr>
        <w:t xml:space="preserve">    if (fromccy != "" &amp;&amp; toccy != "") {</w:t>
      </w:r>
    </w:p>
    <w:p>
      <w:pPr>
        <w:shd w:fill="F2F2F2" w:val="clear"/>
        <w:spacing w:after="0"/>
      </w:pPr>
      <w:r>
        <w:rPr>
          <w:rFonts w:ascii="Consolas" w:cs="Consolas" w:eastAsia="Consolas" w:hAnsi="Consolas"/>
          <w:sz w:val="15"/>
          <w:szCs w:val="15"/>
        </w:rPr>
        <w:t xml:space="preserve">        CPYT_DR_BUY_RATE = SYS_GetExchangeRate_S(fromccy, toccy, 'Booking Rate');</w:t>
      </w:r>
    </w:p>
    <w:p>
      <w:pPr>
        <w:shd w:fill="F2F2F2" w:val="clear"/>
        <w:spacing w:after="0"/>
      </w:pPr>
      <w:r>
        <w:rPr>
          <w:rFonts w:ascii="Consolas" w:cs="Consolas" w:eastAsia="Consolas" w:hAnsi="Consolas"/>
          <w:sz w:val="15"/>
          <w:szCs w:val="15"/>
        </w:rPr>
        <w:t xml:space="preserve">    }</w:t>
      </w:r>
    </w:p>
    <w:p>
      <w:pPr>
        <w:shd w:fill="F2F2F2" w:val="clear"/>
        <w:spacing w:after="0"/>
      </w:pPr>
      <w:r>
        <w:rPr>
          <w:rFonts w:ascii="Consolas" w:cs="Consolas" w:eastAsia="Consolas" w:hAnsi="Consolas"/>
          <w:sz w:val="15"/>
          <w:szCs w:val="15"/>
        </w:rPr>
        <w:t xml:space="preserve">}</w:t>
      </w:r>
    </w:p>
    <w:p>
      <w:pPr>
        <w:spacing w:after="140"/>
      </w:pPr>
    </w:p>
    <w:p>
      <w:pPr>
        <w:spacing w:after="160"/>
      </w:pPr>
      <w:r>
        <w:t xml:space="preserve">Formula (IMCO only — the amount-threshold-based rate selection; all other confirmed modules use the generic Booking Rate fallback unconditionally):</w:t>
      </w:r>
    </w:p>
    <w:p>
      <w:pPr>
        <w:shd w:fill="F2F2F2" w:val="clear"/>
        <w:spacing w:after="0"/>
      </w:pPr>
      <w:r>
        <w:rPr>
          <w:rFonts w:ascii="Consolas" w:cs="Consolas" w:eastAsia="Consolas" w:hAnsi="Consolas"/>
          <w:sz w:val="15"/>
          <w:szCs w:val="15"/>
        </w:rPr>
        <w:t xml:space="preserve">convertedAmt = CPYT_DR_TTL_AMT_TTLCCY × CPYT_DR_PER   (or via SYS_calExchAmt for foreign→local)</w:t>
      </w:r>
    </w:p>
    <w:p>
      <w:pPr>
        <w:shd w:fill="F2F2F2" w:val="clear"/>
        <w:spacing w:after="0"/>
      </w:pPr>
      <w:r>
        <w:rPr>
          <w:rFonts w:ascii="Consolas" w:cs="Consolas" w:eastAsia="Consolas" w:hAnsi="Consolas"/>
          <w:sz w:val="15"/>
          <w:szCs w:val="15"/>
        </w:rPr>
        <w:t xml:space="preserve"> </w:t>
      </w:r>
    </w:p>
    <w:p>
      <w:pPr>
        <w:shd w:fill="F2F2F2" w:val="clear"/>
        <w:spacing w:after="0"/>
      </w:pPr>
      <w:r>
        <w:rPr>
          <w:rFonts w:ascii="Consolas" w:cs="Consolas" w:eastAsia="Consolas" w:hAnsi="Consolas"/>
          <w:sz w:val="15"/>
          <w:szCs w:val="15"/>
        </w:rPr>
        <w:t xml:space="preserve">IF local → foreign:</w:t>
      </w:r>
    </w:p>
    <w:p>
      <w:pPr>
        <w:shd w:fill="F2F2F2" w:val="clear"/>
        <w:spacing w:after="0"/>
      </w:pPr>
      <w:r>
        <w:rPr>
          <w:rFonts w:ascii="Consolas" w:cs="Consolas" w:eastAsia="Consolas" w:hAnsi="Consolas"/>
          <w:sz w:val="15"/>
          <w:szCs w:val="15"/>
        </w:rPr>
        <w:t xml:space="preserve">    rateType = convertedAmt ≤ 50,000  ?  'Buying Rate'  :  'Selling Rate'</w:t>
      </w:r>
    </w:p>
    <w:p>
      <w:pPr>
        <w:shd w:fill="F2F2F2" w:val="clear"/>
        <w:spacing w:after="0"/>
      </w:pPr>
      <w:r>
        <w:rPr>
          <w:rFonts w:ascii="Consolas" w:cs="Consolas" w:eastAsia="Consolas" w:hAnsi="Consolas"/>
          <w:sz w:val="15"/>
          <w:szCs w:val="15"/>
        </w:rPr>
        <w:t xml:space="preserve">IF foreign → local:</w:t>
      </w:r>
    </w:p>
    <w:p>
      <w:pPr>
        <w:shd w:fill="F2F2F2" w:val="clear"/>
        <w:spacing w:after="0"/>
      </w:pPr>
      <w:r>
        <w:rPr>
          <w:rFonts w:ascii="Consolas" w:cs="Consolas" w:eastAsia="Consolas" w:hAnsi="Consolas"/>
          <w:sz w:val="15"/>
          <w:szCs w:val="15"/>
        </w:rPr>
        <w:t xml:space="preserve">    rateType = convertedAmt ≤ 50,000  ?  'Selling Rate'  :  'Buying Rate'   (inverted)</w:t>
      </w:r>
    </w:p>
    <w:p>
      <w:pPr>
        <w:shd w:fill="F2F2F2" w:val="clear"/>
        <w:spacing w:after="0"/>
      </w:pPr>
      <w:r>
        <w:rPr>
          <w:rFonts w:ascii="Consolas" w:cs="Consolas" w:eastAsia="Consolas" w:hAnsi="Consolas"/>
          <w:sz w:val="15"/>
          <w:szCs w:val="15"/>
        </w:rPr>
        <w:t xml:space="preserve"> </w:t>
      </w:r>
    </w:p>
    <w:p>
      <w:pPr>
        <w:shd w:fill="F2F2F2" w:val="clear"/>
        <w:spacing w:after="0"/>
      </w:pPr>
      <w:r>
        <w:rPr>
          <w:rFonts w:ascii="Consolas" w:cs="Consolas" w:eastAsia="Consolas" w:hAnsi="Consolas"/>
          <w:sz w:val="15"/>
          <w:szCs w:val="15"/>
        </w:rPr>
        <w:t xml:space="preserve">drBuyRate = SYS_GetExchangeRate_S(fromCcy, toCcy, rateType)   // external rate-service lookup</w:t>
      </w:r>
    </w:p>
    <w:p>
      <w:pPr>
        <w:spacing w:after="140"/>
      </w:pPr>
    </w:p>
    <w:p>
      <w:pPr>
        <w:pStyle w:val="ListParagraph"/>
        <w:numPr>
          <w:ilvl w:val="0"/>
          <w:numId w:val="1"/>
        </w:numPr>
        <w:spacing w:after="60"/>
      </w:pPr>
      <w:r>
        <w:t xml:space="preserve">This is a rate-service lookup (SYS_GetExchangeRate_S), not a locally computable formula — the microservice needs either (a) a live rate-service dependency, or (b) the caller to submit an already-resolved rate, which is the current OAS design (drRate/drBuyRate/crBuyRate/sellRate are caller-submitted input fields, not server-computed). Confirm this design choice is intentional given the source shows rate resolution as a distinct upstream step, not something computed inside ConfirmBusinessCall itself.</w:t>
      </w:r>
    </w:p>
    <w:p>
      <w:pPr>
        <w:pStyle w:val="ListParagraph"/>
        <w:numPr>
          <w:ilvl w:val="0"/>
          <w:numId w:val="1"/>
        </w:numPr>
        <w:spacing w:after="60"/>
      </w:pPr>
      <w:r>
        <w:t xml:space="preserve">The IMCO-specific 50,000 threshold and Buying-vs-Selling inversion between local→foreign and foreign→local legs is a business rule specific to IMCO among the 6 confirmed modules — do not generalize it to IPLC/EPLC/EXCO/GTEE/IWGT without separately verifying their rate-resolution paths.</w:t>
      </w:r>
    </w:p>
    <w:p>
      <w:pPr>
        <w:pStyle w:val="Heading2"/>
        <w:spacing w:after="120" w:before="240"/>
      </w:pPr>
      <w:r>
        <w:t xml:space="preserve">8.2 Transaction-Currency ↔ Account-Currency Conversion (resolves part of §12.3)</w:t>
      </w:r>
    </w:p>
    <w:p>
      <w:pPr>
        <w:spacing w:after="160"/>
      </w:pPr>
      <w:r>
        <w:t xml:space="preserve">This closes part of the rate-field open item left in Payment_Mapping_Functions.docx §10 R2: drBuyRate is confirmed to be the operative multiplier connecting amountTxCcy (transaction currency) and amountAccountCcy (the leg's own account currency), symmetric on both Dr and Cr sides.</w:t>
      </w:r>
    </w:p>
    <w:p>
      <w:pPr>
        <w:shd w:fill="F2F2F2" w:val="clear"/>
        <w:spacing w:after="0"/>
      </w:pPr>
      <w:r>
        <w:rPr>
          <w:rFonts w:ascii="Consolas" w:cs="Consolas" w:eastAsia="Consolas" w:hAnsi="Consolas"/>
          <w:sz w:val="15"/>
          <w:szCs w:val="15"/>
        </w:rPr>
        <w:t xml:space="preserve">// Debit side</w:t>
      </w:r>
    </w:p>
    <w:p>
      <w:pPr>
        <w:shd w:fill="F2F2F2" w:val="clear"/>
        <w:spacing w:after="0"/>
      </w:pPr>
      <w:r>
        <w:rPr>
          <w:rFonts w:ascii="Consolas" w:cs="Consolas" w:eastAsia="Consolas" w:hAnsi="Consolas"/>
          <w:sz w:val="15"/>
          <w:szCs w:val="15"/>
        </w:rPr>
        <w:t xml:space="preserve">// SSSS_PaymentDebit.js:53-66  CPYT_DR_AMT_DRCCY()  and  :68-76  CPYT_DR_AMT_DRCCY_DRRATE()</w:t>
      </w:r>
    </w:p>
    <w:p>
      <w:pPr>
        <w:shd w:fill="F2F2F2" w:val="clear"/>
        <w:spacing w:after="0"/>
      </w:pPr>
      <w:r>
        <w:rPr>
          <w:rFonts w:ascii="Consolas" w:cs="Consolas" w:eastAsia="Consolas" w:hAnsi="Consolas"/>
          <w:sz w:val="15"/>
          <w:szCs w:val="15"/>
        </w:rPr>
        <w:t xml:space="preserve">CPYT_DR_AMT_DRCCY = CPYT_DR_AMT_TXCCY × CPYT_DR_BUY_RATE</w:t>
      </w:r>
    </w:p>
    <w:p>
      <w:pPr>
        <w:shd w:fill="F2F2F2" w:val="clear"/>
        <w:spacing w:after="0"/>
      </w:pPr>
      <w:r>
        <w:rPr>
          <w:rFonts w:ascii="Consolas" w:cs="Consolas" w:eastAsia="Consolas" w:hAnsi="Consolas"/>
          <w:sz w:val="15"/>
          <w:szCs w:val="15"/>
        </w:rPr>
        <w:t xml:space="preserve"> </w:t>
      </w:r>
    </w:p>
    <w:p>
      <w:pPr>
        <w:shd w:fill="F2F2F2" w:val="clear"/>
        <w:spacing w:after="0"/>
      </w:pPr>
      <w:r>
        <w:rPr>
          <w:rFonts w:ascii="Consolas" w:cs="Consolas" w:eastAsia="Consolas" w:hAnsi="Consolas"/>
          <w:sz w:val="15"/>
          <w:szCs w:val="15"/>
        </w:rPr>
        <w:t xml:space="preserve">// SSSS_PaymentDebit.js:118-129  CPYT_DR_AMT_TXCCYfromDrccy()  (reverse — user enters DRCCY directly)</w:t>
      </w:r>
    </w:p>
    <w:p>
      <w:pPr>
        <w:shd w:fill="F2F2F2" w:val="clear"/>
        <w:spacing w:after="0"/>
      </w:pPr>
      <w:r>
        <w:rPr>
          <w:rFonts w:ascii="Consolas" w:cs="Consolas" w:eastAsia="Consolas" w:hAnsi="Consolas"/>
          <w:sz w:val="15"/>
          <w:szCs w:val="15"/>
        </w:rPr>
        <w:t xml:space="preserve">CPYT_DR_AMT_TXCCY = CPYT_DR_AMT_DRCCY ÷ CPYT_DR_BUY_RATE</w:t>
      </w:r>
    </w:p>
    <w:p>
      <w:pPr>
        <w:shd w:fill="F2F2F2" w:val="clear"/>
        <w:spacing w:after="0"/>
      </w:pPr>
      <w:r>
        <w:rPr>
          <w:rFonts w:ascii="Consolas" w:cs="Consolas" w:eastAsia="Consolas" w:hAnsi="Consolas"/>
          <w:sz w:val="15"/>
          <w:szCs w:val="15"/>
        </w:rPr>
        <w:t xml:space="preserve"> </w:t>
      </w:r>
    </w:p>
    <w:p>
      <w:pPr>
        <w:shd w:fill="F2F2F2" w:val="clear"/>
        <w:spacing w:after="0"/>
      </w:pPr>
      <w:r>
        <w:rPr>
          <w:rFonts w:ascii="Consolas" w:cs="Consolas" w:eastAsia="Consolas" w:hAnsi="Consolas"/>
          <w:sz w:val="15"/>
          <w:szCs w:val="15"/>
        </w:rPr>
        <w:t xml:space="preserve">// Credit side — exact symmetric formula</w:t>
      </w:r>
    </w:p>
    <w:p>
      <w:pPr>
        <w:shd w:fill="F2F2F2" w:val="clear"/>
        <w:spacing w:after="0"/>
      </w:pPr>
      <w:r>
        <w:rPr>
          <w:rFonts w:ascii="Consolas" w:cs="Consolas" w:eastAsia="Consolas" w:hAnsi="Consolas"/>
          <w:sz w:val="15"/>
          <w:szCs w:val="15"/>
        </w:rPr>
        <w:t xml:space="preserve">// SSSS_PaymentCredit.js:261-265  CPYT_CR_AMT_CRCCY()</w:t>
      </w:r>
    </w:p>
    <w:p>
      <w:pPr>
        <w:shd w:fill="F2F2F2" w:val="clear"/>
        <w:spacing w:after="0"/>
      </w:pPr>
      <w:r>
        <w:rPr>
          <w:rFonts w:ascii="Consolas" w:cs="Consolas" w:eastAsia="Consolas" w:hAnsi="Consolas"/>
          <w:sz w:val="15"/>
          <w:szCs w:val="15"/>
        </w:rPr>
        <w:t xml:space="preserve">CPYT_CR_AMT_CRCCY = CPYT_CR_AMT_TXCCY × CPYT_CR_BUY_RATE</w:t>
      </w:r>
    </w:p>
    <w:p>
      <w:pPr>
        <w:shd w:fill="F2F2F2" w:val="clear"/>
        <w:spacing w:after="0"/>
      </w:pPr>
      <w:r>
        <w:rPr>
          <w:rFonts w:ascii="Consolas" w:cs="Consolas" w:eastAsia="Consolas" w:hAnsi="Consolas"/>
          <w:sz w:val="15"/>
          <w:szCs w:val="15"/>
        </w:rPr>
        <w:t xml:space="preserve"> </w:t>
      </w:r>
    </w:p>
    <w:p>
      <w:pPr>
        <w:shd w:fill="F2F2F2" w:val="clear"/>
        <w:spacing w:after="0"/>
      </w:pPr>
      <w:r>
        <w:rPr>
          <w:rFonts w:ascii="Consolas" w:cs="Consolas" w:eastAsia="Consolas" w:hAnsi="Consolas"/>
          <w:sz w:val="15"/>
          <w:szCs w:val="15"/>
        </w:rPr>
        <w:t xml:space="preserve">// SSSS_PaymentCredit.js:318-321  CPYT_CR_AMT_TXCCYfromCrccy()</w:t>
      </w:r>
    </w:p>
    <w:p>
      <w:pPr>
        <w:shd w:fill="F2F2F2" w:val="clear"/>
        <w:spacing w:after="0"/>
      </w:pPr>
      <w:r>
        <w:rPr>
          <w:rFonts w:ascii="Consolas" w:cs="Consolas" w:eastAsia="Consolas" w:hAnsi="Consolas"/>
          <w:sz w:val="15"/>
          <w:szCs w:val="15"/>
        </w:rPr>
        <w:t xml:space="preserve">CPYT_CR_AMT_TXCCY = CPYT_CR_AMT_CRCCY ÷ CPYT_CR_BUY_RATE</w:t>
      </w:r>
    </w:p>
    <w:p>
      <w:pPr>
        <w:spacing w:after="140"/>
      </w:pPr>
    </w:p>
    <w:p>
      <w:pPr>
        <w:pStyle w:val="ListParagraph"/>
        <w:numPr>
          <w:ilvl w:val="0"/>
          <w:numId w:val="1"/>
        </w:numPr>
        <w:spacing w:after="60"/>
      </w:pPr>
      <w:r>
        <w:t xml:space="preserve">OAS mapping: amountAccountCcy = amountTxCcy × drRate/drBuyRate (debit) or crBuyRate (credit) — the OAS should document this multiplicative relationship explicitly rather than leaving amountAccountCcy and amountTxCcy as two independently-submitted values with no stated relationship. Whether the server should recompute and cross-check amountAccountCcy from amountTxCcy × rate (rejecting a mismatch) or simply trust the caller-submitted value is an open item — see §12.3.</w:t>
      </w:r>
    </w:p>
    <w:p>
      <w:pPr>
        <w:pStyle w:val="ListParagraph"/>
        <w:numPr>
          <w:ilvl w:val="0"/>
          <w:numId w:val="1"/>
        </w:numPr>
        <w:spacing w:after="60"/>
      </w:pPr>
      <w:r>
        <w:t xml:space="preserve">This is exactly what makes §8.3's multi-currency, multi-leg scenario work: the balance validation (§3) always operates on amountTxCcy, which is currency-normalized per leg via this formula — so legs with different accountType currencies reconcile correctly into one shared transaction-currency total, without the balance check itself needing to know anything about FX.</w:t>
      </w:r>
    </w:p>
    <w:p>
      <w:pPr>
        <w:pStyle w:val="Heading2"/>
        <w:spacing w:after="120" w:before="240"/>
      </w:pPr>
      <w:r>
        <w:t xml:space="preserve">8.3 Worked Example — Multi-Currency, Multi-Account Debit Funding a Single Credit</w:t>
      </w:r>
    </w:p>
    <w:p>
      <w:pPr>
        <w:spacing w:after="160"/>
      </w:pPr>
      <w:r>
        <w:t xml:space="preserve">Scenario: pay a seller EUR 10,000, funded by the buyer's two accounts — EUR 8,000 from the buyer's EUR account, plus the USD-equivalent of EUR 2,000 from the buyer's USD account (assume EUR→USD rate 1.0800). This is a real stress case for the single-POST design: one credit leg, two debit legs, two different leg currencies, one shared transaction currency (EUR).</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200"/>
        <w:gridCol w:w="1600"/>
        <w:gridCol w:w="1900"/>
        <w:gridCol w:w="1660"/>
      </w:tblGrid>
      <w:tr>
        <w:trPr>
          <w:tblHeader/>
        </w:trPr>
        <w:tc>
          <w:tcPr>
            <w:tcW w:type="dxa" w:w="2600"/>
            <w:shd w:fill="1F4E78" w:val="clear"/>
            <w:tcMar>
              <w:top w:type="dxa" w:w="60"/>
              <w:left w:type="dxa" w:w="80"/>
              <w:bottom w:type="dxa" w:w="60"/>
              <w:right w:type="dxa" w:w="80"/>
            </w:tcMar>
          </w:tcPr>
          <w:p>
            <w:r>
              <w:rPr>
                <w:b/>
                <w:bCs/>
                <w:color w:val="FFFFFF"/>
                <w:sz w:val="18"/>
                <w:szCs w:val="18"/>
              </w:rPr>
              <w:t xml:space="preserve">Leg</w:t>
            </w:r>
          </w:p>
        </w:tc>
        <w:tc>
          <w:tcPr>
            <w:tcW w:type="dxa" w:w="1400"/>
            <w:shd w:fill="1F4E78" w:val="clear"/>
            <w:tcMar>
              <w:top w:type="dxa" w:w="60"/>
              <w:left w:type="dxa" w:w="80"/>
              <w:bottom w:type="dxa" w:w="60"/>
              <w:right w:type="dxa" w:w="80"/>
            </w:tcMar>
          </w:tcPr>
          <w:p>
            <w:r>
              <w:rPr>
                <w:b/>
                <w:bCs/>
                <w:color w:val="FFFFFF"/>
                <w:sz w:val="18"/>
                <w:szCs w:val="18"/>
              </w:rPr>
              <w:t xml:space="preserve">accountType</w:t>
            </w:r>
          </w:p>
        </w:tc>
        <w:tc>
          <w:tcPr>
            <w:tcW w:type="dxa" w:w="1200"/>
            <w:shd w:fill="1F4E78" w:val="clear"/>
            <w:tcMar>
              <w:top w:type="dxa" w:w="60"/>
              <w:left w:type="dxa" w:w="80"/>
              <w:bottom w:type="dxa" w:w="60"/>
              <w:right w:type="dxa" w:w="80"/>
            </w:tcMar>
          </w:tcPr>
          <w:p>
            <w:r>
              <w:rPr>
                <w:b/>
                <w:bCs/>
                <w:color w:val="FFFFFF"/>
                <w:sz w:val="18"/>
                <w:szCs w:val="18"/>
              </w:rPr>
              <w:t xml:space="preserve">currency</w:t>
            </w:r>
          </w:p>
        </w:tc>
        <w:tc>
          <w:tcPr>
            <w:tcW w:type="dxa" w:w="1600"/>
            <w:shd w:fill="1F4E78" w:val="clear"/>
            <w:tcMar>
              <w:top w:type="dxa" w:w="60"/>
              <w:left w:type="dxa" w:w="80"/>
              <w:bottom w:type="dxa" w:w="60"/>
              <w:right w:type="dxa" w:w="80"/>
            </w:tcMar>
          </w:tcPr>
          <w:p>
            <w:r>
              <w:rPr>
                <w:b/>
                <w:bCs/>
                <w:color w:val="FFFFFF"/>
                <w:sz w:val="18"/>
                <w:szCs w:val="18"/>
              </w:rPr>
              <w:t xml:space="preserve">amountTxCcy (EUR)</w:t>
            </w:r>
          </w:p>
        </w:tc>
        <w:tc>
          <w:tcPr>
            <w:tcW w:type="dxa" w:w="1900"/>
            <w:shd w:fill="1F4E78" w:val="clear"/>
            <w:tcMar>
              <w:top w:type="dxa" w:w="60"/>
              <w:left w:type="dxa" w:w="80"/>
              <w:bottom w:type="dxa" w:w="60"/>
              <w:right w:type="dxa" w:w="80"/>
            </w:tcMar>
          </w:tcPr>
          <w:p>
            <w:r>
              <w:rPr>
                <w:b/>
                <w:bCs/>
                <w:color w:val="FFFFFF"/>
                <w:sz w:val="18"/>
                <w:szCs w:val="18"/>
              </w:rPr>
              <w:t xml:space="preserve">drBuyRate/crBuyRate</w:t>
            </w:r>
          </w:p>
        </w:tc>
        <w:tc>
          <w:tcPr>
            <w:tcW w:type="dxa" w:w="1660"/>
            <w:shd w:fill="1F4E78" w:val="clear"/>
            <w:tcMar>
              <w:top w:type="dxa" w:w="60"/>
              <w:left w:type="dxa" w:w="80"/>
              <w:bottom w:type="dxa" w:w="60"/>
              <w:right w:type="dxa" w:w="80"/>
            </w:tcMar>
          </w:tcPr>
          <w:p>
            <w:r>
              <w:rPr>
                <w:b/>
                <w:bCs/>
                <w:color w:val="FFFFFF"/>
                <w:sz w:val="18"/>
                <w:szCs w:val="18"/>
              </w:rPr>
              <w:t xml:space="preserve">amountAccountCcy</w:t>
            </w:r>
          </w:p>
        </w:tc>
      </w:tr>
      <w:tr>
        <w:tc>
          <w:tcPr>
            <w:tcW w:type="dxa" w:w="2600"/>
            <w:tcMar>
              <w:top w:type="dxa" w:w="50"/>
              <w:left w:type="dxa" w:w="80"/>
              <w:bottom w:type="dxa" w:w="50"/>
              <w:right w:type="dxa" w:w="80"/>
            </w:tcMar>
          </w:tcPr>
          <w:p>
            <w:r>
              <w:rPr>
                <w:sz w:val="18"/>
                <w:szCs w:val="18"/>
              </w:rPr>
              <w:t xml:space="preserve">Cr — seller EUR account</w:t>
            </w:r>
          </w:p>
        </w:tc>
        <w:tc>
          <w:tcPr>
            <w:tcW w:type="dxa" w:w="1400"/>
            <w:tcMar>
              <w:top w:type="dxa" w:w="50"/>
              <w:left w:type="dxa" w:w="80"/>
              <w:bottom w:type="dxa" w:w="50"/>
              <w:right w:type="dxa" w:w="80"/>
            </w:tcMar>
          </w:tcPr>
          <w:p>
            <w:r>
              <w:rPr>
                <w:sz w:val="18"/>
                <w:szCs w:val="18"/>
              </w:rPr>
              <w:t xml:space="preserve">CUSTOMER</w:t>
            </w:r>
          </w:p>
        </w:tc>
        <w:tc>
          <w:tcPr>
            <w:tcW w:type="dxa" w:w="1200"/>
            <w:tcMar>
              <w:top w:type="dxa" w:w="50"/>
              <w:left w:type="dxa" w:w="80"/>
              <w:bottom w:type="dxa" w:w="50"/>
              <w:right w:type="dxa" w:w="80"/>
            </w:tcMar>
          </w:tcPr>
          <w:p>
            <w:r>
              <w:rPr>
                <w:sz w:val="18"/>
                <w:szCs w:val="18"/>
              </w:rPr>
              <w:t xml:space="preserve">EUR</w:t>
            </w:r>
          </w:p>
        </w:tc>
        <w:tc>
          <w:tcPr>
            <w:tcW w:type="dxa" w:w="1600"/>
            <w:tcMar>
              <w:top w:type="dxa" w:w="50"/>
              <w:left w:type="dxa" w:w="80"/>
              <w:bottom w:type="dxa" w:w="50"/>
              <w:right w:type="dxa" w:w="80"/>
            </w:tcMar>
          </w:tcPr>
          <w:p>
            <w:r>
              <w:rPr>
                <w:sz w:val="18"/>
                <w:szCs w:val="18"/>
              </w:rPr>
              <w:t xml:space="preserve">10000</w:t>
            </w:r>
          </w:p>
        </w:tc>
        <w:tc>
          <w:tcPr>
            <w:tcW w:type="dxa" w:w="1900"/>
            <w:tcMar>
              <w:top w:type="dxa" w:w="50"/>
              <w:left w:type="dxa" w:w="80"/>
              <w:bottom w:type="dxa" w:w="50"/>
              <w:right w:type="dxa" w:w="80"/>
            </w:tcMar>
          </w:tcPr>
          <w:p>
            <w:r>
              <w:rPr>
                <w:sz w:val="18"/>
                <w:szCs w:val="18"/>
              </w:rPr>
              <w:t xml:space="preserve">1.0000 (same ccy)</w:t>
            </w:r>
          </w:p>
        </w:tc>
        <w:tc>
          <w:tcPr>
            <w:tcW w:type="dxa" w:w="1660"/>
            <w:tcMar>
              <w:top w:type="dxa" w:w="50"/>
              <w:left w:type="dxa" w:w="80"/>
              <w:bottom w:type="dxa" w:w="50"/>
              <w:right w:type="dxa" w:w="80"/>
            </w:tcMar>
          </w:tcPr>
          <w:p>
            <w:r>
              <w:rPr>
                <w:sz w:val="18"/>
                <w:szCs w:val="18"/>
              </w:rPr>
              <w:t xml:space="preserve">10000 EUR</w:t>
            </w:r>
          </w:p>
        </w:tc>
      </w:tr>
      <w:tr>
        <w:tc>
          <w:tcPr>
            <w:tcW w:type="dxa" w:w="2600"/>
            <w:shd w:fill="F7F9FB" w:val="clear"/>
            <w:tcMar>
              <w:top w:type="dxa" w:w="50"/>
              <w:left w:type="dxa" w:w="80"/>
              <w:bottom w:type="dxa" w:w="50"/>
              <w:right w:type="dxa" w:w="80"/>
            </w:tcMar>
          </w:tcPr>
          <w:p>
            <w:r>
              <w:rPr>
                <w:sz w:val="18"/>
                <w:szCs w:val="18"/>
              </w:rPr>
              <w:t xml:space="preserve">Dr 1 — buyer EUR account</w:t>
            </w:r>
          </w:p>
        </w:tc>
        <w:tc>
          <w:tcPr>
            <w:tcW w:type="dxa" w:w="1400"/>
            <w:shd w:fill="F7F9FB" w:val="clear"/>
            <w:tcMar>
              <w:top w:type="dxa" w:w="50"/>
              <w:left w:type="dxa" w:w="80"/>
              <w:bottom w:type="dxa" w:w="50"/>
              <w:right w:type="dxa" w:w="80"/>
            </w:tcMar>
          </w:tcPr>
          <w:p>
            <w:r>
              <w:rPr>
                <w:sz w:val="18"/>
                <w:szCs w:val="18"/>
              </w:rPr>
              <w:t xml:space="preserve">CUSTOMER</w:t>
            </w:r>
          </w:p>
        </w:tc>
        <w:tc>
          <w:tcPr>
            <w:tcW w:type="dxa" w:w="1200"/>
            <w:shd w:fill="F7F9FB" w:val="clear"/>
            <w:tcMar>
              <w:top w:type="dxa" w:w="50"/>
              <w:left w:type="dxa" w:w="80"/>
              <w:bottom w:type="dxa" w:w="50"/>
              <w:right w:type="dxa" w:w="80"/>
            </w:tcMar>
          </w:tcPr>
          <w:p>
            <w:r>
              <w:rPr>
                <w:sz w:val="18"/>
                <w:szCs w:val="18"/>
              </w:rPr>
              <w:t xml:space="preserve">EUR</w:t>
            </w:r>
          </w:p>
        </w:tc>
        <w:tc>
          <w:tcPr>
            <w:tcW w:type="dxa" w:w="1600"/>
            <w:shd w:fill="F7F9FB" w:val="clear"/>
            <w:tcMar>
              <w:top w:type="dxa" w:w="50"/>
              <w:left w:type="dxa" w:w="80"/>
              <w:bottom w:type="dxa" w:w="50"/>
              <w:right w:type="dxa" w:w="80"/>
            </w:tcMar>
          </w:tcPr>
          <w:p>
            <w:r>
              <w:rPr>
                <w:sz w:val="18"/>
                <w:szCs w:val="18"/>
              </w:rPr>
              <w:t xml:space="preserve">8000</w:t>
            </w:r>
          </w:p>
        </w:tc>
        <w:tc>
          <w:tcPr>
            <w:tcW w:type="dxa" w:w="1900"/>
            <w:shd w:fill="F7F9FB" w:val="clear"/>
            <w:tcMar>
              <w:top w:type="dxa" w:w="50"/>
              <w:left w:type="dxa" w:w="80"/>
              <w:bottom w:type="dxa" w:w="50"/>
              <w:right w:type="dxa" w:w="80"/>
            </w:tcMar>
          </w:tcPr>
          <w:p>
            <w:r>
              <w:rPr>
                <w:sz w:val="18"/>
                <w:szCs w:val="18"/>
              </w:rPr>
              <w:t xml:space="preserve">1.0000 (same ccy)</w:t>
            </w:r>
          </w:p>
        </w:tc>
        <w:tc>
          <w:tcPr>
            <w:tcW w:type="dxa" w:w="1660"/>
            <w:shd w:fill="F7F9FB" w:val="clear"/>
            <w:tcMar>
              <w:top w:type="dxa" w:w="50"/>
              <w:left w:type="dxa" w:w="80"/>
              <w:bottom w:type="dxa" w:w="50"/>
              <w:right w:type="dxa" w:w="80"/>
            </w:tcMar>
          </w:tcPr>
          <w:p>
            <w:r>
              <w:rPr>
                <w:sz w:val="18"/>
                <w:szCs w:val="18"/>
              </w:rPr>
              <w:t xml:space="preserve">8000 EUR</w:t>
            </w:r>
          </w:p>
        </w:tc>
      </w:tr>
      <w:tr>
        <w:tc>
          <w:tcPr>
            <w:tcW w:type="dxa" w:w="2600"/>
            <w:tcMar>
              <w:top w:type="dxa" w:w="50"/>
              <w:left w:type="dxa" w:w="80"/>
              <w:bottom w:type="dxa" w:w="50"/>
              <w:right w:type="dxa" w:w="80"/>
            </w:tcMar>
          </w:tcPr>
          <w:p>
            <w:r>
              <w:rPr>
                <w:sz w:val="18"/>
                <w:szCs w:val="18"/>
              </w:rPr>
              <w:t xml:space="preserve">Dr 2 — buyer USD account</w:t>
            </w:r>
          </w:p>
        </w:tc>
        <w:tc>
          <w:tcPr>
            <w:tcW w:type="dxa" w:w="1400"/>
            <w:tcMar>
              <w:top w:type="dxa" w:w="50"/>
              <w:left w:type="dxa" w:w="80"/>
              <w:bottom w:type="dxa" w:w="50"/>
              <w:right w:type="dxa" w:w="80"/>
            </w:tcMar>
          </w:tcPr>
          <w:p>
            <w:r>
              <w:rPr>
                <w:sz w:val="18"/>
                <w:szCs w:val="18"/>
              </w:rPr>
              <w:t xml:space="preserve">CUSTOMER</w:t>
            </w:r>
          </w:p>
        </w:tc>
        <w:tc>
          <w:tcPr>
            <w:tcW w:type="dxa" w:w="1200"/>
            <w:tcMar>
              <w:top w:type="dxa" w:w="50"/>
              <w:left w:type="dxa" w:w="80"/>
              <w:bottom w:type="dxa" w:w="50"/>
              <w:right w:type="dxa" w:w="80"/>
            </w:tcMar>
          </w:tcPr>
          <w:p>
            <w:r>
              <w:rPr>
                <w:sz w:val="18"/>
                <w:szCs w:val="18"/>
              </w:rPr>
              <w:t xml:space="preserve">USD</w:t>
            </w:r>
          </w:p>
        </w:tc>
        <w:tc>
          <w:tcPr>
            <w:tcW w:type="dxa" w:w="1600"/>
            <w:tcMar>
              <w:top w:type="dxa" w:w="50"/>
              <w:left w:type="dxa" w:w="80"/>
              <w:bottom w:type="dxa" w:w="50"/>
              <w:right w:type="dxa" w:w="80"/>
            </w:tcMar>
          </w:tcPr>
          <w:p>
            <w:r>
              <w:rPr>
                <w:sz w:val="18"/>
                <w:szCs w:val="18"/>
              </w:rPr>
              <w:t xml:space="preserve">2000</w:t>
            </w:r>
          </w:p>
        </w:tc>
        <w:tc>
          <w:tcPr>
            <w:tcW w:type="dxa" w:w="1900"/>
            <w:tcMar>
              <w:top w:type="dxa" w:w="50"/>
              <w:left w:type="dxa" w:w="80"/>
              <w:bottom w:type="dxa" w:w="50"/>
              <w:right w:type="dxa" w:w="80"/>
            </w:tcMar>
          </w:tcPr>
          <w:p>
            <w:r>
              <w:rPr>
                <w:sz w:val="18"/>
                <w:szCs w:val="18"/>
              </w:rPr>
              <w:t xml:space="preserve">1.0800 (EUR→USD)</w:t>
            </w:r>
          </w:p>
        </w:tc>
        <w:tc>
          <w:tcPr>
            <w:tcW w:type="dxa" w:w="1660"/>
            <w:tcMar>
              <w:top w:type="dxa" w:w="50"/>
              <w:left w:type="dxa" w:w="80"/>
              <w:bottom w:type="dxa" w:w="50"/>
              <w:right w:type="dxa" w:w="80"/>
            </w:tcMar>
          </w:tcPr>
          <w:p>
            <w:r>
              <w:rPr>
                <w:sz w:val="18"/>
                <w:szCs w:val="18"/>
              </w:rPr>
              <w:t xml:space="preserve">2160 USD  (= 2000 × 1.0800, §8.2)</w:t>
            </w:r>
          </w:p>
        </w:tc>
      </w:tr>
    </w:tbl>
    <w:p>
      <w:pPr>
        <w:spacing w:after="140"/>
      </w:pPr>
    </w:p>
    <w:p>
      <w:pPr>
        <w:spacing w:after="160"/>
      </w:pPr>
      <w:r>
        <w:t xml:space="preserve">Applying §3's balance validation:</w:t>
      </w:r>
    </w:p>
    <w:p>
      <w:pPr>
        <w:shd w:fill="F2F2F2" w:val="clear"/>
        <w:spacing w:after="0"/>
      </w:pPr>
      <w:r>
        <w:rPr>
          <w:rFonts w:ascii="Consolas" w:cs="Consolas" w:eastAsia="Consolas" w:hAnsi="Consolas"/>
          <w:sz w:val="15"/>
          <w:szCs w:val="15"/>
        </w:rPr>
        <w:t xml:space="preserve">Σ debitLegs[].amountTxCcy  = 8000 + 2000 = 10000   ≤  CPYT_DR_TTL_AMT_TTLCCY (10000)  →  PASS (V1)</w:t>
      </w:r>
    </w:p>
    <w:p>
      <w:pPr>
        <w:shd w:fill="F2F2F2" w:val="clear"/>
        <w:spacing w:after="0"/>
      </w:pPr>
      <w:r>
        <w:rPr>
          <w:rFonts w:ascii="Consolas" w:cs="Consolas" w:eastAsia="Consolas" w:hAnsi="Consolas"/>
          <w:sz w:val="15"/>
          <w:szCs w:val="15"/>
        </w:rPr>
        <w:t xml:space="preserve">Σ creditLegs[].amountTxCcy = 10000                 ≤  CPYT_CR_TTL_AMT_TTLCCY (10000)  →  PASS (V2)</w:t>
      </w:r>
    </w:p>
    <w:p>
      <w:pPr>
        <w:spacing w:after="140"/>
      </w:pPr>
    </w:p>
    <w:p>
      <w:pPr>
        <w:spacing w:after="160"/>
      </w:pPr>
      <w:r>
        <w:t xml:space="preserve">Applying §4's classification: all three legs are AccountType CUSTOMER — so Dr_has(CUSTOMER)=true, Cr_has(CUSTOMER)=true, customerXor=false; NOSTRO/VOSTRO are both absent from every leg, so those XOR terms are false too. paymentComponentRelated = FALSE for this specific example. This is worth calling out explicitly: whether a transaction is in Payment Component scope depends entirely on AccountType composition, not on currency count or leg count — a single-currency, single-leg NOSTRO/CUSTOMER pair would be in scope while this richer multi-currency, multi-leg, all-CUSTOMER example is not.</w:t>
      </w:r>
    </w:p>
    <w:p>
      <w:pPr>
        <w:pBdr>
          <w:left w:val="single" w:color="1F4E78" w:sz="12" w:space="8"/>
        </w:pBdr>
        <w:spacing w:after="200"/>
        <w:ind w:left="120"/>
      </w:pPr>
      <w:r>
        <w:rPr>
          <w:i/>
          <w:iCs/>
          <w:color w:val="444444"/>
          <w:sz w:val="20"/>
          <w:szCs w:val="20"/>
        </w:rPr>
        <w:t xml:space="preserve">Gap this example exposes (strengthens §12.1): V1 and V2 each independently check their own side against its own target total (CPYT_DR_TTL_AMT_TTLCCY / CPYT_CR_TTL_AMT_TTLCCY) — nothing in the traced source directly compares the two totals to each other. In the original screens this was safe because both fields were populated from one shared "instructed amount" field on the same screen. POST /payment-instructions accepts debitLegs[] and creditLegs[] as two independent arrays with no shared total field, so this document recommends adding an explicit V8 validation: Σ debitLegs[].amountTxCcy == Σ creditLegs[].amountTxCcy (exact equality, not just independently-bounded) — otherwise a caller could submit two internally-valid but mutually-inconsistent totals (e.g. debit legs summing to 9,999 against credit legs summing to 10,000) and neither V1 nor V2 alone would catch it.</w:t>
      </w:r>
    </w:p>
    <w:p>
      <w:pPr>
        <w:pStyle w:val="Heading1"/>
        <w:spacing w:after="160" w:before="320"/>
      </w:pPr>
      <w:r>
        <w:t xml:space="preserve">9. Consolidated Validation Rule Table</w:t>
      </w:r>
    </w:p>
    <w:p>
      <w:pPr>
        <w:spacing w:after="160"/>
      </w:pPr>
      <w:r>
        <w:t xml:space="preserve">All validation rules traced in this document, in one place for implementation reference.</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3200"/>
        <w:gridCol w:w="1560"/>
        <w:gridCol w:w="1300"/>
      </w:tblGrid>
      <w:tr>
        <w:trPr>
          <w:tblHeader/>
        </w:trPr>
        <w:tc>
          <w:tcPr>
            <w:tcW w:type="dxa" w:w="500"/>
            <w:shd w:fill="1F4E78" w:val="clear"/>
            <w:tcMar>
              <w:top w:type="dxa" w:w="60"/>
              <w:left w:type="dxa" w:w="80"/>
              <w:bottom w:type="dxa" w:w="60"/>
              <w:right w:type="dxa" w:w="80"/>
            </w:tcMar>
          </w:tcPr>
          <w:p>
            <w:r>
              <w:rPr>
                <w:b/>
                <w:bCs/>
                <w:color w:val="FFFFFF"/>
                <w:sz w:val="18"/>
                <w:szCs w:val="18"/>
              </w:rPr>
              <w:t xml:space="preserve">ID</w:t>
            </w:r>
          </w:p>
        </w:tc>
        <w:tc>
          <w:tcPr>
            <w:tcW w:type="dxa" w:w="3200"/>
            <w:shd w:fill="1F4E78" w:val="clear"/>
            <w:tcMar>
              <w:top w:type="dxa" w:w="60"/>
              <w:left w:type="dxa" w:w="80"/>
              <w:bottom w:type="dxa" w:w="60"/>
              <w:right w:type="dxa" w:w="80"/>
            </w:tcMar>
          </w:tcPr>
          <w:p>
            <w:r>
              <w:rPr>
                <w:b/>
                <w:bCs/>
                <w:color w:val="FFFFFF"/>
                <w:sz w:val="18"/>
                <w:szCs w:val="18"/>
              </w:rPr>
              <w:t xml:space="preserve">Rule</w:t>
            </w:r>
          </w:p>
        </w:tc>
        <w:tc>
          <w:tcPr>
            <w:tcW w:type="dxa" w:w="3200"/>
            <w:shd w:fill="1F4E78" w:val="clear"/>
            <w:tcMar>
              <w:top w:type="dxa" w:w="60"/>
              <w:left w:type="dxa" w:w="80"/>
              <w:bottom w:type="dxa" w:w="60"/>
              <w:right w:type="dxa" w:w="80"/>
            </w:tcMar>
          </w:tcPr>
          <w:p>
            <w:r>
              <w:rPr>
                <w:b/>
                <w:bCs/>
                <w:color w:val="FFFFFF"/>
                <w:sz w:val="18"/>
                <w:szCs w:val="18"/>
              </w:rPr>
              <w:t xml:space="preserve">Source</w:t>
            </w:r>
          </w:p>
        </w:tc>
        <w:tc>
          <w:tcPr>
            <w:tcW w:type="dxa" w:w="1560"/>
            <w:shd w:fill="1F4E78" w:val="clear"/>
            <w:tcMar>
              <w:top w:type="dxa" w:w="60"/>
              <w:left w:type="dxa" w:w="80"/>
              <w:bottom w:type="dxa" w:w="60"/>
              <w:right w:type="dxa" w:w="80"/>
            </w:tcMar>
          </w:tcPr>
          <w:p>
            <w:r>
              <w:rPr>
                <w:b/>
                <w:bCs/>
                <w:color w:val="FFFFFF"/>
                <w:sz w:val="18"/>
                <w:szCs w:val="18"/>
              </w:rPr>
              <w:t xml:space="preserve">OAS Response</w:t>
            </w:r>
          </w:p>
        </w:tc>
        <w:tc>
          <w:tcPr>
            <w:tcW w:type="dxa" w:w="1300"/>
            <w:shd w:fill="1F4E78" w:val="clear"/>
            <w:tcMar>
              <w:top w:type="dxa" w:w="60"/>
              <w:left w:type="dxa" w:w="80"/>
              <w:bottom w:type="dxa" w:w="60"/>
              <w:right w:type="dxa" w:w="80"/>
            </w:tcMar>
          </w:tcPr>
          <w:p>
            <w:r>
              <w:rPr>
                <w:b/>
                <w:bCs/>
                <w:color w:val="FFFFFF"/>
                <w:sz w:val="18"/>
                <w:szCs w:val="18"/>
              </w:rPr>
              <w:t xml:space="preserve">Detail</w:t>
            </w:r>
          </w:p>
        </w:tc>
      </w:tr>
      <w:tr>
        <w:tc>
          <w:tcPr>
            <w:tcW w:type="dxa" w:w="500"/>
            <w:tcMar>
              <w:top w:type="dxa" w:w="50"/>
              <w:left w:type="dxa" w:w="80"/>
              <w:bottom w:type="dxa" w:w="50"/>
              <w:right w:type="dxa" w:w="80"/>
            </w:tcMar>
          </w:tcPr>
          <w:p>
            <w:r>
              <w:rPr>
                <w:sz w:val="18"/>
                <w:szCs w:val="18"/>
              </w:rPr>
              <w:t xml:space="preserve">V1</w:t>
            </w:r>
          </w:p>
        </w:tc>
        <w:tc>
          <w:tcPr>
            <w:tcW w:type="dxa" w:w="3200"/>
            <w:tcMar>
              <w:top w:type="dxa" w:w="50"/>
              <w:left w:type="dxa" w:w="80"/>
              <w:bottom w:type="dxa" w:w="50"/>
              <w:right w:type="dxa" w:w="80"/>
            </w:tcMar>
          </w:tcPr>
          <w:p>
            <w:r>
              <w:rPr>
                <w:sz w:val="18"/>
                <w:szCs w:val="18"/>
              </w:rPr>
              <w:t xml:space="preserve">Debit leg sum ≤ target total (±0.01 RPFM tolerance)</w:t>
            </w:r>
          </w:p>
        </w:tc>
        <w:tc>
          <w:tcPr>
            <w:tcW w:type="dxa" w:w="3200"/>
            <w:tcMar>
              <w:top w:type="dxa" w:w="50"/>
              <w:left w:type="dxa" w:w="80"/>
              <w:bottom w:type="dxa" w:w="50"/>
              <w:right w:type="dxa" w:w="80"/>
            </w:tcMar>
          </w:tcPr>
          <w:p>
            <w:r>
              <w:rPr>
                <w:sz w:val="18"/>
                <w:szCs w:val="18"/>
              </w:rPr>
              <w:t xml:space="preserve">Debit_Chk_Total_Pct() — SSSS_PaymentDebit.js:347-390</w:t>
            </w:r>
          </w:p>
        </w:tc>
        <w:tc>
          <w:tcPr>
            <w:tcW w:type="dxa" w:w="1560"/>
            <w:tcMar>
              <w:top w:type="dxa" w:w="50"/>
              <w:left w:type="dxa" w:w="80"/>
              <w:bottom w:type="dxa" w:w="50"/>
              <w:right w:type="dxa" w:w="80"/>
            </w:tcMar>
          </w:tcPr>
          <w:p>
            <w:r>
              <w:rPr>
                <w:sz w:val="18"/>
                <w:szCs w:val="18"/>
              </w:rPr>
              <w:t xml:space="preserve">409</w:t>
            </w:r>
          </w:p>
        </w:tc>
        <w:tc>
          <w:tcPr>
            <w:tcW w:type="dxa" w:w="1300"/>
            <w:tcMar>
              <w:top w:type="dxa" w:w="50"/>
              <w:left w:type="dxa" w:w="80"/>
              <w:bottom w:type="dxa" w:w="50"/>
              <w:right w:type="dxa" w:w="80"/>
            </w:tcMar>
          </w:tcPr>
          <w:p>
            <w:r>
              <w:rPr>
                <w:sz w:val="18"/>
                <w:szCs w:val="18"/>
              </w:rPr>
              <w:t xml:space="preserve">§3.1</w:t>
            </w:r>
          </w:p>
        </w:tc>
      </w:tr>
      <w:tr>
        <w:tc>
          <w:tcPr>
            <w:tcW w:type="dxa" w:w="500"/>
            <w:shd w:fill="F7F9FB" w:val="clear"/>
            <w:tcMar>
              <w:top w:type="dxa" w:w="50"/>
              <w:left w:type="dxa" w:w="80"/>
              <w:bottom w:type="dxa" w:w="50"/>
              <w:right w:type="dxa" w:w="80"/>
            </w:tcMar>
          </w:tcPr>
          <w:p>
            <w:r>
              <w:rPr>
                <w:sz w:val="18"/>
                <w:szCs w:val="18"/>
              </w:rPr>
              <w:t xml:space="preserve">V2</w:t>
            </w:r>
          </w:p>
        </w:tc>
        <w:tc>
          <w:tcPr>
            <w:tcW w:type="dxa" w:w="3200"/>
            <w:shd w:fill="F7F9FB" w:val="clear"/>
            <w:tcMar>
              <w:top w:type="dxa" w:w="50"/>
              <w:left w:type="dxa" w:w="80"/>
              <w:bottom w:type="dxa" w:w="50"/>
              <w:right w:type="dxa" w:w="80"/>
            </w:tcMar>
          </w:tcPr>
          <w:p>
            <w:r>
              <w:rPr>
                <w:sz w:val="18"/>
                <w:szCs w:val="18"/>
              </w:rPr>
              <w:t xml:space="preserve">Credit leg sum ≤ target total (±0.02 CFNC / ±0.01 RPFM tolerance)</w:t>
            </w:r>
          </w:p>
        </w:tc>
        <w:tc>
          <w:tcPr>
            <w:tcW w:type="dxa" w:w="3200"/>
            <w:shd w:fill="F7F9FB" w:val="clear"/>
            <w:tcMar>
              <w:top w:type="dxa" w:w="50"/>
              <w:left w:type="dxa" w:w="80"/>
              <w:bottom w:type="dxa" w:w="50"/>
              <w:right w:type="dxa" w:w="80"/>
            </w:tcMar>
          </w:tcPr>
          <w:p>
            <w:r>
              <w:rPr>
                <w:sz w:val="18"/>
                <w:szCs w:val="18"/>
              </w:rPr>
              <w:t xml:space="preserve">CHK_Total_Pct() — SSSS_PaymentCredit.js:164-210</w:t>
            </w:r>
          </w:p>
        </w:tc>
        <w:tc>
          <w:tcPr>
            <w:tcW w:type="dxa" w:w="1560"/>
            <w:shd w:fill="F7F9FB" w:val="clear"/>
            <w:tcMar>
              <w:top w:type="dxa" w:w="50"/>
              <w:left w:type="dxa" w:w="80"/>
              <w:bottom w:type="dxa" w:w="50"/>
              <w:right w:type="dxa" w:w="80"/>
            </w:tcMar>
          </w:tcPr>
          <w:p>
            <w:r>
              <w:rPr>
                <w:sz w:val="18"/>
                <w:szCs w:val="18"/>
              </w:rPr>
              <w:t xml:space="preserve">409</w:t>
            </w:r>
          </w:p>
        </w:tc>
        <w:tc>
          <w:tcPr>
            <w:tcW w:type="dxa" w:w="1300"/>
            <w:shd w:fill="F7F9FB" w:val="clear"/>
            <w:tcMar>
              <w:top w:type="dxa" w:w="50"/>
              <w:left w:type="dxa" w:w="80"/>
              <w:bottom w:type="dxa" w:w="50"/>
              <w:right w:type="dxa" w:w="80"/>
            </w:tcMar>
          </w:tcPr>
          <w:p>
            <w:r>
              <w:rPr>
                <w:sz w:val="18"/>
                <w:szCs w:val="18"/>
              </w:rPr>
              <w:t xml:space="preserve">§3.2</w:t>
            </w:r>
          </w:p>
        </w:tc>
      </w:tr>
      <w:tr>
        <w:tc>
          <w:tcPr>
            <w:tcW w:type="dxa" w:w="500"/>
            <w:tcMar>
              <w:top w:type="dxa" w:w="50"/>
              <w:left w:type="dxa" w:w="80"/>
              <w:bottom w:type="dxa" w:w="50"/>
              <w:right w:type="dxa" w:w="80"/>
            </w:tcMar>
          </w:tcPr>
          <w:p>
            <w:r>
              <w:rPr>
                <w:sz w:val="18"/>
                <w:szCs w:val="18"/>
              </w:rPr>
              <w:t xml:space="preserve">V3</w:t>
            </w:r>
          </w:p>
        </w:tc>
        <w:tc>
          <w:tcPr>
            <w:tcW w:type="dxa" w:w="3200"/>
            <w:tcMar>
              <w:top w:type="dxa" w:w="50"/>
              <w:left w:type="dxa" w:w="80"/>
              <w:bottom w:type="dxa" w:w="50"/>
              <w:right w:type="dxa" w:w="80"/>
            </w:tcMar>
          </w:tcPr>
          <w:p>
            <w:r>
              <w:rPr>
                <w:sz w:val="18"/>
                <w:szCs w:val="18"/>
              </w:rPr>
              <w:t xml:space="preserve">AccountType must be one of the enum values (RTGS scoped to RPFM only)</w:t>
            </w:r>
          </w:p>
        </w:tc>
        <w:tc>
          <w:tcPr>
            <w:tcW w:type="dxa" w:w="3200"/>
            <w:tcMar>
              <w:top w:type="dxa" w:w="50"/>
              <w:left w:type="dxa" w:w="80"/>
              <w:bottom w:type="dxa" w:w="50"/>
              <w:right w:type="dxa" w:w="80"/>
            </w:tcMar>
          </w:tcPr>
          <w:p>
            <w:r>
              <w:rPr>
                <w:sz w:val="18"/>
                <w:szCs w:val="18"/>
              </w:rPr>
              <w:t xml:space="preserve">AccountType enum, OAS v1.1.0/v1.2.0</w:t>
            </w:r>
          </w:p>
        </w:tc>
        <w:tc>
          <w:tcPr>
            <w:tcW w:type="dxa" w:w="1560"/>
            <w:tcMar>
              <w:top w:type="dxa" w:w="50"/>
              <w:left w:type="dxa" w:w="80"/>
              <w:bottom w:type="dxa" w:w="50"/>
              <w:right w:type="dxa" w:w="80"/>
            </w:tcMar>
          </w:tcPr>
          <w:p>
            <w:r>
              <w:rPr>
                <w:sz w:val="18"/>
                <w:szCs w:val="18"/>
              </w:rPr>
              <w:t xml:space="preserve">400</w:t>
            </w:r>
          </w:p>
        </w:tc>
        <w:tc>
          <w:tcPr>
            <w:tcW w:type="dxa" w:w="1300"/>
            <w:tcMar>
              <w:top w:type="dxa" w:w="50"/>
              <w:left w:type="dxa" w:w="80"/>
              <w:bottom w:type="dxa" w:w="50"/>
              <w:right w:type="dxa" w:w="80"/>
            </w:tcMar>
          </w:tcPr>
          <w:p>
            <w:r>
              <w:rPr>
                <w:sz w:val="18"/>
                <w:szCs w:val="18"/>
              </w:rPr>
              <w:t xml:space="preserve">Payment_Mapping_Functions.docx §5.1</w:t>
            </w:r>
          </w:p>
        </w:tc>
      </w:tr>
      <w:tr>
        <w:tc>
          <w:tcPr>
            <w:tcW w:type="dxa" w:w="500"/>
            <w:shd w:fill="F7F9FB" w:val="clear"/>
            <w:tcMar>
              <w:top w:type="dxa" w:w="50"/>
              <w:left w:type="dxa" w:w="80"/>
              <w:bottom w:type="dxa" w:w="50"/>
              <w:right w:type="dxa" w:w="80"/>
            </w:tcMar>
          </w:tcPr>
          <w:p>
            <w:r>
              <w:rPr>
                <w:sz w:val="18"/>
                <w:szCs w:val="18"/>
              </w:rPr>
              <w:t xml:space="preserve">V4</w:t>
            </w:r>
          </w:p>
        </w:tc>
        <w:tc>
          <w:tcPr>
            <w:tcW w:type="dxa" w:w="3200"/>
            <w:shd w:fill="F7F9FB" w:val="clear"/>
            <w:tcMar>
              <w:top w:type="dxa" w:w="50"/>
              <w:left w:type="dxa" w:w="80"/>
              <w:bottom w:type="dxa" w:w="50"/>
              <w:right w:type="dxa" w:w="80"/>
            </w:tcMar>
          </w:tcPr>
          <w:p>
            <w:r>
              <w:rPr>
                <w:sz w:val="18"/>
                <w:szCs w:val="18"/>
              </w:rPr>
              <w:t xml:space="preserve">payCoverMsgType ∈ {MT202COV, PACS009COV} ⟹ payAdviceMsgType ∈ {MT103, PACS008}</w:t>
            </w:r>
          </w:p>
        </w:tc>
        <w:tc>
          <w:tcPr>
            <w:tcW w:type="dxa" w:w="3200"/>
            <w:shd w:fill="F7F9FB" w:val="clear"/>
            <w:tcMar>
              <w:top w:type="dxa" w:w="50"/>
              <w:left w:type="dxa" w:w="80"/>
              <w:bottom w:type="dxa" w:w="50"/>
              <w:right w:type="dxa" w:w="80"/>
            </w:tcMar>
          </w:tcPr>
          <w:p>
            <w:r>
              <w:rPr>
                <w:sz w:val="18"/>
                <w:szCs w:val="18"/>
              </w:rPr>
              <w:t xml:space="preserve">CPYT_PAY_ADV_MSG()/CPYT_PAY_COV_MSG() — SSSS_PaymentCredit.js:344-400</w:t>
            </w:r>
          </w:p>
        </w:tc>
        <w:tc>
          <w:tcPr>
            <w:tcW w:type="dxa" w:w="1560"/>
            <w:shd w:fill="F7F9FB" w:val="clear"/>
            <w:tcMar>
              <w:top w:type="dxa" w:w="50"/>
              <w:left w:type="dxa" w:w="80"/>
              <w:bottom w:type="dxa" w:w="50"/>
              <w:right w:type="dxa" w:w="80"/>
            </w:tcMar>
          </w:tcPr>
          <w:p>
            <w:r>
              <w:rPr>
                <w:sz w:val="18"/>
                <w:szCs w:val="18"/>
              </w:rPr>
              <w:t xml:space="preserve">409 (recommended; not yet explicit in OAS)</w:t>
            </w:r>
          </w:p>
        </w:tc>
        <w:tc>
          <w:tcPr>
            <w:tcW w:type="dxa" w:w="1300"/>
            <w:shd w:fill="F7F9FB" w:val="clear"/>
            <w:tcMar>
              <w:top w:type="dxa" w:w="50"/>
              <w:left w:type="dxa" w:w="80"/>
              <w:bottom w:type="dxa" w:w="50"/>
              <w:right w:type="dxa" w:w="80"/>
            </w:tcMar>
          </w:tcPr>
          <w:p>
            <w:r>
              <w:rPr>
                <w:sz w:val="18"/>
                <w:szCs w:val="18"/>
              </w:rPr>
              <w:t xml:space="preserve">§7</w:t>
            </w:r>
          </w:p>
        </w:tc>
      </w:tr>
      <w:tr>
        <w:tc>
          <w:tcPr>
            <w:tcW w:type="dxa" w:w="500"/>
            <w:tcMar>
              <w:top w:type="dxa" w:w="50"/>
              <w:left w:type="dxa" w:w="80"/>
              <w:bottom w:type="dxa" w:w="50"/>
              <w:right w:type="dxa" w:w="80"/>
            </w:tcMar>
          </w:tcPr>
          <w:p>
            <w:r>
              <w:rPr>
                <w:sz w:val="18"/>
                <w:szCs w:val="18"/>
              </w:rPr>
              <w:t xml:space="preserve">V5</w:t>
            </w:r>
          </w:p>
        </w:tc>
        <w:tc>
          <w:tcPr>
            <w:tcW w:type="dxa" w:w="3200"/>
            <w:tcMar>
              <w:top w:type="dxa" w:w="50"/>
              <w:left w:type="dxa" w:w="80"/>
              <w:bottom w:type="dxa" w:w="50"/>
              <w:right w:type="dxa" w:w="80"/>
            </w:tcMar>
          </w:tcPr>
          <w:p>
            <w:r>
              <w:rPr>
                <w:sz w:val="18"/>
                <w:szCs w:val="18"/>
              </w:rPr>
              <w:t xml:space="preserve">originModule + mainRef + sequence uniqueness (idempotency key)</w:t>
            </w:r>
          </w:p>
        </w:tc>
        <w:tc>
          <w:tcPr>
            <w:tcW w:type="dxa" w:w="3200"/>
            <w:tcMar>
              <w:top w:type="dxa" w:w="50"/>
              <w:left w:type="dxa" w:w="80"/>
              <w:bottom w:type="dxa" w:w="50"/>
              <w:right w:type="dxa" w:w="80"/>
            </w:tcMar>
          </w:tcPr>
          <w:p>
            <w:r>
              <w:rPr>
                <w:sz w:val="18"/>
                <w:szCs w:val="18"/>
              </w:rPr>
              <w:t xml:space="preserve">OAS design, Rev. 2 / v1.2.0</w:t>
            </w:r>
          </w:p>
        </w:tc>
        <w:tc>
          <w:tcPr>
            <w:tcW w:type="dxa" w:w="1560"/>
            <w:tcMar>
              <w:top w:type="dxa" w:w="50"/>
              <w:left w:type="dxa" w:w="80"/>
              <w:bottom w:type="dxa" w:w="50"/>
              <w:right w:type="dxa" w:w="80"/>
            </w:tcMar>
          </w:tcPr>
          <w:p>
            <w:r>
              <w:rPr>
                <w:sz w:val="18"/>
                <w:szCs w:val="18"/>
              </w:rPr>
              <w:t xml:space="preserve">200 (existing result) vs 201 (new)</w:t>
            </w:r>
          </w:p>
        </w:tc>
        <w:tc>
          <w:tcPr>
            <w:tcW w:type="dxa" w:w="1300"/>
            <w:tcMar>
              <w:top w:type="dxa" w:w="50"/>
              <w:left w:type="dxa" w:w="80"/>
              <w:bottom w:type="dxa" w:w="50"/>
              <w:right w:type="dxa" w:w="80"/>
            </w:tcMar>
          </w:tcPr>
          <w:p>
            <w:r>
              <w:rPr>
                <w:sz w:val="18"/>
                <w:szCs w:val="18"/>
              </w:rPr>
              <w:t xml:space="preserve">FSD §6.1</w:t>
            </w:r>
          </w:p>
        </w:tc>
      </w:tr>
      <w:tr>
        <w:tc>
          <w:tcPr>
            <w:tcW w:type="dxa" w:w="500"/>
            <w:shd w:fill="F7F9FB" w:val="clear"/>
            <w:tcMar>
              <w:top w:type="dxa" w:w="50"/>
              <w:left w:type="dxa" w:w="80"/>
              <w:bottom w:type="dxa" w:w="50"/>
              <w:right w:type="dxa" w:w="80"/>
            </w:tcMar>
          </w:tcPr>
          <w:p>
            <w:r>
              <w:rPr>
                <w:sz w:val="18"/>
                <w:szCs w:val="18"/>
              </w:rPr>
              <w:t xml:space="preserve">V6</w:t>
            </w:r>
          </w:p>
        </w:tc>
        <w:tc>
          <w:tcPr>
            <w:tcW w:type="dxa" w:w="3200"/>
            <w:shd w:fill="F7F9FB" w:val="clear"/>
            <w:tcMar>
              <w:top w:type="dxa" w:w="50"/>
              <w:left w:type="dxa" w:w="80"/>
              <w:bottom w:type="dxa" w:w="50"/>
              <w:right w:type="dxa" w:w="80"/>
            </w:tcMar>
          </w:tcPr>
          <w:p>
            <w:r>
              <w:rPr>
                <w:sz w:val="18"/>
                <w:szCs w:val="18"/>
              </w:rPr>
              <w:t xml:space="preserve">Monetary amounts and rates must be exact decimal strings, not binary float</w:t>
            </w:r>
          </w:p>
        </w:tc>
        <w:tc>
          <w:tcPr>
            <w:tcW w:type="dxa" w:w="3200"/>
            <w:shd w:fill="F7F9FB" w:val="clear"/>
            <w:tcMar>
              <w:top w:type="dxa" w:w="50"/>
              <w:left w:type="dxa" w:w="80"/>
              <w:bottom w:type="dxa" w:w="50"/>
              <w:right w:type="dxa" w:w="80"/>
            </w:tcMar>
          </w:tcPr>
          <w:p>
            <w:r>
              <w:rPr>
                <w:sz w:val="18"/>
                <w:szCs w:val="18"/>
              </w:rPr>
              <w:t xml:space="preserve">MonetaryAmount / ExchangeRate patterns, v1.2.0</w:t>
            </w:r>
          </w:p>
        </w:tc>
        <w:tc>
          <w:tcPr>
            <w:tcW w:type="dxa" w:w="1560"/>
            <w:shd w:fill="F7F9FB" w:val="clear"/>
            <w:tcMar>
              <w:top w:type="dxa" w:w="50"/>
              <w:left w:type="dxa" w:w="80"/>
              <w:bottom w:type="dxa" w:w="50"/>
              <w:right w:type="dxa" w:w="80"/>
            </w:tcMar>
          </w:tcPr>
          <w:p>
            <w:r>
              <w:rPr>
                <w:sz w:val="18"/>
                <w:szCs w:val="18"/>
              </w:rPr>
              <w:t xml:space="preserve">400 on pattern mismatch</w:t>
            </w:r>
          </w:p>
        </w:tc>
        <w:tc>
          <w:tcPr>
            <w:tcW w:type="dxa" w:w="1300"/>
            <w:shd w:fill="F7F9FB" w:val="clear"/>
            <w:tcMar>
              <w:top w:type="dxa" w:w="50"/>
              <w:left w:type="dxa" w:w="80"/>
              <w:bottom w:type="dxa" w:w="50"/>
              <w:right w:type="dxa" w:w="80"/>
            </w:tcMar>
          </w:tcPr>
          <w:p>
            <w:r>
              <w:rPr>
                <w:sz w:val="18"/>
                <w:szCs w:val="18"/>
              </w:rPr>
              <w:t xml:space="preserve">FSD Appendix A</w:t>
            </w:r>
          </w:p>
        </w:tc>
      </w:tr>
      <w:tr>
        <w:tc>
          <w:tcPr>
            <w:tcW w:type="dxa" w:w="500"/>
            <w:tcMar>
              <w:top w:type="dxa" w:w="50"/>
              <w:left w:type="dxa" w:w="80"/>
              <w:bottom w:type="dxa" w:w="50"/>
              <w:right w:type="dxa" w:w="80"/>
            </w:tcMar>
          </w:tcPr>
          <w:p>
            <w:r>
              <w:rPr>
                <w:sz w:val="18"/>
                <w:szCs w:val="18"/>
              </w:rPr>
              <w:t xml:space="preserve">V7</w:t>
            </w:r>
          </w:p>
        </w:tc>
        <w:tc>
          <w:tcPr>
            <w:tcW w:type="dxa" w:w="3200"/>
            <w:tcMar>
              <w:top w:type="dxa" w:w="50"/>
              <w:left w:type="dxa" w:w="80"/>
              <w:bottom w:type="dxa" w:w="50"/>
              <w:right w:type="dxa" w:w="80"/>
            </w:tcMar>
          </w:tcPr>
          <w:p>
            <w:r>
              <w:rPr>
                <w:sz w:val="18"/>
                <w:szCs w:val="18"/>
              </w:rPr>
              <w:t xml:space="preserve">debitLegs[] and creditLegs[] each require ≥ 1 item; each leg requires accountNo, accountType, currency, amountTxCcy</w:t>
            </w:r>
          </w:p>
        </w:tc>
        <w:tc>
          <w:tcPr>
            <w:tcW w:type="dxa" w:w="3200"/>
            <w:tcMar>
              <w:top w:type="dxa" w:w="50"/>
              <w:left w:type="dxa" w:w="80"/>
              <w:bottom w:type="dxa" w:w="50"/>
              <w:right w:type="dxa" w:w="80"/>
            </w:tcMar>
          </w:tcPr>
          <w:p>
            <w:r>
              <w:rPr>
                <w:sz w:val="18"/>
                <w:szCs w:val="18"/>
              </w:rPr>
              <w:t xml:space="preserve">PaymentLegInput.required, OAS</w:t>
            </w:r>
          </w:p>
        </w:tc>
        <w:tc>
          <w:tcPr>
            <w:tcW w:type="dxa" w:w="1560"/>
            <w:tcMar>
              <w:top w:type="dxa" w:w="50"/>
              <w:left w:type="dxa" w:w="80"/>
              <w:bottom w:type="dxa" w:w="50"/>
              <w:right w:type="dxa" w:w="80"/>
            </w:tcMar>
          </w:tcPr>
          <w:p>
            <w:r>
              <w:rPr>
                <w:sz w:val="18"/>
                <w:szCs w:val="18"/>
              </w:rPr>
              <w:t xml:space="preserve">400</w:t>
            </w:r>
          </w:p>
        </w:tc>
        <w:tc>
          <w:tcPr>
            <w:tcW w:type="dxa" w:w="1300"/>
            <w:tcMar>
              <w:top w:type="dxa" w:w="50"/>
              <w:left w:type="dxa" w:w="80"/>
              <w:bottom w:type="dxa" w:w="50"/>
              <w:right w:type="dxa" w:w="80"/>
            </w:tcMar>
          </w:tcPr>
          <w:p>
            <w:r>
              <w:rPr>
                <w:sz w:val="18"/>
                <w:szCs w:val="18"/>
              </w:rPr>
              <w:t xml:space="preserve">payment-instructions-post.yaml</w:t>
            </w:r>
          </w:p>
        </w:tc>
      </w:tr>
      <w:tr>
        <w:tc>
          <w:tcPr>
            <w:tcW w:type="dxa" w:w="500"/>
            <w:shd w:fill="F7F9FB" w:val="clear"/>
            <w:tcMar>
              <w:top w:type="dxa" w:w="50"/>
              <w:left w:type="dxa" w:w="80"/>
              <w:bottom w:type="dxa" w:w="50"/>
              <w:right w:type="dxa" w:w="80"/>
            </w:tcMar>
          </w:tcPr>
          <w:p>
            <w:r>
              <w:rPr>
                <w:sz w:val="18"/>
                <w:szCs w:val="18"/>
              </w:rPr>
              <w:t xml:space="preserve">V8</w:t>
            </w:r>
          </w:p>
        </w:tc>
        <w:tc>
          <w:tcPr>
            <w:tcW w:type="dxa" w:w="3200"/>
            <w:shd w:fill="F7F9FB" w:val="clear"/>
            <w:tcMar>
              <w:top w:type="dxa" w:w="50"/>
              <w:left w:type="dxa" w:w="80"/>
              <w:bottom w:type="dxa" w:w="50"/>
              <w:right w:type="dxa" w:w="80"/>
            </w:tcMar>
          </w:tcPr>
          <w:p>
            <w:r>
              <w:rPr>
                <w:sz w:val="18"/>
                <w:szCs w:val="18"/>
              </w:rPr>
              <w:t xml:space="preserve">RECOMMENDED, not yet in OAS: Σ debitLegs[].amountTxCcy == Σ creditLegs[].amountTxCcy (exact)</w:t>
            </w:r>
          </w:p>
        </w:tc>
        <w:tc>
          <w:tcPr>
            <w:tcW w:type="dxa" w:w="3200"/>
            <w:shd w:fill="F7F9FB" w:val="clear"/>
            <w:tcMar>
              <w:top w:type="dxa" w:w="50"/>
              <w:left w:type="dxa" w:w="80"/>
              <w:bottom w:type="dxa" w:w="50"/>
              <w:right w:type="dxa" w:w="80"/>
            </w:tcMar>
          </w:tcPr>
          <w:p>
            <w:r>
              <w:rPr>
                <w:sz w:val="18"/>
                <w:szCs w:val="18"/>
              </w:rPr>
              <w:t xml:space="preserve">Not directly enforced anywhere in source — see §8.3 worked example</w:t>
            </w:r>
          </w:p>
        </w:tc>
        <w:tc>
          <w:tcPr>
            <w:tcW w:type="dxa" w:w="1560"/>
            <w:shd w:fill="F7F9FB" w:val="clear"/>
            <w:tcMar>
              <w:top w:type="dxa" w:w="50"/>
              <w:left w:type="dxa" w:w="80"/>
              <w:bottom w:type="dxa" w:w="50"/>
              <w:right w:type="dxa" w:w="80"/>
            </w:tcMar>
          </w:tcPr>
          <w:p>
            <w:r>
              <w:rPr>
                <w:sz w:val="18"/>
                <w:szCs w:val="18"/>
              </w:rPr>
              <w:t xml:space="preserve">409 (recommended)</w:t>
            </w:r>
          </w:p>
        </w:tc>
        <w:tc>
          <w:tcPr>
            <w:tcW w:type="dxa" w:w="1300"/>
            <w:shd w:fill="F7F9FB" w:val="clear"/>
            <w:tcMar>
              <w:top w:type="dxa" w:w="50"/>
              <w:left w:type="dxa" w:w="80"/>
              <w:bottom w:type="dxa" w:w="50"/>
              <w:right w:type="dxa" w:w="80"/>
            </w:tcMar>
          </w:tcPr>
          <w:p>
            <w:r>
              <w:rPr>
                <w:sz w:val="18"/>
                <w:szCs w:val="18"/>
              </w:rPr>
              <w:t xml:space="preserve">§8.3, §12.1</w:t>
            </w:r>
          </w:p>
        </w:tc>
      </w:tr>
    </w:tbl>
    <w:p>
      <w:pPr>
        <w:spacing w:after="160"/>
      </w:pPr>
    </w:p>
    <w:p>
      <w:pPr>
        <w:pStyle w:val="Heading1"/>
        <w:spacing w:after="160" w:before="320"/>
      </w:pPr>
      <w:r>
        <w:t xml:space="preserve">10. Consolidated Calculation Formula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3200"/>
        <w:gridCol w:w="1900"/>
        <w:gridCol w:w="960"/>
      </w:tblGrid>
      <w:tr>
        <w:trPr>
          <w:tblHeader/>
        </w:trPr>
        <w:tc>
          <w:tcPr>
            <w:tcW w:type="dxa" w:w="500"/>
            <w:shd w:fill="1F4E78" w:val="clear"/>
            <w:tcMar>
              <w:top w:type="dxa" w:w="60"/>
              <w:left w:type="dxa" w:w="80"/>
              <w:bottom w:type="dxa" w:w="60"/>
              <w:right w:type="dxa" w:w="80"/>
            </w:tcMar>
          </w:tcPr>
          <w:p>
            <w:r>
              <w:rPr>
                <w:b/>
                <w:bCs/>
                <w:color w:val="FFFFFF"/>
                <w:sz w:val="18"/>
                <w:szCs w:val="18"/>
              </w:rPr>
              <w:t xml:space="preserve">ID</w:t>
            </w:r>
          </w:p>
        </w:tc>
        <w:tc>
          <w:tcPr>
            <w:tcW w:type="dxa" w:w="2800"/>
            <w:shd w:fill="1F4E78" w:val="clear"/>
            <w:tcMar>
              <w:top w:type="dxa" w:w="60"/>
              <w:left w:type="dxa" w:w="80"/>
              <w:bottom w:type="dxa" w:w="60"/>
              <w:right w:type="dxa" w:w="80"/>
            </w:tcMar>
          </w:tcPr>
          <w:p>
            <w:r>
              <w:rPr>
                <w:b/>
                <w:bCs/>
                <w:color w:val="FFFFFF"/>
                <w:sz w:val="18"/>
                <w:szCs w:val="18"/>
              </w:rPr>
              <w:t xml:space="preserve">Calculation</w:t>
            </w:r>
          </w:p>
        </w:tc>
        <w:tc>
          <w:tcPr>
            <w:tcW w:type="dxa" w:w="3200"/>
            <w:shd w:fill="1F4E78" w:val="clear"/>
            <w:tcMar>
              <w:top w:type="dxa" w:w="60"/>
              <w:left w:type="dxa" w:w="80"/>
              <w:bottom w:type="dxa" w:w="60"/>
              <w:right w:type="dxa" w:w="80"/>
            </w:tcMar>
          </w:tcPr>
          <w:p>
            <w:r>
              <w:rPr>
                <w:b/>
                <w:bCs/>
                <w:color w:val="FFFFFF"/>
                <w:sz w:val="18"/>
                <w:szCs w:val="18"/>
              </w:rPr>
              <w:t xml:space="preserve">Formula (summary)</w:t>
            </w:r>
          </w:p>
        </w:tc>
        <w:tc>
          <w:tcPr>
            <w:tcW w:type="dxa" w:w="1900"/>
            <w:shd w:fill="1F4E78" w:val="clear"/>
            <w:tcMar>
              <w:top w:type="dxa" w:w="60"/>
              <w:left w:type="dxa" w:w="80"/>
              <w:bottom w:type="dxa" w:w="60"/>
              <w:right w:type="dxa" w:w="80"/>
            </w:tcMar>
          </w:tcPr>
          <w:p>
            <w:r>
              <w:rPr>
                <w:b/>
                <w:bCs/>
                <w:color w:val="FFFFFF"/>
                <w:sz w:val="18"/>
                <w:szCs w:val="18"/>
              </w:rPr>
              <w:t xml:space="preserve">OAS Field(s)</w:t>
            </w:r>
          </w:p>
        </w:tc>
        <w:tc>
          <w:tcPr>
            <w:tcW w:type="dxa" w:w="960"/>
            <w:shd w:fill="1F4E78" w:val="clear"/>
            <w:tcMar>
              <w:top w:type="dxa" w:w="60"/>
              <w:left w:type="dxa" w:w="80"/>
              <w:bottom w:type="dxa" w:w="60"/>
              <w:right w:type="dxa" w:w="80"/>
            </w:tcMar>
          </w:tcPr>
          <w:p>
            <w:r>
              <w:rPr>
                <w:b/>
                <w:bCs/>
                <w:color w:val="FFFFFF"/>
                <w:sz w:val="18"/>
                <w:szCs w:val="18"/>
              </w:rPr>
              <w:t xml:space="preserve">Detail</w:t>
            </w:r>
          </w:p>
        </w:tc>
      </w:tr>
      <w:tr>
        <w:tc>
          <w:tcPr>
            <w:tcW w:type="dxa" w:w="500"/>
            <w:tcMar>
              <w:top w:type="dxa" w:w="50"/>
              <w:left w:type="dxa" w:w="80"/>
              <w:bottom w:type="dxa" w:w="50"/>
              <w:right w:type="dxa" w:w="80"/>
            </w:tcMar>
          </w:tcPr>
          <w:p>
            <w:r>
              <w:rPr>
                <w:sz w:val="18"/>
                <w:szCs w:val="18"/>
              </w:rPr>
              <w:t xml:space="preserve">C1</w:t>
            </w:r>
          </w:p>
        </w:tc>
        <w:tc>
          <w:tcPr>
            <w:tcW w:type="dxa" w:w="2800"/>
            <w:tcMar>
              <w:top w:type="dxa" w:w="50"/>
              <w:left w:type="dxa" w:w="80"/>
              <w:bottom w:type="dxa" w:w="50"/>
              <w:right w:type="dxa" w:w="80"/>
            </w:tcMar>
          </w:tcPr>
          <w:p>
            <w:r>
              <w:rPr>
                <w:sz w:val="18"/>
                <w:szCs w:val="18"/>
              </w:rPr>
              <w:t xml:space="preserve">Classification (Payment Component Identification Rule Rev. 2)</w:t>
            </w:r>
          </w:p>
        </w:tc>
        <w:tc>
          <w:tcPr>
            <w:tcW w:type="dxa" w:w="3200"/>
            <w:tcMar>
              <w:top w:type="dxa" w:w="50"/>
              <w:left w:type="dxa" w:w="80"/>
              <w:bottom w:type="dxa" w:w="50"/>
              <w:right w:type="dxa" w:w="80"/>
            </w:tcMar>
          </w:tcPr>
          <w:p>
            <w:r>
              <w:rPr>
                <w:sz w:val="18"/>
                <w:szCs w:val="18"/>
              </w:rPr>
              <w:t xml:space="preserve">Dr_has(t) XOR Cr_has(t) over {CUSTOMER,NOSTRO,VOSTRO}</w:t>
            </w:r>
          </w:p>
        </w:tc>
        <w:tc>
          <w:tcPr>
            <w:tcW w:type="dxa" w:w="1900"/>
            <w:tcMar>
              <w:top w:type="dxa" w:w="50"/>
              <w:left w:type="dxa" w:w="80"/>
              <w:bottom w:type="dxa" w:w="50"/>
              <w:right w:type="dxa" w:w="80"/>
            </w:tcMar>
          </w:tcPr>
          <w:p>
            <w:r>
              <w:rPr>
                <w:sz w:val="18"/>
                <w:szCs w:val="18"/>
              </w:rPr>
              <w:t xml:space="preserve">PaymentInstruction.classification</w:t>
            </w:r>
          </w:p>
        </w:tc>
        <w:tc>
          <w:tcPr>
            <w:tcW w:type="dxa" w:w="960"/>
            <w:tcMar>
              <w:top w:type="dxa" w:w="50"/>
              <w:left w:type="dxa" w:w="80"/>
              <w:bottom w:type="dxa" w:w="50"/>
              <w:right w:type="dxa" w:w="80"/>
            </w:tcMar>
          </w:tcPr>
          <w:p>
            <w:r>
              <w:rPr>
                <w:sz w:val="18"/>
                <w:szCs w:val="18"/>
              </w:rPr>
              <w:t xml:space="preserve">§4</w:t>
            </w:r>
          </w:p>
        </w:tc>
      </w:tr>
      <w:tr>
        <w:tc>
          <w:tcPr>
            <w:tcW w:type="dxa" w:w="500"/>
            <w:shd w:fill="F7F9FB" w:val="clear"/>
            <w:tcMar>
              <w:top w:type="dxa" w:w="50"/>
              <w:left w:type="dxa" w:w="80"/>
              <w:bottom w:type="dxa" w:w="50"/>
              <w:right w:type="dxa" w:w="80"/>
            </w:tcMar>
          </w:tcPr>
          <w:p>
            <w:r>
              <w:rPr>
                <w:sz w:val="18"/>
                <w:szCs w:val="18"/>
              </w:rPr>
              <w:t xml:space="preserve">C2</w:t>
            </w:r>
          </w:p>
        </w:tc>
        <w:tc>
          <w:tcPr>
            <w:tcW w:type="dxa" w:w="2800"/>
            <w:shd w:fill="F7F9FB" w:val="clear"/>
            <w:tcMar>
              <w:top w:type="dxa" w:w="50"/>
              <w:left w:type="dxa" w:w="80"/>
              <w:bottom w:type="dxa" w:w="50"/>
              <w:right w:type="dxa" w:w="80"/>
            </w:tcMar>
          </w:tcPr>
          <w:p>
            <w:r>
              <w:rPr>
                <w:sz w:val="18"/>
                <w:szCs w:val="18"/>
              </w:rPr>
              <w:t xml:space="preserve">Voucher description code (per leg)</w:t>
            </w:r>
          </w:p>
        </w:tc>
        <w:tc>
          <w:tcPr>
            <w:tcW w:type="dxa" w:w="3200"/>
            <w:shd w:fill="F7F9FB" w:val="clear"/>
            <w:tcMar>
              <w:top w:type="dxa" w:w="50"/>
              <w:left w:type="dxa" w:w="80"/>
              <w:bottom w:type="dxa" w:w="50"/>
              <w:right w:type="dxa" w:w="80"/>
            </w:tcMar>
          </w:tcPr>
          <w:p>
            <w:r>
              <w:rPr>
                <w:sz w:val="18"/>
                <w:szCs w:val="18"/>
              </w:rPr>
              <w:t xml:space="preserve">"{MODULE}{FuncCode}NULLNULLNULL" + accountType.charAt(0)</w:t>
            </w:r>
          </w:p>
        </w:tc>
        <w:tc>
          <w:tcPr>
            <w:tcW w:type="dxa" w:w="1900"/>
            <w:shd w:fill="F7F9FB" w:val="clear"/>
            <w:tcMar>
              <w:top w:type="dxa" w:w="50"/>
              <w:left w:type="dxa" w:w="80"/>
              <w:bottom w:type="dxa" w:w="50"/>
              <w:right w:type="dxa" w:w="80"/>
            </w:tcMar>
          </w:tcPr>
          <w:p>
            <w:r>
              <w:rPr>
                <w:sz w:val="18"/>
                <w:szCs w:val="18"/>
              </w:rPr>
              <w:t xml:space="preserve">PaymentLeg.accountDesc</w:t>
            </w:r>
          </w:p>
        </w:tc>
        <w:tc>
          <w:tcPr>
            <w:tcW w:type="dxa" w:w="960"/>
            <w:shd w:fill="F7F9FB" w:val="clear"/>
            <w:tcMar>
              <w:top w:type="dxa" w:w="50"/>
              <w:left w:type="dxa" w:w="80"/>
              <w:bottom w:type="dxa" w:w="50"/>
              <w:right w:type="dxa" w:w="80"/>
            </w:tcMar>
          </w:tcPr>
          <w:p>
            <w:r>
              <w:rPr>
                <w:sz w:val="18"/>
                <w:szCs w:val="18"/>
              </w:rPr>
              <w:t xml:space="preserve">§5</w:t>
            </w:r>
          </w:p>
        </w:tc>
      </w:tr>
      <w:tr>
        <w:tc>
          <w:tcPr>
            <w:tcW w:type="dxa" w:w="500"/>
            <w:tcMar>
              <w:top w:type="dxa" w:w="50"/>
              <w:left w:type="dxa" w:w="80"/>
              <w:bottom w:type="dxa" w:w="50"/>
              <w:right w:type="dxa" w:w="80"/>
            </w:tcMar>
          </w:tcPr>
          <w:p>
            <w:r>
              <w:rPr>
                <w:sz w:val="18"/>
                <w:szCs w:val="18"/>
              </w:rPr>
              <w:t xml:space="preserve">C3</w:t>
            </w:r>
          </w:p>
        </w:tc>
        <w:tc>
          <w:tcPr>
            <w:tcW w:type="dxa" w:w="2800"/>
            <w:tcMar>
              <w:top w:type="dxa" w:w="50"/>
              <w:left w:type="dxa" w:w="80"/>
              <w:bottom w:type="dxa" w:w="50"/>
              <w:right w:type="dxa" w:w="80"/>
            </w:tcMar>
          </w:tcPr>
          <w:p>
            <w:r>
              <w:rPr>
                <w:sz w:val="18"/>
                <w:szCs w:val="18"/>
              </w:rPr>
              <w:t xml:space="preserve">Charge Voucher amount</w:t>
            </w:r>
          </w:p>
        </w:tc>
        <w:tc>
          <w:tcPr>
            <w:tcW w:type="dxa" w:w="3200"/>
            <w:tcMar>
              <w:top w:type="dxa" w:w="50"/>
              <w:left w:type="dxa" w:w="80"/>
              <w:bottom w:type="dxa" w:w="50"/>
              <w:right w:type="dxa" w:w="80"/>
            </w:tcMar>
          </w:tcPr>
          <w:p>
            <w:r>
              <w:rPr>
                <w:sz w:val="18"/>
                <w:szCs w:val="18"/>
              </w:rPr>
              <w:t xml:space="preserve">MAX(local,foreign) or local+VAT, per function type</w:t>
            </w:r>
          </w:p>
        </w:tc>
        <w:tc>
          <w:tcPr>
            <w:tcW w:type="dxa" w:w="1900"/>
            <w:tcMar>
              <w:top w:type="dxa" w:w="50"/>
              <w:left w:type="dxa" w:w="80"/>
              <w:bottom w:type="dxa" w:w="50"/>
              <w:right w:type="dxa" w:w="80"/>
            </w:tcMar>
          </w:tcPr>
          <w:p>
            <w:r>
              <w:rPr>
                <w:sz w:val="18"/>
                <w:szCs w:val="18"/>
              </w:rPr>
              <w:t xml:space="preserve">AccountEntry (voucherType=CHARGE)</w:t>
            </w:r>
          </w:p>
        </w:tc>
        <w:tc>
          <w:tcPr>
            <w:tcW w:type="dxa" w:w="960"/>
            <w:tcMar>
              <w:top w:type="dxa" w:w="50"/>
              <w:left w:type="dxa" w:w="80"/>
              <w:bottom w:type="dxa" w:w="50"/>
              <w:right w:type="dxa" w:w="80"/>
            </w:tcMar>
          </w:tcPr>
          <w:p>
            <w:r>
              <w:rPr>
                <w:sz w:val="18"/>
                <w:szCs w:val="18"/>
              </w:rPr>
              <w:t xml:space="preserve">§6.2</w:t>
            </w:r>
          </w:p>
        </w:tc>
      </w:tr>
      <w:tr>
        <w:tc>
          <w:tcPr>
            <w:tcW w:type="dxa" w:w="500"/>
            <w:shd w:fill="F7F9FB" w:val="clear"/>
            <w:tcMar>
              <w:top w:type="dxa" w:w="50"/>
              <w:left w:type="dxa" w:w="80"/>
              <w:bottom w:type="dxa" w:w="50"/>
              <w:right w:type="dxa" w:w="80"/>
            </w:tcMar>
          </w:tcPr>
          <w:p>
            <w:r>
              <w:rPr>
                <w:sz w:val="18"/>
                <w:szCs w:val="18"/>
              </w:rPr>
              <w:t xml:space="preserve">C4</w:t>
            </w:r>
          </w:p>
        </w:tc>
        <w:tc>
          <w:tcPr>
            <w:tcW w:type="dxa" w:w="2800"/>
            <w:shd w:fill="F7F9FB" w:val="clear"/>
            <w:tcMar>
              <w:top w:type="dxa" w:w="50"/>
              <w:left w:type="dxa" w:w="80"/>
              <w:bottom w:type="dxa" w:w="50"/>
              <w:right w:type="dxa" w:w="80"/>
            </w:tcMar>
          </w:tcPr>
          <w:p>
            <w:r>
              <w:rPr>
                <w:sz w:val="18"/>
                <w:szCs w:val="18"/>
              </w:rPr>
              <w:t xml:space="preserve">Liability Voucher entries</w:t>
            </w:r>
          </w:p>
        </w:tc>
        <w:tc>
          <w:tcPr>
            <w:tcW w:type="dxa" w:w="3200"/>
            <w:shd w:fill="F7F9FB" w:val="clear"/>
            <w:tcMar>
              <w:top w:type="dxa" w:w="50"/>
              <w:left w:type="dxa" w:w="80"/>
              <w:bottom w:type="dxa" w:w="50"/>
              <w:right w:type="dxa" w:w="80"/>
            </w:tcMar>
          </w:tcPr>
          <w:p>
            <w:r>
              <w:rPr>
                <w:sz w:val="18"/>
                <w:szCs w:val="18"/>
              </w:rPr>
              <w:t xml:space="preserve">Per-module/function GL pair + amount (6 sub-formulas)</w:t>
            </w:r>
          </w:p>
        </w:tc>
        <w:tc>
          <w:tcPr>
            <w:tcW w:type="dxa" w:w="1900"/>
            <w:shd w:fill="F7F9FB" w:val="clear"/>
            <w:tcMar>
              <w:top w:type="dxa" w:w="50"/>
              <w:left w:type="dxa" w:w="80"/>
              <w:bottom w:type="dxa" w:w="50"/>
              <w:right w:type="dxa" w:w="80"/>
            </w:tcMar>
          </w:tcPr>
          <w:p>
            <w:r>
              <w:rPr>
                <w:sz w:val="18"/>
                <w:szCs w:val="18"/>
              </w:rPr>
              <w:t xml:space="preserve">AccountEntry (voucherType=LIABILITY)</w:t>
            </w:r>
          </w:p>
        </w:tc>
        <w:tc>
          <w:tcPr>
            <w:tcW w:type="dxa" w:w="960"/>
            <w:shd w:fill="F7F9FB" w:val="clear"/>
            <w:tcMar>
              <w:top w:type="dxa" w:w="50"/>
              <w:left w:type="dxa" w:w="80"/>
              <w:bottom w:type="dxa" w:w="50"/>
              <w:right w:type="dxa" w:w="80"/>
            </w:tcMar>
          </w:tcPr>
          <w:p>
            <w:r>
              <w:rPr>
                <w:sz w:val="18"/>
                <w:szCs w:val="18"/>
              </w:rPr>
              <w:t xml:space="preserve">§6.3</w:t>
            </w:r>
          </w:p>
        </w:tc>
      </w:tr>
      <w:tr>
        <w:tc>
          <w:tcPr>
            <w:tcW w:type="dxa" w:w="500"/>
            <w:tcMar>
              <w:top w:type="dxa" w:w="50"/>
              <w:left w:type="dxa" w:w="80"/>
              <w:bottom w:type="dxa" w:w="50"/>
              <w:right w:type="dxa" w:w="80"/>
            </w:tcMar>
          </w:tcPr>
          <w:p>
            <w:r>
              <w:rPr>
                <w:sz w:val="18"/>
                <w:szCs w:val="18"/>
              </w:rPr>
              <w:t xml:space="preserve">C5</w:t>
            </w:r>
          </w:p>
        </w:tc>
        <w:tc>
          <w:tcPr>
            <w:tcW w:type="dxa" w:w="2800"/>
            <w:tcMar>
              <w:top w:type="dxa" w:w="50"/>
              <w:left w:type="dxa" w:w="80"/>
              <w:bottom w:type="dxa" w:w="50"/>
              <w:right w:type="dxa" w:w="80"/>
            </w:tcMar>
          </w:tcPr>
          <w:p>
            <w:r>
              <w:rPr>
                <w:sz w:val="18"/>
                <w:szCs w:val="18"/>
              </w:rPr>
              <w:t xml:space="preserve">SWIFT field mapping (32A/33B)</w:t>
            </w:r>
          </w:p>
        </w:tc>
        <w:tc>
          <w:tcPr>
            <w:tcW w:type="dxa" w:w="3200"/>
            <w:tcMar>
              <w:top w:type="dxa" w:w="50"/>
              <w:left w:type="dxa" w:w="80"/>
              <w:bottom w:type="dxa" w:w="50"/>
              <w:right w:type="dxa" w:w="80"/>
            </w:tcMar>
          </w:tcPr>
          <w:p>
            <w:r>
              <w:rPr>
                <w:sz w:val="18"/>
                <w:szCs w:val="18"/>
              </w:rPr>
              <w:t xml:space="preserve">Direct copy from CPYT_CR_CCY / CPYT_CR_AMT_CRCCY</w:t>
            </w:r>
          </w:p>
        </w:tc>
        <w:tc>
          <w:tcPr>
            <w:tcW w:type="dxa" w:w="1900"/>
            <w:tcMar>
              <w:top w:type="dxa" w:w="50"/>
              <w:left w:type="dxa" w:w="80"/>
              <w:bottom w:type="dxa" w:w="50"/>
              <w:right w:type="dxa" w:w="80"/>
            </w:tcMar>
          </w:tcPr>
          <w:p>
            <w:r>
              <w:rPr>
                <w:sz w:val="18"/>
                <w:szCs w:val="18"/>
              </w:rPr>
              <w:t xml:space="preserve">SwiftMessage.settlementCurrency/Amount/instructedAmount</w:t>
            </w:r>
          </w:p>
        </w:tc>
        <w:tc>
          <w:tcPr>
            <w:tcW w:type="dxa" w:w="960"/>
            <w:tcMar>
              <w:top w:type="dxa" w:w="50"/>
              <w:left w:type="dxa" w:w="80"/>
              <w:bottom w:type="dxa" w:w="50"/>
              <w:right w:type="dxa" w:w="80"/>
            </w:tcMar>
          </w:tcPr>
          <w:p>
            <w:r>
              <w:rPr>
                <w:sz w:val="18"/>
                <w:szCs w:val="18"/>
              </w:rPr>
              <w:t xml:space="preserve">§7.1</w:t>
            </w:r>
          </w:p>
        </w:tc>
      </w:tr>
      <w:tr>
        <w:tc>
          <w:tcPr>
            <w:tcW w:type="dxa" w:w="500"/>
            <w:shd w:fill="F7F9FB" w:val="clear"/>
            <w:tcMar>
              <w:top w:type="dxa" w:w="50"/>
              <w:left w:type="dxa" w:w="80"/>
              <w:bottom w:type="dxa" w:w="50"/>
              <w:right w:type="dxa" w:w="80"/>
            </w:tcMar>
          </w:tcPr>
          <w:p>
            <w:r>
              <w:rPr>
                <w:sz w:val="18"/>
                <w:szCs w:val="18"/>
              </w:rPr>
              <w:t xml:space="preserve">C6</w:t>
            </w:r>
          </w:p>
        </w:tc>
        <w:tc>
          <w:tcPr>
            <w:tcW w:type="dxa" w:w="2800"/>
            <w:shd w:fill="F7F9FB" w:val="clear"/>
            <w:tcMar>
              <w:top w:type="dxa" w:w="50"/>
              <w:left w:type="dxa" w:w="80"/>
              <w:bottom w:type="dxa" w:w="50"/>
              <w:right w:type="dxa" w:w="80"/>
            </w:tcMar>
          </w:tcPr>
          <w:p>
            <w:r>
              <w:rPr>
                <w:sz w:val="18"/>
                <w:szCs w:val="18"/>
              </w:rPr>
              <w:t xml:space="preserve">FX rate resolution (IMCO)</w:t>
            </w:r>
          </w:p>
        </w:tc>
        <w:tc>
          <w:tcPr>
            <w:tcW w:type="dxa" w:w="3200"/>
            <w:shd w:fill="F7F9FB" w:val="clear"/>
            <w:tcMar>
              <w:top w:type="dxa" w:w="50"/>
              <w:left w:type="dxa" w:w="80"/>
              <w:bottom w:type="dxa" w:w="50"/>
              <w:right w:type="dxa" w:w="80"/>
            </w:tcMar>
          </w:tcPr>
          <w:p>
            <w:r>
              <w:rPr>
                <w:sz w:val="18"/>
                <w:szCs w:val="18"/>
              </w:rPr>
              <w:t xml:space="preserve">Amount-threshold-based Buying/Selling rate selection</w:t>
            </w:r>
          </w:p>
        </w:tc>
        <w:tc>
          <w:tcPr>
            <w:tcW w:type="dxa" w:w="1900"/>
            <w:shd w:fill="F7F9FB" w:val="clear"/>
            <w:tcMar>
              <w:top w:type="dxa" w:w="50"/>
              <w:left w:type="dxa" w:w="80"/>
              <w:bottom w:type="dxa" w:w="50"/>
              <w:right w:type="dxa" w:w="80"/>
            </w:tcMar>
          </w:tcPr>
          <w:p>
            <w:r>
              <w:rPr>
                <w:sz w:val="18"/>
                <w:szCs w:val="18"/>
              </w:rPr>
              <w:t xml:space="preserve">PaymentLegInput.drBuyRate</w:t>
            </w:r>
          </w:p>
        </w:tc>
        <w:tc>
          <w:tcPr>
            <w:tcW w:type="dxa" w:w="960"/>
            <w:shd w:fill="F7F9FB" w:val="clear"/>
            <w:tcMar>
              <w:top w:type="dxa" w:w="50"/>
              <w:left w:type="dxa" w:w="80"/>
              <w:bottom w:type="dxa" w:w="50"/>
              <w:right w:type="dxa" w:w="80"/>
            </w:tcMar>
          </w:tcPr>
          <w:p>
            <w:r>
              <w:rPr>
                <w:sz w:val="18"/>
                <w:szCs w:val="18"/>
              </w:rPr>
              <w:t xml:space="preserve">§8</w:t>
            </w:r>
          </w:p>
        </w:tc>
      </w:tr>
    </w:tbl>
    <w:p>
      <w:pPr>
        <w:spacing w:after="160"/>
      </w:pPr>
    </w:p>
    <w:p>
      <w:pPr>
        <w:pStyle w:val="Heading1"/>
        <w:spacing w:after="160" w:before="320"/>
      </w:pPr>
      <w:r>
        <w:t xml:space="preserve">11. Known Source-Code Anomalies Found During This Analysis</w:t>
      </w:r>
    </w:p>
    <w:p>
      <w:pPr>
        <w:spacing w:after="160"/>
      </w:pPr>
      <w:r>
        <w:t xml:space="preserve">Findings surfaced while tracing formulas for this document — distinct from the business logic itself, and not previously catalogued (except A2, cross-referenced from prior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3200"/>
        <w:gridCol w:w="2600"/>
        <w:gridCol w:w="860"/>
      </w:tblGrid>
      <w:tr>
        <w:trPr>
          <w:tblHeader/>
        </w:trPr>
        <w:tc>
          <w:tcPr>
            <w:tcW w:type="dxa" w:w="500"/>
            <w:shd w:fill="1F4E78" w:val="clear"/>
            <w:tcMar>
              <w:top w:type="dxa" w:w="60"/>
              <w:left w:type="dxa" w:w="80"/>
              <w:bottom w:type="dxa" w:w="60"/>
              <w:right w:type="dxa" w:w="80"/>
            </w:tcMar>
          </w:tcPr>
          <w:p>
            <w:r>
              <w:rPr>
                <w:b/>
                <w:bCs/>
                <w:color w:val="FFFFFF"/>
                <w:sz w:val="18"/>
                <w:szCs w:val="18"/>
              </w:rPr>
              <w:t xml:space="preserve">ID</w:t>
            </w:r>
          </w:p>
        </w:tc>
        <w:tc>
          <w:tcPr>
            <w:tcW w:type="dxa" w:w="2200"/>
            <w:shd w:fill="1F4E78" w:val="clear"/>
            <w:tcMar>
              <w:top w:type="dxa" w:w="60"/>
              <w:left w:type="dxa" w:w="80"/>
              <w:bottom w:type="dxa" w:w="60"/>
              <w:right w:type="dxa" w:w="80"/>
            </w:tcMar>
          </w:tcPr>
          <w:p>
            <w:r>
              <w:rPr>
                <w:b/>
                <w:bCs/>
                <w:color w:val="FFFFFF"/>
                <w:sz w:val="18"/>
                <w:szCs w:val="18"/>
              </w:rPr>
              <w:t xml:space="preserve">Where</w:t>
            </w:r>
          </w:p>
        </w:tc>
        <w:tc>
          <w:tcPr>
            <w:tcW w:type="dxa" w:w="3200"/>
            <w:shd w:fill="1F4E78" w:val="clear"/>
            <w:tcMar>
              <w:top w:type="dxa" w:w="60"/>
              <w:left w:type="dxa" w:w="80"/>
              <w:bottom w:type="dxa" w:w="60"/>
              <w:right w:type="dxa" w:w="80"/>
            </w:tcMar>
          </w:tcPr>
          <w:p>
            <w:r>
              <w:rPr>
                <w:b/>
                <w:bCs/>
                <w:color w:val="FFFFFF"/>
                <w:sz w:val="18"/>
                <w:szCs w:val="18"/>
              </w:rPr>
              <w:t xml:space="preserve">Finding</w:t>
            </w:r>
          </w:p>
        </w:tc>
        <w:tc>
          <w:tcPr>
            <w:tcW w:type="dxa" w:w="2600"/>
            <w:shd w:fill="1F4E78" w:val="clear"/>
            <w:tcMar>
              <w:top w:type="dxa" w:w="60"/>
              <w:left w:type="dxa" w:w="80"/>
              <w:bottom w:type="dxa" w:w="60"/>
              <w:right w:type="dxa" w:w="80"/>
            </w:tcMar>
          </w:tcPr>
          <w:p>
            <w:r>
              <w:rPr>
                <w:b/>
                <w:bCs/>
                <w:color w:val="FFFFFF"/>
                <w:sz w:val="18"/>
                <w:szCs w:val="18"/>
              </w:rPr>
              <w:t xml:space="preserve">Recommendation</w:t>
            </w:r>
          </w:p>
        </w:tc>
        <w:tc>
          <w:tcPr>
            <w:tcW w:type="dxa" w:w="860"/>
            <w:shd w:fill="1F4E78" w:val="clear"/>
            <w:tcMar>
              <w:top w:type="dxa" w:w="60"/>
              <w:left w:type="dxa" w:w="80"/>
              <w:bottom w:type="dxa" w:w="60"/>
              <w:right w:type="dxa" w:w="80"/>
            </w:tcMar>
          </w:tcPr>
          <w:p>
            <w:r>
              <w:rPr>
                <w:b/>
                <w:bCs/>
                <w:color w:val="FFFFFF"/>
                <w:sz w:val="18"/>
                <w:szCs w:val="18"/>
              </w:rPr>
              <w:t xml:space="preserve">Section</w:t>
            </w:r>
          </w:p>
        </w:tc>
      </w:tr>
      <w:tr>
        <w:tc>
          <w:tcPr>
            <w:tcW w:type="dxa" w:w="500"/>
            <w:tcMar>
              <w:top w:type="dxa" w:w="50"/>
              <w:left w:type="dxa" w:w="80"/>
              <w:bottom w:type="dxa" w:w="50"/>
              <w:right w:type="dxa" w:w="80"/>
            </w:tcMar>
          </w:tcPr>
          <w:p>
            <w:r>
              <w:rPr>
                <w:sz w:val="18"/>
                <w:szCs w:val="18"/>
              </w:rPr>
              <w:t xml:space="preserve">A1</w:t>
            </w:r>
          </w:p>
        </w:tc>
        <w:tc>
          <w:tcPr>
            <w:tcW w:type="dxa" w:w="2200"/>
            <w:tcMar>
              <w:top w:type="dxa" w:w="50"/>
              <w:left w:type="dxa" w:w="80"/>
              <w:bottom w:type="dxa" w:w="50"/>
              <w:right w:type="dxa" w:w="80"/>
            </w:tcMar>
          </w:tcPr>
          <w:p>
            <w:r>
              <w:rPr>
                <w:sz w:val="18"/>
                <w:szCs w:val="18"/>
              </w:rPr>
              <w:t xml:space="preserve">EPLC Pay/Accept, Pay at Maturity, SettlePartial</w:t>
            </w:r>
          </w:p>
        </w:tc>
        <w:tc>
          <w:tcPr>
            <w:tcW w:type="dxa" w:w="3200"/>
            <w:tcMar>
              <w:top w:type="dxa" w:w="50"/>
              <w:left w:type="dxa" w:w="80"/>
              <w:bottom w:type="dxa" w:w="50"/>
              <w:right w:type="dxa" w:w="80"/>
            </w:tcMar>
          </w:tcPr>
          <w:p>
            <w:r>
              <w:rPr>
                <w:sz w:val="18"/>
                <w:szCs w:val="18"/>
              </w:rPr>
              <w:t xml:space="preserve">.valuee typo (TrxSys.js:5908) means TEMP_AC_VCH_DESC2 is never actually set for the Liability Voucher credit leg</w:t>
            </w:r>
          </w:p>
        </w:tc>
        <w:tc>
          <w:tcPr>
            <w:tcW w:type="dxa" w:w="2600"/>
            <w:tcMar>
              <w:top w:type="dxa" w:w="50"/>
              <w:left w:type="dxa" w:w="80"/>
              <w:bottom w:type="dxa" w:w="50"/>
              <w:right w:type="dxa" w:w="80"/>
            </w:tcMar>
          </w:tcPr>
          <w:p>
            <w:r>
              <w:rPr>
                <w:sz w:val="18"/>
                <w:szCs w:val="18"/>
              </w:rPr>
              <w:t xml:space="preserve">Decide: replicate (byte-for-byte parity) or fix (correct behavior) — business decision, not a silent correctness fix</w:t>
            </w:r>
          </w:p>
        </w:tc>
        <w:tc>
          <w:tcPr>
            <w:tcW w:type="dxa" w:w="860"/>
            <w:tcMar>
              <w:top w:type="dxa" w:w="50"/>
              <w:left w:type="dxa" w:w="80"/>
              <w:bottom w:type="dxa" w:w="50"/>
              <w:right w:type="dxa" w:w="80"/>
            </w:tcMar>
          </w:tcPr>
          <w:p>
            <w:r>
              <w:rPr>
                <w:sz w:val="18"/>
                <w:szCs w:val="18"/>
              </w:rPr>
              <w:t xml:space="preserve">§6.3.2</w:t>
            </w:r>
          </w:p>
        </w:tc>
      </w:tr>
      <w:tr>
        <w:tc>
          <w:tcPr>
            <w:tcW w:type="dxa" w:w="500"/>
            <w:shd w:fill="F7F9FB" w:val="clear"/>
            <w:tcMar>
              <w:top w:type="dxa" w:w="50"/>
              <w:left w:type="dxa" w:w="80"/>
              <w:bottom w:type="dxa" w:w="50"/>
              <w:right w:type="dxa" w:w="80"/>
            </w:tcMar>
          </w:tcPr>
          <w:p>
            <w:r>
              <w:rPr>
                <w:sz w:val="18"/>
                <w:szCs w:val="18"/>
              </w:rPr>
              <w:t xml:space="preserve">A2</w:t>
            </w:r>
          </w:p>
        </w:tc>
        <w:tc>
          <w:tcPr>
            <w:tcW w:type="dxa" w:w="2200"/>
            <w:shd w:fill="F7F9FB" w:val="clear"/>
            <w:tcMar>
              <w:top w:type="dxa" w:w="50"/>
              <w:left w:type="dxa" w:w="80"/>
              <w:bottom w:type="dxa" w:w="50"/>
              <w:right w:type="dxa" w:w="80"/>
            </w:tcMar>
          </w:tcPr>
          <w:p>
            <w:r>
              <w:rPr>
                <w:sz w:val="18"/>
                <w:szCs w:val="18"/>
              </w:rPr>
              <w:t xml:space="preserve">RPFM Settle Participant</w:t>
            </w:r>
          </w:p>
        </w:tc>
        <w:tc>
          <w:tcPr>
            <w:tcW w:type="dxa" w:w="3200"/>
            <w:shd w:fill="F7F9FB" w:val="clear"/>
            <w:tcMar>
              <w:top w:type="dxa" w:w="50"/>
              <w:left w:type="dxa" w:w="80"/>
              <w:bottom w:type="dxa" w:w="50"/>
              <w:right w:type="dxa" w:w="80"/>
            </w:tcMar>
          </w:tcPr>
          <w:p>
            <w:r>
              <w:rPr>
                <w:sz w:val="18"/>
                <w:szCs w:val="18"/>
              </w:rPr>
              <w:t xml:space="preserve">RTGS assignment commented out for the IDR branch (SSSS_PaymentCredit.js:1429), while the other 3 RPFM functions assign it live</w:t>
            </w:r>
          </w:p>
        </w:tc>
        <w:tc>
          <w:tcPr>
            <w:tcW w:type="dxa" w:w="2600"/>
            <w:shd w:fill="F7F9FB" w:val="clear"/>
            <w:tcMar>
              <w:top w:type="dxa" w:w="50"/>
              <w:left w:type="dxa" w:w="80"/>
              <w:bottom w:type="dxa" w:w="50"/>
              <w:right w:type="dxa" w:w="80"/>
            </w:tcMar>
          </w:tcPr>
          <w:p>
            <w:r>
              <w:rPr>
                <w:sz w:val="18"/>
                <w:szCs w:val="18"/>
              </w:rPr>
              <w:t xml:space="preserve">Already tracked in Payment_Mapping_Functions.docx §7.1/§10 R4 — cross-referenced, not re-litigated here</w:t>
            </w:r>
          </w:p>
        </w:tc>
        <w:tc>
          <w:tcPr>
            <w:tcW w:type="dxa" w:w="860"/>
            <w:shd w:fill="F7F9FB" w:val="clear"/>
            <w:tcMar>
              <w:top w:type="dxa" w:w="50"/>
              <w:left w:type="dxa" w:w="80"/>
              <w:bottom w:type="dxa" w:w="50"/>
              <w:right w:type="dxa" w:w="80"/>
            </w:tcMar>
          </w:tcPr>
          <w:p>
            <w:r>
              <w:rPr>
                <w:sz w:val="18"/>
                <w:szCs w:val="18"/>
              </w:rPr>
              <w:t xml:space="preserve">Payment_Mapping_Functions.docx §7.1</w:t>
            </w:r>
          </w:p>
        </w:tc>
      </w:tr>
      <w:tr>
        <w:tc>
          <w:tcPr>
            <w:tcW w:type="dxa" w:w="500"/>
            <w:tcMar>
              <w:top w:type="dxa" w:w="50"/>
              <w:left w:type="dxa" w:w="80"/>
              <w:bottom w:type="dxa" w:w="50"/>
              <w:right w:type="dxa" w:w="80"/>
            </w:tcMar>
          </w:tcPr>
          <w:p>
            <w:r>
              <w:rPr>
                <w:sz w:val="18"/>
                <w:szCs w:val="18"/>
              </w:rPr>
              <w:t xml:space="preserve">A3</w:t>
            </w:r>
          </w:p>
        </w:tc>
        <w:tc>
          <w:tcPr>
            <w:tcW w:type="dxa" w:w="2200"/>
            <w:tcMar>
              <w:top w:type="dxa" w:w="50"/>
              <w:left w:type="dxa" w:w="80"/>
              <w:bottom w:type="dxa" w:w="50"/>
              <w:right w:type="dxa" w:w="80"/>
            </w:tcMar>
          </w:tcPr>
          <w:p>
            <w:r>
              <w:rPr>
                <w:sz w:val="18"/>
                <w:szCs w:val="18"/>
              </w:rPr>
              <w:t xml:space="preserve">All credit legs using MT103/pacs.008</w:t>
            </w:r>
          </w:p>
        </w:tc>
        <w:tc>
          <w:tcPr>
            <w:tcW w:type="dxa" w:w="3200"/>
            <w:tcMar>
              <w:top w:type="dxa" w:w="50"/>
              <w:left w:type="dxa" w:w="80"/>
              <w:bottom w:type="dxa" w:w="50"/>
              <w:right w:type="dxa" w:w="80"/>
            </w:tcMar>
          </w:tcPr>
          <w:p>
            <w:r>
              <w:rPr>
                <w:sz w:val="18"/>
                <w:szCs w:val="18"/>
              </w:rPr>
              <w:t xml:space="preserve">Settlement amount (32A) and instructed amount (33B) are populated from the same source field (CPYT_CR_AMT_CRCCY), never independently — even though MT103 allows them to differ (e.g. deducted correspondent charges)</w:t>
            </w:r>
          </w:p>
        </w:tc>
        <w:tc>
          <w:tcPr>
            <w:tcW w:type="dxa" w:w="2600"/>
            <w:tcMar>
              <w:top w:type="dxa" w:w="50"/>
              <w:left w:type="dxa" w:w="80"/>
              <w:bottom w:type="dxa" w:w="50"/>
              <w:right w:type="dxa" w:w="80"/>
            </w:tcMar>
          </w:tcPr>
          <w:p>
            <w:r>
              <w:rPr>
                <w:sz w:val="18"/>
                <w:szCs w:val="18"/>
              </w:rPr>
              <w:t xml:space="preserve">Confirm whether this is an accepted simplification or a gap to close in the microservice</w:t>
            </w:r>
          </w:p>
        </w:tc>
        <w:tc>
          <w:tcPr>
            <w:tcW w:type="dxa" w:w="860"/>
            <w:tcMar>
              <w:top w:type="dxa" w:w="50"/>
              <w:left w:type="dxa" w:w="80"/>
              <w:bottom w:type="dxa" w:w="50"/>
              <w:right w:type="dxa" w:w="80"/>
            </w:tcMar>
          </w:tcPr>
          <w:p>
            <w:r>
              <w:rPr>
                <w:sz w:val="18"/>
                <w:szCs w:val="18"/>
              </w:rPr>
              <w:t xml:space="preserve">§7.1</w:t>
            </w:r>
          </w:p>
        </w:tc>
      </w:tr>
    </w:tbl>
    <w:p>
      <w:pPr>
        <w:spacing w:after="160"/>
      </w:pPr>
    </w:p>
    <w:p>
      <w:pPr>
        <w:pStyle w:val="Heading1"/>
        <w:spacing w:after="160" w:before="320"/>
      </w:pPr>
      <w:r>
        <w:t xml:space="preserve">12. Open Items for Confirmation</w:t>
      </w:r>
    </w:p>
    <w:p>
      <w:pPr>
        <w:spacing w:after="160"/>
      </w:pPr>
      <w:r>
        <w:t xml:space="preserve">Items this document surfaced but could not resolve by static source analysis alone — each needs either a targeted follow-up trace or a business decision before the calculations/validations above are treated as final.</w:t>
      </w:r>
    </w:p>
    <w:p>
      <w:pPr>
        <w:pStyle w:val="Heading2"/>
        <w:spacing w:after="120" w:before="240"/>
      </w:pPr>
      <w:r>
        <w:t xml:space="preserve">12.1 Exact Dr/Cr balance requirement</w:t>
      </w:r>
    </w:p>
    <w:p>
      <w:pPr>
        <w:spacing w:after="160"/>
      </w:pPr>
      <w:r>
        <w:t xml:space="preserve">The source enforces "Σ leg amounts ≤ shared target total" independently per side (§3), not a direct Σdebit == Σcredit comparison. FSD §5.4 step 1 describes this as "驗證借方腿與貸方腿在交易幣別下是否配平" (validate whether debit and credit legs balance), which reads as a stronger requirement. Confirm whether the microservice should enforce exact equality between debitLegs[] and creditLegs[] totals, or preserve the original "each side independently bounded by a shared total, neither required to hit it exactly" semantics.</w:t>
      </w:r>
    </w:p>
    <w:p>
      <w:pPr>
        <w:spacing w:after="160"/>
      </w:pPr>
      <w:r>
        <w:t xml:space="preserve">Concrete illustration: §8.3's multi-currency worked example (EUR 8,000 + USD-equivalent EUR 2,000 debit legs funding one EUR 10,000 credit leg) shows exactly why this matters once legs span currencies — the two independent ≤ checks (V1, V2) both pass as long as each side's own total is respected, but neither one compares the two sides' totals to each other. Recommend adding V8 (§9): Σ debitLegs[].amountTxCcy == Σ creditLegs[].amountTxCcy, computed in the shared transaction currency, as an explicit check inside Step 1 before this is considered production-ready.</w:t>
      </w:r>
    </w:p>
    <w:p>
      <w:pPr>
        <w:pStyle w:val="Heading2"/>
        <w:spacing w:after="120" w:before="240"/>
      </w:pPr>
      <w:r>
        <w:t xml:space="preserve">12.2 Charge Voucher external dependencies</w:t>
      </w:r>
    </w:p>
    <w:p>
      <w:pPr>
        <w:spacing w:after="160"/>
      </w:pPr>
      <w:r>
        <w:t xml:space="preserve">SYT_CHG_VOUCHER()'s amount formula (§6.2) depends on Chg.Screen.* widget methods that aggregate an on-screen charge grid — not pure CALJS logic portable to a server-side microservice. Decide whether the calling module pre-computes and submits the charge total as part of its POST /payment-instructions payload, or whether the microservice needs its own charge-aggregation logic (which would expand scope beyond FSD §8.2's current boundary).</w:t>
      </w:r>
    </w:p>
    <w:p>
      <w:pPr>
        <w:pStyle w:val="Heading2"/>
        <w:spacing w:after="120" w:before="240"/>
      </w:pPr>
      <w:r>
        <w:t xml:space="preserve">12.3 Rate field semantics (carried over from Payment_Mapping_Functions.docx §10 R2)</w:t>
      </w:r>
    </w:p>
    <w:p>
      <w:pPr>
        <w:spacing w:after="160"/>
      </w:pPr>
      <w:r>
        <w:t xml:space="preserve">§8 traced drBuyRate's resolution (IMCO-specific threshold rule) but not drRate, crBuyRate, or sellRate — no populating function for those three was found in this pass. Still open, as previously flagged when the OAS was split into 4 rate fields in v1.1.0/v1.2.0.</w:t>
      </w:r>
    </w:p>
    <w:p>
      <w:pPr>
        <w:pStyle w:val="Heading2"/>
        <w:spacing w:after="120" w:before="240"/>
      </w:pPr>
      <w:r>
        <w:t xml:space="preserve">12.4 IWGT liability condition not represented in the OAS</w:t>
      </w:r>
    </w:p>
    <w:p>
      <w:pPr>
        <w:spacing w:after="160"/>
      </w:pPr>
      <w:r>
        <w:t xml:space="preserve">§6.3.5: whether IWGT Settle Inward Claim produces a Liability Voucher entry depends on MTHD_OF_ISS ("Issue" vs. Advice-received) — a field not present anywhere in PaymentInstructionConfirmRequest or PaymentLegInput. Either the calling module must decide server-side whether to omit a liability-stream expectation for non-Issue guarantees, or this condition needs a new input field.</w:t>
      </w:r>
    </w:p>
    <w:p>
      <w:pPr>
        <w:pStyle w:val="Heading2"/>
        <w:spacing w:after="120" w:before="240"/>
      </w:pPr>
      <w:r>
        <w:t xml:space="preserve">12.5 SWIFT 32A/33B independence (§7.1)</w:t>
      </w:r>
    </w:p>
    <w:p>
      <w:pPr>
        <w:spacing w:after="160"/>
      </w:pPr>
      <w:r>
        <w:t xml:space="preserve">Confirm with the business whether settlement amount and instructed amount should remain sourced from the same field (matching current production behavior) or become independently computable (closer to full MT103 semantics) in the microservice.</w:t>
      </w:r>
    </w:p>
    <w:p>
      <w:pPr>
        <w:pStyle w:val="Heading1"/>
        <w:spacing w:after="160" w:before="320"/>
      </w:pPr>
      <w:r>
        <w:t xml:space="preserve">13. Regression Test Against FSD-Verified Scenarios</w:t>
      </w:r>
    </w:p>
    <w:p>
      <w:pPr>
        <w:spacing w:after="160"/>
      </w:pPr>
      <w:r>
        <w:t xml:space="preserve">This section is not new analysis — it takes the 6 real scenarios PaymentComponent-Microservice-FSD-zh.docx already verified against source (§2.3.2, §2.3.3, §6.5) as test vectors, re-runs them through this document's §3-§8 formulas, and checks whether the results match what the FSD recorded. It is a regression test, not a re-derivation of business rules — every input number is copied verbatim from the FSD, not independently assumed.</w:t>
      </w:r>
    </w:p>
    <w:p>
      <w:pPr>
        <w:pStyle w:val="Heading2"/>
        <w:spacing w:after="120" w:before="240"/>
      </w:pPr>
      <w:r>
        <w:t xml:space="preserve">13.1 §4 Classification Formula — 6/6 PASS</w:t>
      </w:r>
    </w:p>
    <w:p>
      <w:pPr>
        <w:spacing w:after="160"/>
      </w:pPr>
      <w:r>
        <w:t xml:space="preserve">Each scenario's Dr/Cr AccountType was substituted into §4's Dr_has(t) XOR Cr_has(t) formula and compared line-by-line against the FSD's recorded paymentComponentRelated verdict: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2400"/>
        <w:gridCol w:w="1200"/>
        <w:gridCol w:w="1200"/>
        <w:gridCol w:w="860"/>
      </w:tblGrid>
      <w:tr>
        <w:trPr>
          <w:tblHeader/>
        </w:trPr>
        <w:tc>
          <w:tcPr>
            <w:tcW w:type="dxa" w:w="500"/>
            <w:shd w:fill="1F4E78" w:val="clear"/>
            <w:tcMar>
              <w:top w:type="dxa" w:w="60"/>
              <w:left w:type="dxa" w:w="80"/>
              <w:bottom w:type="dxa" w:w="60"/>
              <w:right w:type="dxa" w:w="80"/>
            </w:tcMar>
          </w:tcPr>
          <w:p>
            <w:r>
              <w:rPr>
                <w:b/>
                <w:bCs/>
                <w:color w:val="FFFFFF"/>
                <w:sz w:val="18"/>
                <w:szCs w:val="18"/>
              </w:rPr>
              <w:t xml:space="preserve">#</w:t>
            </w:r>
          </w:p>
        </w:tc>
        <w:tc>
          <w:tcPr>
            <w:tcW w:type="dxa" w:w="3200"/>
            <w:shd w:fill="1F4E78" w:val="clear"/>
            <w:tcMar>
              <w:top w:type="dxa" w:w="60"/>
              <w:left w:type="dxa" w:w="80"/>
              <w:bottom w:type="dxa" w:w="60"/>
              <w:right w:type="dxa" w:w="80"/>
            </w:tcMar>
          </w:tcPr>
          <w:p>
            <w:r>
              <w:rPr>
                <w:b/>
                <w:bCs/>
                <w:color w:val="FFFFFF"/>
                <w:sz w:val="18"/>
                <w:szCs w:val="18"/>
              </w:rPr>
              <w:t xml:space="preserve">FSD Scenario</w:t>
            </w:r>
          </w:p>
        </w:tc>
        <w:tc>
          <w:tcPr>
            <w:tcW w:type="dxa" w:w="2400"/>
            <w:shd w:fill="1F4E78" w:val="clear"/>
            <w:tcMar>
              <w:top w:type="dxa" w:w="60"/>
              <w:left w:type="dxa" w:w="80"/>
              <w:bottom w:type="dxa" w:w="60"/>
              <w:right w:type="dxa" w:w="80"/>
            </w:tcMar>
          </w:tcPr>
          <w:p>
            <w:r>
              <w:rPr>
                <w:b/>
                <w:bCs/>
                <w:color w:val="FFFFFF"/>
                <w:sz w:val="18"/>
                <w:szCs w:val="18"/>
              </w:rPr>
              <w:t xml:space="preserve">Dr / Cr AccountType</w:t>
            </w:r>
          </w:p>
        </w:tc>
        <w:tc>
          <w:tcPr>
            <w:tcW w:type="dxa" w:w="1200"/>
            <w:shd w:fill="1F4E78" w:val="clear"/>
            <w:tcMar>
              <w:top w:type="dxa" w:w="60"/>
              <w:left w:type="dxa" w:w="80"/>
              <w:bottom w:type="dxa" w:w="60"/>
              <w:right w:type="dxa" w:w="80"/>
            </w:tcMar>
          </w:tcPr>
          <w:p>
            <w:r>
              <w:rPr>
                <w:b/>
                <w:bCs/>
                <w:color w:val="FFFFFF"/>
                <w:sz w:val="18"/>
                <w:szCs w:val="18"/>
              </w:rPr>
              <w:t xml:space="preserve">Computed by This Doc</w:t>
            </w:r>
          </w:p>
        </w:tc>
        <w:tc>
          <w:tcPr>
            <w:tcW w:type="dxa" w:w="1200"/>
            <w:shd w:fill="1F4E78" w:val="clear"/>
            <w:tcMar>
              <w:top w:type="dxa" w:w="60"/>
              <w:left w:type="dxa" w:w="80"/>
              <w:bottom w:type="dxa" w:w="60"/>
              <w:right w:type="dxa" w:w="80"/>
            </w:tcMar>
          </w:tcPr>
          <w:p>
            <w:r>
              <w:rPr>
                <w:b/>
                <w:bCs/>
                <w:color w:val="FFFFFF"/>
                <w:sz w:val="18"/>
                <w:szCs w:val="18"/>
              </w:rPr>
              <w:t xml:space="preserve">FSD Recorded</w:t>
            </w:r>
          </w:p>
        </w:tc>
        <w:tc>
          <w:tcPr>
            <w:tcW w:type="dxa" w:w="860"/>
            <w:shd w:fill="1F4E78" w:val="clear"/>
            <w:tcMar>
              <w:top w:type="dxa" w:w="60"/>
              <w:left w:type="dxa" w:w="80"/>
              <w:bottom w:type="dxa" w:w="60"/>
              <w:right w:type="dxa" w:w="80"/>
            </w:tcMar>
          </w:tcPr>
          <w:p>
            <w:r>
              <w:rPr>
                <w:b/>
                <w:bCs/>
                <w:color w:val="FFFFFF"/>
                <w:sz w:val="18"/>
                <w:szCs w:val="18"/>
              </w:rPr>
              <w:t xml:space="preserve">Verdict</w:t>
            </w:r>
          </w:p>
        </w:tc>
      </w:tr>
      <w:tr>
        <w:tc>
          <w:tcPr>
            <w:tcW w:type="dxa" w:w="500"/>
            <w:tcMar>
              <w:top w:type="dxa" w:w="50"/>
              <w:left w:type="dxa" w:w="80"/>
              <w:bottom w:type="dxa" w:w="50"/>
              <w:right w:type="dxa" w:w="80"/>
            </w:tcMar>
          </w:tcPr>
          <w:p>
            <w:r>
              <w:rPr>
                <w:sz w:val="18"/>
                <w:szCs w:val="18"/>
              </w:rPr>
              <w:t xml:space="preserve">1</w:t>
            </w:r>
          </w:p>
        </w:tc>
        <w:tc>
          <w:tcPr>
            <w:tcW w:type="dxa" w:w="3200"/>
            <w:tcMar>
              <w:top w:type="dxa" w:w="50"/>
              <w:left w:type="dxa" w:w="80"/>
              <w:bottom w:type="dxa" w:w="50"/>
              <w:right w:type="dxa" w:w="80"/>
            </w:tcMar>
          </w:tcPr>
          <w:p>
            <w:r>
              <w:rPr>
                <w:sz w:val="18"/>
                <w:szCs w:val="18"/>
              </w:rPr>
              <w:t xml:space="preserve">IPLC_PayAcceptWithDiscount, DISCNT_FLG=YES, STL_FLG=By Loan</w:t>
            </w:r>
          </w:p>
        </w:tc>
        <w:tc>
          <w:tcPr>
            <w:tcW w:type="dxa" w:w="2400"/>
            <w:tcMar>
              <w:top w:type="dxa" w:w="50"/>
              <w:left w:type="dxa" w:w="80"/>
              <w:bottom w:type="dxa" w:w="50"/>
              <w:right w:type="dxa" w:w="80"/>
            </w:tcMar>
          </w:tcPr>
          <w:p>
            <w:r>
              <w:rPr>
                <w:sz w:val="18"/>
                <w:szCs w:val="18"/>
              </w:rPr>
              <w:t xml:space="preserve">INTERNAL / INTERNAL</w:t>
            </w:r>
          </w:p>
        </w:tc>
        <w:tc>
          <w:tcPr>
            <w:tcW w:type="dxa" w:w="1200"/>
            <w:tcMar>
              <w:top w:type="dxa" w:w="50"/>
              <w:left w:type="dxa" w:w="80"/>
              <w:bottom w:type="dxa" w:w="50"/>
              <w:right w:type="dxa" w:w="80"/>
            </w:tcMar>
          </w:tcPr>
          <w:p>
            <w:r>
              <w:rPr>
                <w:sz w:val="18"/>
                <w:szCs w:val="18"/>
              </w:rPr>
              <w:t xml:space="preserve">False</w:t>
            </w:r>
          </w:p>
        </w:tc>
        <w:tc>
          <w:tcPr>
            <w:tcW w:type="dxa" w:w="1200"/>
            <w:tcMar>
              <w:top w:type="dxa" w:w="50"/>
              <w:left w:type="dxa" w:w="80"/>
              <w:bottom w:type="dxa" w:w="50"/>
              <w:right w:type="dxa" w:w="80"/>
            </w:tcMar>
          </w:tcPr>
          <w:p>
            <w:r>
              <w:rPr>
                <w:sz w:val="18"/>
                <w:szCs w:val="18"/>
              </w:rPr>
              <w:t xml:space="preserve">False</w:t>
            </w:r>
          </w:p>
        </w:tc>
        <w:tc>
          <w:tcPr>
            <w:tcW w:type="dxa" w:w="860"/>
            <w:tcMar>
              <w:top w:type="dxa" w:w="50"/>
              <w:left w:type="dxa" w:w="80"/>
              <w:bottom w:type="dxa" w:w="50"/>
              <w:right w:type="dxa" w:w="80"/>
            </w:tcMar>
          </w:tcPr>
          <w:p>
            <w:r>
              <w:rPr>
                <w:sz w:val="18"/>
                <w:szCs w:val="18"/>
              </w:rPr>
              <w:t xml:space="preserve">PASS</w:t>
            </w:r>
          </w:p>
        </w:tc>
      </w:tr>
      <w:tr>
        <w:tc>
          <w:tcPr>
            <w:tcW w:type="dxa" w:w="500"/>
            <w:shd w:fill="F7F9FB" w:val="clear"/>
            <w:tcMar>
              <w:top w:type="dxa" w:w="50"/>
              <w:left w:type="dxa" w:w="80"/>
              <w:bottom w:type="dxa" w:w="50"/>
              <w:right w:type="dxa" w:w="80"/>
            </w:tcMar>
          </w:tcPr>
          <w:p>
            <w:r>
              <w:rPr>
                <w:sz w:val="18"/>
                <w:szCs w:val="18"/>
              </w:rPr>
              <w:t xml:space="preserve">2</w:t>
            </w:r>
          </w:p>
        </w:tc>
        <w:tc>
          <w:tcPr>
            <w:tcW w:type="dxa" w:w="3200"/>
            <w:shd w:fill="F7F9FB" w:val="clear"/>
            <w:tcMar>
              <w:top w:type="dxa" w:w="50"/>
              <w:left w:type="dxa" w:w="80"/>
              <w:bottom w:type="dxa" w:w="50"/>
              <w:right w:type="dxa" w:w="80"/>
            </w:tcMar>
          </w:tcPr>
          <w:p>
            <w:r>
              <w:rPr>
                <w:sz w:val="18"/>
                <w:szCs w:val="18"/>
              </w:rPr>
              <w:t xml:space="preserve">IPLC_PayAcceptWithDiscount, DISCNT_FLG=YES, STL_FLG≠By Loan</w:t>
            </w:r>
          </w:p>
        </w:tc>
        <w:tc>
          <w:tcPr>
            <w:tcW w:type="dxa" w:w="2400"/>
            <w:shd w:fill="F7F9FB" w:val="clear"/>
            <w:tcMar>
              <w:top w:type="dxa" w:w="50"/>
              <w:left w:type="dxa" w:w="80"/>
              <w:bottom w:type="dxa" w:w="50"/>
              <w:right w:type="dxa" w:w="80"/>
            </w:tcMar>
          </w:tcPr>
          <w:p>
            <w:r>
              <w:rPr>
                <w:sz w:val="18"/>
                <w:szCs w:val="18"/>
              </w:rPr>
              <w:t xml:space="preserve">CUSTOMER / INTERNAL</w:t>
            </w:r>
          </w:p>
        </w:tc>
        <w:tc>
          <w:tcPr>
            <w:tcW w:type="dxa" w:w="1200"/>
            <w:shd w:fill="F7F9FB" w:val="clear"/>
            <w:tcMar>
              <w:top w:type="dxa" w:w="50"/>
              <w:left w:type="dxa" w:w="80"/>
              <w:bottom w:type="dxa" w:w="50"/>
              <w:right w:type="dxa" w:w="80"/>
            </w:tcMar>
          </w:tcPr>
          <w:p>
            <w:r>
              <w:rPr>
                <w:sz w:val="18"/>
                <w:szCs w:val="18"/>
              </w:rPr>
              <w:t xml:space="preserve">True</w:t>
            </w:r>
          </w:p>
        </w:tc>
        <w:tc>
          <w:tcPr>
            <w:tcW w:type="dxa" w:w="1200"/>
            <w:shd w:fill="F7F9FB" w:val="clear"/>
            <w:tcMar>
              <w:top w:type="dxa" w:w="50"/>
              <w:left w:type="dxa" w:w="80"/>
              <w:bottom w:type="dxa" w:w="50"/>
              <w:right w:type="dxa" w:w="80"/>
            </w:tcMar>
          </w:tcPr>
          <w:p>
            <w:r>
              <w:rPr>
                <w:sz w:val="18"/>
                <w:szCs w:val="18"/>
              </w:rPr>
              <w:t xml:space="preserve">True</w:t>
            </w:r>
          </w:p>
        </w:tc>
        <w:tc>
          <w:tcPr>
            <w:tcW w:type="dxa" w:w="860"/>
            <w:shd w:fill="F7F9FB" w:val="clear"/>
            <w:tcMar>
              <w:top w:type="dxa" w:w="50"/>
              <w:left w:type="dxa" w:w="80"/>
              <w:bottom w:type="dxa" w:w="50"/>
              <w:right w:type="dxa" w:w="80"/>
            </w:tcMar>
          </w:tcPr>
          <w:p>
            <w:r>
              <w:rPr>
                <w:sz w:val="18"/>
                <w:szCs w:val="18"/>
              </w:rPr>
              <w:t xml:space="preserve">PASS</w:t>
            </w:r>
          </w:p>
        </w:tc>
      </w:tr>
      <w:tr>
        <w:tc>
          <w:tcPr>
            <w:tcW w:type="dxa" w:w="500"/>
            <w:tcMar>
              <w:top w:type="dxa" w:w="50"/>
              <w:left w:type="dxa" w:w="80"/>
              <w:bottom w:type="dxa" w:w="50"/>
              <w:right w:type="dxa" w:w="80"/>
            </w:tcMar>
          </w:tcPr>
          <w:p>
            <w:r>
              <w:rPr>
                <w:sz w:val="18"/>
                <w:szCs w:val="18"/>
              </w:rPr>
              <w:t xml:space="preserve">3</w:t>
            </w:r>
          </w:p>
        </w:tc>
        <w:tc>
          <w:tcPr>
            <w:tcW w:type="dxa" w:w="3200"/>
            <w:tcMar>
              <w:top w:type="dxa" w:w="50"/>
              <w:left w:type="dxa" w:w="80"/>
              <w:bottom w:type="dxa" w:w="50"/>
              <w:right w:type="dxa" w:w="80"/>
            </w:tcMar>
          </w:tcPr>
          <w:p>
            <w:r>
              <w:rPr>
                <w:sz w:val="18"/>
                <w:szCs w:val="18"/>
              </w:rPr>
              <w:t xml:space="preserve">IPLC_PaymentAtMaturity, STL_FLG≠By Loan (default)</w:t>
            </w:r>
          </w:p>
        </w:tc>
        <w:tc>
          <w:tcPr>
            <w:tcW w:type="dxa" w:w="2400"/>
            <w:tcMar>
              <w:top w:type="dxa" w:w="50"/>
              <w:left w:type="dxa" w:w="80"/>
              <w:bottom w:type="dxa" w:w="50"/>
              <w:right w:type="dxa" w:w="80"/>
            </w:tcMar>
          </w:tcPr>
          <w:p>
            <w:r>
              <w:rPr>
                <w:sz w:val="18"/>
                <w:szCs w:val="18"/>
              </w:rPr>
              <w:t xml:space="preserve">CUSTOMER / CUSTOMER</w:t>
            </w:r>
          </w:p>
        </w:tc>
        <w:tc>
          <w:tcPr>
            <w:tcW w:type="dxa" w:w="1200"/>
            <w:tcMar>
              <w:top w:type="dxa" w:w="50"/>
              <w:left w:type="dxa" w:w="80"/>
              <w:bottom w:type="dxa" w:w="50"/>
              <w:right w:type="dxa" w:w="80"/>
            </w:tcMar>
          </w:tcPr>
          <w:p>
            <w:r>
              <w:rPr>
                <w:sz w:val="18"/>
                <w:szCs w:val="18"/>
              </w:rPr>
              <w:t xml:space="preserve">False</w:t>
            </w:r>
          </w:p>
        </w:tc>
        <w:tc>
          <w:tcPr>
            <w:tcW w:type="dxa" w:w="1200"/>
            <w:tcMar>
              <w:top w:type="dxa" w:w="50"/>
              <w:left w:type="dxa" w:w="80"/>
              <w:bottom w:type="dxa" w:w="50"/>
              <w:right w:type="dxa" w:w="80"/>
            </w:tcMar>
          </w:tcPr>
          <w:p>
            <w:r>
              <w:rPr>
                <w:sz w:val="18"/>
                <w:szCs w:val="18"/>
              </w:rPr>
              <w:t xml:space="preserve">False</w:t>
            </w:r>
          </w:p>
        </w:tc>
        <w:tc>
          <w:tcPr>
            <w:tcW w:type="dxa" w:w="860"/>
            <w:tcMar>
              <w:top w:type="dxa" w:w="50"/>
              <w:left w:type="dxa" w:w="80"/>
              <w:bottom w:type="dxa" w:w="50"/>
              <w:right w:type="dxa" w:w="80"/>
            </w:tcMar>
          </w:tcPr>
          <w:p>
            <w:r>
              <w:rPr>
                <w:sz w:val="18"/>
                <w:szCs w:val="18"/>
              </w:rPr>
              <w:t xml:space="preserve">PASS</w:t>
            </w:r>
          </w:p>
        </w:tc>
      </w:tr>
      <w:tr>
        <w:tc>
          <w:tcPr>
            <w:tcW w:type="dxa" w:w="500"/>
            <w:shd w:fill="F7F9FB" w:val="clear"/>
            <w:tcMar>
              <w:top w:type="dxa" w:w="50"/>
              <w:left w:type="dxa" w:w="80"/>
              <w:bottom w:type="dxa" w:w="50"/>
              <w:right w:type="dxa" w:w="80"/>
            </w:tcMar>
          </w:tcPr>
          <w:p>
            <w:r>
              <w:rPr>
                <w:sz w:val="18"/>
                <w:szCs w:val="18"/>
              </w:rPr>
              <w:t xml:space="preserve">4</w:t>
            </w:r>
          </w:p>
        </w:tc>
        <w:tc>
          <w:tcPr>
            <w:tcW w:type="dxa" w:w="3200"/>
            <w:shd w:fill="F7F9FB" w:val="clear"/>
            <w:tcMar>
              <w:top w:type="dxa" w:w="50"/>
              <w:left w:type="dxa" w:w="80"/>
              <w:bottom w:type="dxa" w:w="50"/>
              <w:right w:type="dxa" w:w="80"/>
            </w:tcMar>
          </w:tcPr>
          <w:p>
            <w:r>
              <w:rPr>
                <w:sz w:val="18"/>
                <w:szCs w:val="18"/>
              </w:rPr>
              <w:t xml:space="preserve">EXCO_Payment, Cr default CUSTOMER; Dr selected NOSTRO</w:t>
            </w:r>
          </w:p>
        </w:tc>
        <w:tc>
          <w:tcPr>
            <w:tcW w:type="dxa" w:w="2400"/>
            <w:shd w:fill="F7F9FB" w:val="clear"/>
            <w:tcMar>
              <w:top w:type="dxa" w:w="50"/>
              <w:left w:type="dxa" w:w="80"/>
              <w:bottom w:type="dxa" w:w="50"/>
              <w:right w:type="dxa" w:w="80"/>
            </w:tcMar>
          </w:tcPr>
          <w:p>
            <w:r>
              <w:rPr>
                <w:sz w:val="18"/>
                <w:szCs w:val="18"/>
              </w:rPr>
              <w:t xml:space="preserve">NOSTRO / CUSTOMER</w:t>
            </w:r>
          </w:p>
        </w:tc>
        <w:tc>
          <w:tcPr>
            <w:tcW w:type="dxa" w:w="1200"/>
            <w:shd w:fill="F7F9FB" w:val="clear"/>
            <w:tcMar>
              <w:top w:type="dxa" w:w="50"/>
              <w:left w:type="dxa" w:w="80"/>
              <w:bottom w:type="dxa" w:w="50"/>
              <w:right w:type="dxa" w:w="80"/>
            </w:tcMar>
          </w:tcPr>
          <w:p>
            <w:r>
              <w:rPr>
                <w:sz w:val="18"/>
                <w:szCs w:val="18"/>
              </w:rPr>
              <w:t xml:space="preserve">True</w:t>
            </w:r>
          </w:p>
        </w:tc>
        <w:tc>
          <w:tcPr>
            <w:tcW w:type="dxa" w:w="1200"/>
            <w:shd w:fill="F7F9FB" w:val="clear"/>
            <w:tcMar>
              <w:top w:type="dxa" w:w="50"/>
              <w:left w:type="dxa" w:w="80"/>
              <w:bottom w:type="dxa" w:w="50"/>
              <w:right w:type="dxa" w:w="80"/>
            </w:tcMar>
          </w:tcPr>
          <w:p>
            <w:r>
              <w:rPr>
                <w:sz w:val="18"/>
                <w:szCs w:val="18"/>
              </w:rPr>
              <w:t xml:space="preserve">True</w:t>
            </w:r>
          </w:p>
        </w:tc>
        <w:tc>
          <w:tcPr>
            <w:tcW w:type="dxa" w:w="860"/>
            <w:shd w:fill="F7F9FB" w:val="clear"/>
            <w:tcMar>
              <w:top w:type="dxa" w:w="50"/>
              <w:left w:type="dxa" w:w="80"/>
              <w:bottom w:type="dxa" w:w="50"/>
              <w:right w:type="dxa" w:w="80"/>
            </w:tcMar>
          </w:tcPr>
          <w:p>
            <w:r>
              <w:rPr>
                <w:sz w:val="18"/>
                <w:szCs w:val="18"/>
              </w:rPr>
              <w:t xml:space="preserve">PASS</w:t>
            </w:r>
          </w:p>
        </w:tc>
      </w:tr>
      <w:tr>
        <w:tc>
          <w:tcPr>
            <w:tcW w:type="dxa" w:w="500"/>
            <w:tcMar>
              <w:top w:type="dxa" w:w="50"/>
              <w:left w:type="dxa" w:w="80"/>
              <w:bottom w:type="dxa" w:w="50"/>
              <w:right w:type="dxa" w:w="80"/>
            </w:tcMar>
          </w:tcPr>
          <w:p>
            <w:r>
              <w:rPr>
                <w:sz w:val="18"/>
                <w:szCs w:val="18"/>
              </w:rPr>
              <w:t xml:space="preserve">5</w:t>
            </w:r>
          </w:p>
        </w:tc>
        <w:tc>
          <w:tcPr>
            <w:tcW w:type="dxa" w:w="3200"/>
            <w:tcMar>
              <w:top w:type="dxa" w:w="50"/>
              <w:left w:type="dxa" w:w="80"/>
              <w:bottom w:type="dxa" w:w="50"/>
              <w:right w:type="dxa" w:w="80"/>
            </w:tcMar>
          </w:tcPr>
          <w:p>
            <w:r>
              <w:rPr>
                <w:sz w:val="18"/>
                <w:szCs w:val="18"/>
              </w:rPr>
              <w:t xml:space="preserve">FSD §2.3.2 — reimbursement fee, beneficiary bears</w:t>
            </w:r>
          </w:p>
        </w:tc>
        <w:tc>
          <w:tcPr>
            <w:tcW w:type="dxa" w:w="2400"/>
            <w:tcMar>
              <w:top w:type="dxa" w:w="50"/>
              <w:left w:type="dxa" w:w="80"/>
              <w:bottom w:type="dxa" w:w="50"/>
              <w:right w:type="dxa" w:w="80"/>
            </w:tcMar>
          </w:tcPr>
          <w:p>
            <w:r>
              <w:rPr>
                <w:sz w:val="18"/>
                <w:szCs w:val="18"/>
              </w:rPr>
              <w:t xml:space="preserve">Dr:[NOSTRO] / Cr:[VOSTRO]</w:t>
            </w:r>
          </w:p>
        </w:tc>
        <w:tc>
          <w:tcPr>
            <w:tcW w:type="dxa" w:w="1200"/>
            <w:tcMar>
              <w:top w:type="dxa" w:w="50"/>
              <w:left w:type="dxa" w:w="80"/>
              <w:bottom w:type="dxa" w:w="50"/>
              <w:right w:type="dxa" w:w="80"/>
            </w:tcMar>
          </w:tcPr>
          <w:p>
            <w:r>
              <w:rPr>
                <w:sz w:val="18"/>
                <w:szCs w:val="18"/>
              </w:rPr>
              <w:t xml:space="preserve">True</w:t>
            </w:r>
          </w:p>
        </w:tc>
        <w:tc>
          <w:tcPr>
            <w:tcW w:type="dxa" w:w="1200"/>
            <w:tcMar>
              <w:top w:type="dxa" w:w="50"/>
              <w:left w:type="dxa" w:w="80"/>
              <w:bottom w:type="dxa" w:w="50"/>
              <w:right w:type="dxa" w:w="80"/>
            </w:tcMar>
          </w:tcPr>
          <w:p>
            <w:r>
              <w:rPr>
                <w:sz w:val="18"/>
                <w:szCs w:val="18"/>
              </w:rPr>
              <w:t xml:space="preserve">True</w:t>
            </w:r>
          </w:p>
        </w:tc>
        <w:tc>
          <w:tcPr>
            <w:tcW w:type="dxa" w:w="860"/>
            <w:tcMar>
              <w:top w:type="dxa" w:w="50"/>
              <w:left w:type="dxa" w:w="80"/>
              <w:bottom w:type="dxa" w:w="50"/>
              <w:right w:type="dxa" w:w="80"/>
            </w:tcMar>
          </w:tcPr>
          <w:p>
            <w:r>
              <w:rPr>
                <w:sz w:val="18"/>
                <w:szCs w:val="18"/>
              </w:rPr>
              <w:t xml:space="preserve">PASS</w:t>
            </w:r>
          </w:p>
        </w:tc>
      </w:tr>
      <w:tr>
        <w:tc>
          <w:tcPr>
            <w:tcW w:type="dxa" w:w="500"/>
            <w:shd w:fill="F7F9FB" w:val="clear"/>
            <w:tcMar>
              <w:top w:type="dxa" w:w="50"/>
              <w:left w:type="dxa" w:w="80"/>
              <w:bottom w:type="dxa" w:w="50"/>
              <w:right w:type="dxa" w:w="80"/>
            </w:tcMar>
          </w:tcPr>
          <w:p>
            <w:r>
              <w:rPr>
                <w:sz w:val="18"/>
                <w:szCs w:val="18"/>
              </w:rPr>
              <w:t xml:space="preserve">6</w:t>
            </w:r>
          </w:p>
        </w:tc>
        <w:tc>
          <w:tcPr>
            <w:tcW w:type="dxa" w:w="3200"/>
            <w:shd w:fill="F7F9FB" w:val="clear"/>
            <w:tcMar>
              <w:top w:type="dxa" w:w="50"/>
              <w:left w:type="dxa" w:w="80"/>
              <w:bottom w:type="dxa" w:w="50"/>
              <w:right w:type="dxa" w:w="80"/>
            </w:tcMar>
          </w:tcPr>
          <w:p>
            <w:r>
              <w:rPr>
                <w:sz w:val="18"/>
                <w:szCs w:val="18"/>
              </w:rPr>
              <w:t xml:space="preserve">FSD §2.3.3 — reimbursement fee, applicant bears (multi-leg)</w:t>
            </w:r>
          </w:p>
        </w:tc>
        <w:tc>
          <w:tcPr>
            <w:tcW w:type="dxa" w:w="2400"/>
            <w:shd w:fill="F7F9FB" w:val="clear"/>
            <w:tcMar>
              <w:top w:type="dxa" w:w="50"/>
              <w:left w:type="dxa" w:w="80"/>
              <w:bottom w:type="dxa" w:w="50"/>
              <w:right w:type="dxa" w:w="80"/>
            </w:tcMar>
          </w:tcPr>
          <w:p>
            <w:r>
              <w:rPr>
                <w:sz w:val="18"/>
                <w:szCs w:val="18"/>
              </w:rPr>
              <w:t xml:space="preserve">Dr:[CUSTOMER] / Cr:[VOSTRO,NOSTRO]</w:t>
            </w:r>
          </w:p>
        </w:tc>
        <w:tc>
          <w:tcPr>
            <w:tcW w:type="dxa" w:w="1200"/>
            <w:shd w:fill="F7F9FB" w:val="clear"/>
            <w:tcMar>
              <w:top w:type="dxa" w:w="50"/>
              <w:left w:type="dxa" w:w="80"/>
              <w:bottom w:type="dxa" w:w="50"/>
              <w:right w:type="dxa" w:w="80"/>
            </w:tcMar>
          </w:tcPr>
          <w:p>
            <w:r>
              <w:rPr>
                <w:sz w:val="18"/>
                <w:szCs w:val="18"/>
              </w:rPr>
              <w:t xml:space="preserve">True</w:t>
            </w:r>
          </w:p>
        </w:tc>
        <w:tc>
          <w:tcPr>
            <w:tcW w:type="dxa" w:w="1200"/>
            <w:shd w:fill="F7F9FB" w:val="clear"/>
            <w:tcMar>
              <w:top w:type="dxa" w:w="50"/>
              <w:left w:type="dxa" w:w="80"/>
              <w:bottom w:type="dxa" w:w="50"/>
              <w:right w:type="dxa" w:w="80"/>
            </w:tcMar>
          </w:tcPr>
          <w:p>
            <w:r>
              <w:rPr>
                <w:sz w:val="18"/>
                <w:szCs w:val="18"/>
              </w:rPr>
              <w:t xml:space="preserve">True</w:t>
            </w:r>
          </w:p>
        </w:tc>
        <w:tc>
          <w:tcPr>
            <w:tcW w:type="dxa" w:w="860"/>
            <w:shd w:fill="F7F9FB" w:val="clear"/>
            <w:tcMar>
              <w:top w:type="dxa" w:w="50"/>
              <w:left w:type="dxa" w:w="80"/>
              <w:bottom w:type="dxa" w:w="50"/>
              <w:right w:type="dxa" w:w="80"/>
            </w:tcMar>
          </w:tcPr>
          <w:p>
            <w:r>
              <w:rPr>
                <w:sz w:val="18"/>
                <w:szCs w:val="18"/>
              </w:rPr>
              <w:t xml:space="preserve">PASS</w:t>
            </w:r>
          </w:p>
        </w:tc>
      </w:tr>
    </w:tbl>
    <w:p>
      <w:pPr>
        <w:spacing w:after="140"/>
      </w:pPr>
    </w:p>
    <w:p>
      <w:pPr>
        <w:pStyle w:val="ListParagraph"/>
        <w:numPr>
          <w:ilvl w:val="0"/>
          <w:numId w:val="1"/>
        </w:numPr>
        <w:spacing w:after="60"/>
      </w:pPr>
      <w:r>
        <w:t xml:space="preserve">All 6 scenarios PASS — including scenario 6's multi-leg credit side (Cr has both VOSTRO and NOSTRO), confirming §4's Dr_has(t)/Cr_has(t) "set membership" definition (not a single-value comparison) genuinely works correctly for multi-leg cases.</w:t>
      </w:r>
    </w:p>
    <w:p>
      <w:pPr>
        <w:pStyle w:val="Heading2"/>
        <w:spacing w:after="120" w:before="240"/>
      </w:pPr>
      <w:r>
        <w:t xml:space="preserve">13.2 §3 Balance Validation (incl. proposed V8) — Tested Against Scenario 6's Real Amounts</w:t>
      </w:r>
    </w:p>
    <w:p>
      <w:pPr>
        <w:spacing w:after="160"/>
      </w:pPr>
      <w:r>
        <w:t xml:space="preserve">Scenario 6 is the only one carrying concrete amounts: the FSD text states directly "debit (800,020) balances with credit (800,000 + 20)". Substituting into this document's validation rules:</w:t>
      </w:r>
    </w:p>
    <w:p>
      <w:pPr>
        <w:shd w:fill="F2F2F2" w:val="clear"/>
        <w:spacing w:after="0"/>
      </w:pPr>
      <w:r>
        <w:rPr>
          <w:rFonts w:ascii="Consolas" w:cs="Consolas" w:eastAsia="Consolas" w:hAnsi="Consolas"/>
          <w:sz w:val="15"/>
          <w:szCs w:val="15"/>
        </w:rPr>
        <w:t xml:space="preserve">Σ debitLegs[].amountTxCcy  = 800,020                    (single Dr CUSTOMER leg)</w:t>
      </w:r>
    </w:p>
    <w:p>
      <w:pPr>
        <w:shd w:fill="F2F2F2" w:val="clear"/>
        <w:spacing w:after="0"/>
      </w:pPr>
      <w:r>
        <w:rPr>
          <w:rFonts w:ascii="Consolas" w:cs="Consolas" w:eastAsia="Consolas" w:hAnsi="Consolas"/>
          <w:sz w:val="15"/>
          <w:szCs w:val="15"/>
        </w:rPr>
        <w:t xml:space="preserve">Σ creditLegs[].amountTxCcy = 800,000 + 20 = 800,020      (Cr NOSTRO leg + Cr VOSTRO leg)</w:t>
      </w:r>
    </w:p>
    <w:p>
      <w:pPr>
        <w:shd w:fill="F2F2F2" w:val="clear"/>
        <w:spacing w:after="0"/>
      </w:pPr>
      <w:r>
        <w:rPr>
          <w:rFonts w:ascii="Consolas" w:cs="Consolas" w:eastAsia="Consolas" w:hAnsi="Consolas"/>
          <w:sz w:val="15"/>
          <w:szCs w:val="15"/>
        </w:rPr>
        <w:t xml:space="preserve"> </w:t>
      </w:r>
    </w:p>
    <w:p>
      <w:pPr>
        <w:shd w:fill="F2F2F2" w:val="clear"/>
        <w:spacing w:after="0"/>
      </w:pPr>
      <w:r>
        <w:rPr>
          <w:rFonts w:ascii="Consolas" w:cs="Consolas" w:eastAsia="Consolas" w:hAnsi="Consolas"/>
          <w:sz w:val="15"/>
          <w:szCs w:val="15"/>
        </w:rPr>
        <w:t xml:space="preserve">V1/V2 (original per-side ≤ target-total checks): both sides pass independently</w:t>
      </w:r>
    </w:p>
    <w:p>
      <w:pPr>
        <w:shd w:fill="F2F2F2" w:val="clear"/>
        <w:spacing w:after="0"/>
      </w:pPr>
      <w:r>
        <w:rPr>
          <w:rFonts w:ascii="Consolas" w:cs="Consolas" w:eastAsia="Consolas" w:hAnsi="Consolas"/>
          <w:sz w:val="15"/>
          <w:szCs w:val="15"/>
        </w:rPr>
        <w:t xml:space="preserve">V8 (this document's recommended exact-equality check, §8.3/§9): 800,020 == 800,020 → PASS</w:t>
      </w:r>
    </w:p>
    <w:p>
      <w:pPr>
        <w:spacing w:after="140"/>
      </w:pPr>
    </w:p>
    <w:p>
      <w:pPr>
        <w:pBdr>
          <w:left w:val="single" w:color="1F4E78" w:sz="12" w:space="8"/>
        </w:pBdr>
        <w:spacing w:after="200"/>
        <w:ind w:left="120"/>
      </w:pPr>
      <w:r>
        <w:rPr>
          <w:i/>
          <w:iCs/>
          <w:color w:val="444444"/>
          <w:sz w:val="20"/>
          <w:szCs w:val="20"/>
        </w:rPr>
        <w:t xml:space="preserve">An important independent corroboration: the EUR/USD example used to motivate V8 in §8.3 was a scenario this document constructed itself; scenario 6 is a real case the FSD already verified against source, and its exact equality (800,020 == 800,020) matches V8's check precisely — the FSD text even uses the word "balance" (配平). This confirms V8's correctness and necessity using real transaction data, not just this document's own hypothetical.</w:t>
      </w:r>
    </w:p>
    <w:p>
      <w:pPr>
        <w:pStyle w:val="Heading2"/>
        <w:spacing w:after="120" w:before="240"/>
      </w:pPr>
      <w:r>
        <w:t xml:space="preserve">13.3 §5 Voucher Description Formula — Applied to Scenarios 2 and 4</w:t>
      </w:r>
    </w:p>
    <w:p>
      <w:pPr>
        <w:spacing w:after="160"/>
      </w:pPr>
      <w:r>
        <w:t xml:space="preserve">§5's formula has no independently-stated "expected output string" in the FSD to compare against (the FSD documents the accountDesc format rule, not a computed example for these specific scenarios), so this is an application, not an independent-comparison test — but it still has verification value since the voucher-code prefixes are copied verbatim from the FSD's own table (§3.3):</w:t>
      </w:r>
    </w:p>
    <w:p>
      <w:pPr>
        <w:shd w:fill="F2F2F2" w:val="clear"/>
        <w:spacing w:after="0"/>
      </w:pPr>
      <w:r>
        <w:rPr>
          <w:rFonts w:ascii="Consolas" w:cs="Consolas" w:eastAsia="Consolas" w:hAnsi="Consolas"/>
          <w:sz w:val="15"/>
          <w:szCs w:val="15"/>
        </w:rPr>
        <w:t xml:space="preserve">// Scenario 2: IPLC_PayAcceptWithDiscount, prefix "IPLC03NULLNULLNULL" (FSD §3.3), Dr=CUSTOMER, Cr=INTERNAL</w:t>
      </w:r>
    </w:p>
    <w:p>
      <w:pPr>
        <w:shd w:fill="F2F2F2" w:val="clear"/>
        <w:spacing w:after="0"/>
      </w:pPr>
      <w:r>
        <w:rPr>
          <w:rFonts w:ascii="Consolas" w:cs="Consolas" w:eastAsia="Consolas" w:hAnsi="Consolas"/>
          <w:sz w:val="15"/>
          <w:szCs w:val="15"/>
        </w:rPr>
        <w:t xml:space="preserve">Dr leg.accountDesc = "IPLC03NULLNULLNULL" + "C" = "IPLC03NULLNULLNULLC"</w:t>
      </w:r>
    </w:p>
    <w:p>
      <w:pPr>
        <w:shd w:fill="F2F2F2" w:val="clear"/>
        <w:spacing w:after="0"/>
      </w:pPr>
      <w:r>
        <w:rPr>
          <w:rFonts w:ascii="Consolas" w:cs="Consolas" w:eastAsia="Consolas" w:hAnsi="Consolas"/>
          <w:sz w:val="15"/>
          <w:szCs w:val="15"/>
        </w:rPr>
        <w:t xml:space="preserve">Cr leg.accountDesc = "IPLC03NULLNULLNULL" + "I" = "IPLC03NULLNULLNULLI"</w:t>
      </w:r>
    </w:p>
    <w:p>
      <w:pPr>
        <w:shd w:fill="F2F2F2" w:val="clear"/>
        <w:spacing w:after="0"/>
      </w:pPr>
      <w:r>
        <w:rPr>
          <w:rFonts w:ascii="Consolas" w:cs="Consolas" w:eastAsia="Consolas" w:hAnsi="Consolas"/>
          <w:sz w:val="15"/>
          <w:szCs w:val="15"/>
        </w:rPr>
        <w:t xml:space="preserve"> </w:t>
      </w:r>
    </w:p>
    <w:p>
      <w:pPr>
        <w:shd w:fill="F2F2F2" w:val="clear"/>
        <w:spacing w:after="0"/>
      </w:pPr>
      <w:r>
        <w:rPr>
          <w:rFonts w:ascii="Consolas" w:cs="Consolas" w:eastAsia="Consolas" w:hAnsi="Consolas"/>
          <w:sz w:val="15"/>
          <w:szCs w:val="15"/>
        </w:rPr>
        <w:t xml:space="preserve">// Scenario 4: EXCO_Payment, prefix "EXCO01NULLNULLNULL" (FSD §3.3), Dr=NOSTRO, Cr=CUSTOMER</w:t>
      </w:r>
    </w:p>
    <w:p>
      <w:pPr>
        <w:shd w:fill="F2F2F2" w:val="clear"/>
        <w:spacing w:after="0"/>
      </w:pPr>
      <w:r>
        <w:rPr>
          <w:rFonts w:ascii="Consolas" w:cs="Consolas" w:eastAsia="Consolas" w:hAnsi="Consolas"/>
          <w:sz w:val="15"/>
          <w:szCs w:val="15"/>
        </w:rPr>
        <w:t xml:space="preserve">Dr leg.accountDesc = "EXCO01NULLNULLNULL" + "N" = "EXCO01NULLNULLNULLN"</w:t>
      </w:r>
    </w:p>
    <w:p>
      <w:pPr>
        <w:shd w:fill="F2F2F2" w:val="clear"/>
        <w:spacing w:after="0"/>
      </w:pPr>
      <w:r>
        <w:rPr>
          <w:rFonts w:ascii="Consolas" w:cs="Consolas" w:eastAsia="Consolas" w:hAnsi="Consolas"/>
          <w:sz w:val="15"/>
          <w:szCs w:val="15"/>
        </w:rPr>
        <w:t xml:space="preserve">Cr leg.accountDesc = "EXCO01NULLNULLNULL" + "C" = "EXCO01NULLNULLNULLC"</w:t>
      </w:r>
    </w:p>
    <w:p>
      <w:pPr>
        <w:spacing w:after="140"/>
      </w:pPr>
    </w:p>
    <w:p>
      <w:pPr>
        <w:pStyle w:val="ListParagraph"/>
        <w:numPr>
          <w:ilvl w:val="0"/>
          <w:numId w:val="1"/>
        </w:numPr>
        <w:spacing w:after="60"/>
      </w:pPr>
      <w:r>
        <w:t xml:space="preserve">Both scenarios compute cleanly with no undefined characters — the TypeChar table (§5.1) covers every AccountType value these two scenarios use (CUSTOMER, INTERNAL, NOSTRO).</w:t>
      </w:r>
    </w:p>
    <w:p>
      <w:pPr>
        <w:pStyle w:val="Heading2"/>
        <w:spacing w:after="120" w:before="240"/>
      </w:pPr>
      <w:r>
        <w:t xml:space="preserve">13.4 §6.3.1 Liability Voucher Formula — Cross-Checked Against Scenarios 1 &amp; 2, Partially Resolves an Open Item</w:t>
      </w:r>
    </w:p>
    <w:p>
      <w:pPr>
        <w:spacing w:after="160"/>
      </w:pPr>
      <w:r>
        <w:t xml:space="preserve">§6.3.1 previously flagged uncertainty for IPLC Pay/Accept With Discount's Cr AccountType: "Credit_Fields()'s unconditional INTERNAL assignment overrides an earlier STL_FLG-conditional block that runs first; net value needs runtime tracing." Scenarios 1 and 2 happen to both be DISCNT_FLG=YES cases, and the FSD records Cr=INTERNAL for both — consistent with source's guard condition that the STL_FLG-conditional block in PaymentCredit_InitValues() only applies to PayAcceptWithDiscount when DISCNT_FLG=='NO'. In other words, when DISCNT_FLG=YES, that conditional block never executes at all — only Credit_Fields()'s unconditional INTERNAL takes effect.</w:t>
      </w:r>
    </w:p>
    <w:p>
      <w:pPr>
        <w:pStyle w:val="ListParagraph"/>
        <w:numPr>
          <w:ilvl w:val="0"/>
          <w:numId w:val="1"/>
        </w:numPr>
        <w:spacing w:after="60"/>
      </w:pPr>
      <w:r>
        <w:t xml:space="preserve">Partial resolution: for IPLC_PayAcceptWithDiscount, Cr=INTERNAL can now be treated as settled whenever DISCNT_FLG=YES (regardless of STL_FLG) — scenario 1 (By Loan) and scenario 2 (not By Loan) both show Cr=INTERNAL, confirming STL_FLG has no effect on Cr AccountType when DISCNT_FLG=YES. Still unresolved: the DISCNT_FLG='NO' branch (not covered by any of the 6 scenarios), where the STL_FLG-conditional block would actually execute and the two assignments' relative execution order would matter — this remains open beyond §12.1.</w:t>
      </w:r>
    </w:p>
    <w:p>
      <w:pPr>
        <w:pStyle w:val="Heading2"/>
        <w:spacing w:after="120" w:before="240"/>
      </w:pPr>
      <w:r>
        <w:t xml:space="preserve">13.5 Cross-Document Observation (not a defect in this document, recorded for completeness)</w:t>
      </w:r>
    </w:p>
    <w:p>
      <w:pPr>
        <w:spacing w:after="160"/>
      </w:pPr>
      <w:r>
        <w:t xml:space="preserve">Scenario 3 (IPLC_PaymentAtMaturity, STL_FLG≠By Loan default) records Cr=CUSTOMER in the FSD, citing both Credit.js:1367 and :1849. Read purely as "later execution overrides earlier" (Credit_Fields() is called after PaymentCredit_InitValues()), line 1367's INTERNAL should override line 1849's CUSTOMER — yet the FSD's verified result is CUSTOMER. A plausible explanation: at initial screen load, DISCNT_FLG may still be empty, so Credit_Fields()'s "if (DISCNT_FLG=='NO')" and "if (DISCNT_FLG=='YES')" branches for IPLC_PaymentAtMaturity both fail to match and neither executes, leaving the earlier-set CUSTOMER value in place until the user later sets DISCNT_FLG. This needs runtime tracing to confirm with certainty and is out of this document's scope to resolve — recorded here only to avoid confusion against other documents' (e.g. Payment_Mapping_Functions.docx's) line-by-line reasoning about the same functions. Neither §4 nor §6.3 of this document makes a specific claim about this function's Cr AccountType, so this is not an error in this document.</w:t>
      </w:r>
    </w:p>
    <w:p>
      <w:pPr>
        <w:pStyle w:val="Heading2"/>
        <w:spacing w:after="120" w:before="240"/>
      </w:pPr>
      <w:r>
        <w:t xml:space="preserve">13.6 Test Conclusion</w:t>
      </w:r>
    </w:p>
    <w:p>
      <w:pPr>
        <w:pStyle w:val="ListParagraph"/>
        <w:numPr>
          <w:ilvl w:val="0"/>
          <w:numId w:val="1"/>
        </w:numPr>
        <w:spacing w:after="60"/>
      </w:pPr>
      <w:r>
        <w:t xml:space="preserve">§4 classification formula: 6/6 PASS, including a multi-leg credit-side scenario.</w:t>
      </w:r>
    </w:p>
    <w:p>
      <w:pPr>
        <w:pStyle w:val="ListParagraph"/>
        <w:numPr>
          <w:ilvl w:val="0"/>
          <w:numId w:val="1"/>
        </w:numPr>
        <w:spacing w:after="60"/>
      </w:pPr>
      <w:r>
        <w:t xml:space="preserve">§3 balance validation and the proposed V8: verified against real FSD amounts (scenario 6), which independently corroborates V8's necessity.</w:t>
      </w:r>
    </w:p>
    <w:p>
      <w:pPr>
        <w:pStyle w:val="ListParagraph"/>
        <w:numPr>
          <w:ilvl w:val="0"/>
          <w:numId w:val="1"/>
        </w:numPr>
        <w:spacing w:after="60"/>
      </w:pPr>
      <w:r>
        <w:t xml:space="preserve">§5 voucher description formula: computes cleanly when applied to scenarios 2 and 4, no undefined characters.</w:t>
      </w:r>
    </w:p>
    <w:p>
      <w:pPr>
        <w:pStyle w:val="ListParagraph"/>
        <w:numPr>
          <w:ilvl w:val="0"/>
          <w:numId w:val="1"/>
        </w:numPr>
        <w:spacing w:after="60"/>
      </w:pPr>
      <w:r>
        <w:t xml:space="preserve">§6.3.1 liability voucher formula: consistent with scenarios 1 and 2, and this cross-check partially resolves a previously-open item.</w:t>
      </w:r>
    </w:p>
    <w:p>
      <w:pPr>
        <w:pStyle w:val="ListParagraph"/>
        <w:numPr>
          <w:ilvl w:val="0"/>
          <w:numId w:val="1"/>
        </w:numPr>
        <w:spacing w:after="60"/>
      </w:pPr>
      <w:r>
        <w:t xml:space="preserve">No formula in Payment_Component_Calculation_Validation.docx itself was found to contradict any FSD-verified scenario in this pass. The §12 open items (particularly §12.1's exact Dr/Cr equality question) now have more concrete real-data support — recommend keeping the existing "add V8" position unchanged.</w:t>
      </w:r>
    </w:p>
    <w:p>
      <w:pPr>
        <w:spacing w:before="360" w:after="120"/>
      </w:pPr>
      <w:r>
        <w:rPr>
          <w:b/>
          <w:sz w:val="28"/>
          <w:szCs w:val="28"/>
        </w:rPr>
        <w:t xml:space="preserve">Spec Sync — 2026-08 Hardening Review (implementation)</w:t>
      </w:r>
    </w:p>
    <w:p>
      <w:r>
        <w:t xml:space="preserve">The following implementation hardening changes were applied to the Payment Component service after review; each is unit-tested (261 tests, 100% coverage). Recorded here for spec alignment.</w:t>
      </w:r>
    </w:p>
    <w:p>
      <w:pPr>
        <w:spacing w:before="120"/>
      </w:pPr>
      <w:r>
        <w:rPr>
          <w:b/>
        </w:rPr>
        <w:t xml:space="preserve">C-2 — Payload-aware idempotency: </w:t>
      </w:r>
      <w:r>
        <w:t xml:space="preserve">a repeat POST on the same natural key (originModule, mainRef, sequence) with a DIFFERENT request payload now returns 409 IDEMPOTENCY_KEY_CONFLICT instead of silently replaying the original; an identical resend still replays (200). A canonical request fingerprint (SHA-256) is stored as a system/control field alongside the instruction; the OAS response body is unchanged. (H-1, the concurrency race, is closed by the same production DB landing: UNIQUE(origin_module, main_ref, sequence) + atomic upsert comparing the fingerprint.)</w:t>
      </w:r>
    </w:p>
    <w:p>
      <w:pPr>
        <w:spacing w:before="120"/>
      </w:pPr>
      <w:r>
        <w:rPr>
          <w:b/>
        </w:rPr>
        <w:t xml:space="preserve">H-2 — Currency minor-unit validation: </w:t>
      </w:r>
      <w:r>
        <w:t xml:space="preserve">submitted amounts are validated against the currency's decimal places (Currency API decimals): amountTxCcy vs the transaction currency, amountAccountCcy vs the leg currency, and each Suspense entry vs its own currency. Over-precision (e.g. JPY 100.50, EUR 1.234) is rejected with 400. A currency absent from the master is skipped (source of truth).</w:t>
      </w:r>
    </w:p>
    <w:p>
      <w:pPr>
        <w:spacing w:before="120"/>
      </w:pPr>
      <w:r>
        <w:rPr>
          <w:b/>
        </w:rPr>
        <w:t xml:space="preserve">H-3 — SWIFT 32A vs 33B, and UETR: </w:t>
      </w:r>
      <w:r>
        <w:t xml:space="preserve">settlement amount (32A, settled/account currency) and instructed amount (33B, transaction currency) are no longer forced equal — they differ for a cross-currency payment; a new SwiftMessage.instructedCurrency field carries 33B's currency (same-currency payments unchanged). A gpi UETR (v4 UUID) is now populated on every message, shared by a leg's advice and its cover. serviceTypeId / isGpiMember remain a config-driven follow-up.</w:t>
      </w:r>
    </w:p>
    <w:p>
      <w:pPr>
        <w:spacing w:before="120"/>
      </w:pPr>
      <w:r>
        <w:rPr>
          <w:b/>
        </w:rPr>
        <w:t xml:space="preserve">M-1 — Negative amounts rejected: </w:t>
      </w:r>
      <w:r>
        <w:t xml:space="preserve">strictly-negative caller amounts (submitted legs + Suspense entries) are rejected with 400. Direction is expressed by the Dr/Cr side, never by sign; the only ledger negative is the FX Exchange (兌換) Dr/Cr side-swap, which the server generates on the opposite side with a positive amount, after validation.</w:t>
      </w:r>
    </w:p>
    <w:p>
      <w:pPr>
        <w:spacing w:before="120"/>
      </w:pPr>
      <w:r>
        <w:rPr>
          <w:b/>
        </w:rPr>
        <w:t xml:space="preserve">M-2 — Exchange rate must be greater than 0: </w:t>
      </w:r>
      <w:r>
        <w:t xml:space="preserve">a zero rate is rejected with 400; negative was already blocked by the ExchangeRate pattern (no leading sign). Applies to every rate field and to Suspense crossRate.</w:t>
      </w:r>
    </w:p>
    <w:p>
      <w:pPr>
        <w:spacing w:before="120"/>
      </w:pPr>
      <w:r>
        <w:rPr>
          <w:b/>
        </w:rPr>
        <w:t xml:space="preserve">M-7 — Exact balance for every module: </w:t>
      </w:r>
      <w:r>
        <w:t xml:space="preserve">the RPFM automatic +/-0.01 tolerance was removed; the Confirm flow now requires exact Dr = Cr for all originModules (RPFM included). The legacy +/-0.01 was a screen-level percentage-split slack, not a posting rule. A genuine rounding residual should be posted to an explicit rounding-difference leg (follow-up).</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Payment Component — Calculation &amp; Validation Reference v1.0 — traced against payment-instructions-post.yaml v1.2.0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20"/>
    </w:pPr>
    <w:rPr>
      <w:b/>
      <w:bCs/>
      <w:color w:val="1F4E78"/>
      <w:sz w:val="32"/>
      <w:szCs w:val="32"/>
    </w:rPr>
  </w:style>
  <w:style w:type="paragraph" w:styleId="Heading2">
    <w:name w:val="Heading 2"/>
    <w:basedOn w:val="Normal"/>
    <w:next w:val="Normal"/>
    <w:qFormat/>
    <w:pPr>
      <w:spacing w:after="120" w:before="240"/>
    </w:pPr>
    <w:rPr>
      <w:b/>
      <w:bCs/>
      <w:color w:val="2E75B6"/>
      <w:sz w:val="26"/>
      <w:szCs w:val="26"/>
    </w:rPr>
  </w:style>
  <w:style w:type="paragraph" w:styleId="Heading3">
    <w:name w:val="Heading 3"/>
    <w:basedOn w:val="Normal"/>
    <w:next w:val="Normal"/>
    <w:qFormat/>
    <w:pPr>
      <w:spacing w:after="100" w:before="200"/>
    </w:pPr>
    <w:rPr>
      <w:b/>
      <w:bCs/>
      <w:color w:val="2E75B6"/>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Payment Component — Calculation &amp; Validation Reference</dc:title>
  <dc:creator>Trade Finance BA / Technical Analysis</dc:creator>
  <dc:description>Embedded-formula reference for the calculations and validation rules POST /payment-instructions must implement, traced to original source (SSSS_PaymentDebit.js, SSSS_PaymentCredit.js, TrxSys.js).</dc:description>
  <cp:lastModifiedBy>Un-named</cp:lastModifiedBy>
  <cp:revision>1</cp:revision>
  <dcterms:created xsi:type="dcterms:W3CDTF">2026-08-06T12:36:54.874Z</dcterms:created>
  <dcterms:modified xsi:type="dcterms:W3CDTF">2026-08-06T12:36:54.875Z</dcterms:modified>
</cp:coreProperties>
</file>

<file path=docProps/custom.xml><?xml version="1.0" encoding="utf-8"?>
<Properties xmlns="http://schemas.openxmlformats.org/officeDocument/2006/custom-properties" xmlns:vt="http://schemas.openxmlformats.org/officeDocument/2006/docPropsVTypes"/>
</file>