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anchor distT="0" distB="0" distL="0" distR="0" simplePos="0" allowOverlap="1" behindDoc="1" locked="0" layoutInCell="1" relativeHeight="581025">
            <wp:simplePos x="0" y="0"/>
            <wp:positionH relativeFrom="page">
              <wp:posOffset>6134100</wp:posOffset>
            </wp:positionH>
            <wp:positionV relativeFrom="page">
              <wp:posOffset>666750</wp:posOffset>
            </wp:positionV>
            <wp:extent cx="609600" cy="58102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0" layoutInCell="1" relativeHeight="333375">
            <wp:simplePos x="0" y="0"/>
            <wp:positionH relativeFrom="page">
              <wp:posOffset>1000125</wp:posOffset>
            </wp:positionH>
            <wp:positionV relativeFrom="page">
              <wp:posOffset>8934450</wp:posOffset>
            </wp:positionV>
            <wp:extent cx="1428750" cy="3333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0" layoutInCell="1" relativeHeight="238125">
            <wp:simplePos x="0" y="0"/>
            <wp:positionH relativeFrom="page">
              <wp:posOffset>1000125</wp:posOffset>
            </wp:positionH>
            <wp:positionV relativeFrom="page">
              <wp:posOffset>9363075</wp:posOffset>
            </wp:positionV>
            <wp:extent cx="1190625" cy="23812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before="3400"/>
      </w:pPr>
    </w:p>
    <w:p>
      <w:pPr>
        <w:spacing w:after="40" w:before="0" w:line="240"/>
        <w:jc w:val="center"/>
      </w:pPr>
      <w:r>
        <w:rPr>
          <w:rFonts w:ascii="Oswald Medium" w:cs="Oswald Medium" w:eastAsia="Oswald Medium" w:hAnsi="Oswald Medium"/>
          <w:color w:val="000000"/>
          <w:sz w:val="56"/>
          <w:szCs w:val="56"/>
        </w:rPr>
        <w:t xml:space="preserve">MT2XX / PACS.009 BUSINESS SCENARIOS</w:t>
      </w:r>
    </w:p>
    <w:p>
      <w:pPr>
        <w:spacing w:after="40" w:before="0" w:line="240"/>
        <w:jc w:val="center"/>
      </w:pPr>
      <w:r>
        <w:rPr>
          <w:rFonts w:ascii="Montserrat" w:cs="Montserrat" w:eastAsia="Montserrat" w:hAnsi="Montserrat"/>
          <w:b/>
          <w:bCs/>
          <w:color w:val="000000"/>
          <w:sz w:val="36"/>
          <w:szCs w:val="36"/>
        </w:rPr>
        <w:t xml:space="preserve">SSI RESOLUTION 与 PROFILE ROUTING</w:t>
      </w:r>
    </w:p>
    <w:p>
      <w:pPr>
        <w:spacing w:after="40" w:before="0" w:line="240"/>
        <w:jc w:val="center"/>
      </w:pPr>
      <w:r>
        <w:rPr>
          <w:rFonts w:ascii="Montserrat" w:cs="Montserrat" w:eastAsia="Montserrat" w:hAnsi="Montserrat"/>
          <w:color w:val="000000"/>
          <w:sz w:val="28"/>
          <w:szCs w:val="28"/>
        </w:rPr>
        <w:t xml:space="preserve">SR2026 • OUTWARD SSI ONLY • CORRECTION PENDING</w:t>
      </w:r>
    </w:p>
    <w:p>
      <w:pPr>
        <w:spacing w:after="40" w:before="500"/>
        <w:jc w:val="center"/>
      </w:pPr>
      <w:r>
        <w:rPr>
          <w:rFonts w:ascii="Montserrat" w:cs="Montserrat" w:eastAsia="Montserrat" w:hAnsi="Montserrat"/>
          <w:color w:val="000000"/>
          <w:sz w:val="22"/>
          <w:szCs w:val="22"/>
        </w:rPr>
        <w:t xml:space="preserve">China Systems | 修订日期：2026-10-03</w:t>
      </w:r>
    </w:p>
    <w:p>
      <w:pPr>
        <w:sectPr>
          <w:pgSz w:w="11906" w:h="16838" w:orient="portrait"/>
          <w:pgMar w:top="1000" w:right="1300" w:bottom="1300" w:left="1300" w:header="280" w:footer="400" w:gutter="0"/>
          <w:pgNumType/>
          <w:docGrid w:linePitch="360"/>
        </w:sectPr>
      </w:pP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LC SSI Workbench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MT2xx / pacs.009 業務案例：SSI Resolution 與 Profile 路由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依 SWIFT SR2026 MRG、CBPR+ Usage Guideline 與 MT2 受控記憶 v2.1 核對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5"/>
        <w:gridCol w:w="7181"/>
      </w:tblGrid>
      <w:tr>
        <w:trPr>
          <w:cantSplit/>
          <w:tblHeader/>
        </w:trPr>
        <w:tc>
          <w:tcPr>
            <w:tcW w:type="dxa" w:w="21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項目</w:t>
            </w:r>
          </w:p>
        </w:tc>
        <w:tc>
          <w:tcPr>
            <w:tcW w:type="dxa" w:w="7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21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範圍</w:t>
            </w:r>
          </w:p>
        </w:tc>
        <w:tc>
          <w:tcPr>
            <w:tcW w:type="dxa" w:w="7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MT202 → pacs.009 plain；MT202COV → pacs.009 COV；MT205 → pacs.009 plain；MT205COV → pacs.009 COV。ADV 只作為排除守則。</w:t>
            </w:r>
          </w:p>
        </w:tc>
      </w:tr>
      <w:tr>
        <w:trPr>
          <w:cantSplit/>
        </w:trPr>
        <w:tc>
          <w:tcPr>
            <w:tcW w:type="dxa" w:w="21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排除</w:t>
            </w:r>
          </w:p>
        </w:tc>
        <w:tc>
          <w:tcPr>
            <w:tcW w:type="dxa" w:w="7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MT204（SENDER_​BENEFICIARY_​DIRECT_​DEBIT）的 ISO 目標是 pacs.010，不是 pacs.009，MT204 規則不得由本文推導。</w:t>
            </w:r>
          </w:p>
        </w:tc>
      </w:tr>
      <w:tr>
        <w:trPr>
          <w:cantSplit/>
        </w:trPr>
        <w:tc>
          <w:tcPr>
            <w:tcW w:type="dxa" w:w="21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方向</w:t>
            </w:r>
          </w:p>
        </w:tc>
        <w:tc>
          <w:tcPr>
            <w:tcW w:type="dxa" w:w="7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OUTWARD ONLY：本行為 Sender，對手行為 Receiver。</w:t>
            </w:r>
          </w:p>
        </w:tc>
      </w:tr>
      <w:tr>
        <w:trPr>
          <w:cantSplit/>
        </w:trPr>
        <w:tc>
          <w:tcPr>
            <w:tcW w:type="dxa" w:w="21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來源</w:t>
            </w:r>
          </w:p>
        </w:tc>
        <w:tc>
          <w:tcPr>
            <w:tcW w:type="dxa" w:w="7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SWIFT/​us2m_​20260717.pdf（Category 2 MRG，SR2026）；CBPR+ pacs.009.001.08 Usage Guideline（長版為欄位級權威）；memory/​ssi/​swift-​mt2xx-​pacs009-​v2.md（v2.1）。</w:t>
            </w:r>
          </w:p>
        </w:tc>
      </w:tr>
      <w:tr>
        <w:trPr>
          <w:cantSplit/>
        </w:trPr>
        <w:tc>
          <w:tcPr>
            <w:tcW w:type="dxa" w:w="21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文件日期</w:t>
            </w:r>
          </w:p>
        </w:tc>
        <w:tc>
          <w:tcPr>
            <w:tcW w:type="dxa" w:w="7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2026-​10-​02</w:t>
            </w:r>
          </w:p>
        </w:tc>
      </w:tr>
      <w:tr>
        <w:trPr>
          <w:cantSplit/>
        </w:trPr>
        <w:tc>
          <w:tcPr>
            <w:tcW w:type="dxa" w:w="21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受控狀態</w:t>
            </w:r>
          </w:p>
        </w:tc>
        <w:tc>
          <w:tcPr>
            <w:tcW w:type="dxa" w:w="7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v2.1 為 CORRECTION PENDING：v2 的接受已被取代，v2.1 等待 BA/​QA Four-​eyes。本文不取代受控記憶。</w:t>
            </w:r>
          </w:p>
        </w:tc>
      </w:tr>
    </w:tbl>
    <w:p>
      <w:pPr>
        <w:spacing w:after="40" w:before="0" w:line="240"/>
      </w:pP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6"/>
      </w:tblGrid>
      <w:tr>
        <w:trPr>
          <w:cantSplit/>
          <w:tblHeader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重要聲明：本文所有 BIC、帳號與機構名稱皆為說明用的自編示意值，不是正式 fixture，不得用來判斷產品缺陷。每條陳述都標明屬於 SWIFT 規則、BA 裁定、QA 不變式或產品政策中的哪一類，不得混同。</w:t>
            </w:r>
          </w:p>
        </w:tc>
      </w:tr>
    </w:tbl>
    <w:p>
      <w:pPr>
        <w:spacing w:after="40" w:before="0" w:line="240"/>
      </w:pP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6"/>
      </w:tblGrid>
      <w:tr>
        <w:trPr>
          <w:cantSplit/>
          <w:tblHeader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本次實際核對：SR2026 Category 2 MRG、pacs.009 plain/​COV/​ADV 長版指南，以及目前 active 的 MT2 Outward SSI-​Only Revision Proposal。不得引用已刪除報告或舊提交內容作為本候選的 normative BA ruling。</w:t>
            </w:r>
          </w:p>
        </w:tc>
      </w:tr>
    </w:tbl>
    <w:p>
      <w:pPr>
        <w:spacing w:after="40" w:before="0" w:line="240"/>
      </w:pPr>
    </w:p>
    <w:p>
      <w:pPr>
        <w:pStyle w:val="Heading1"/>
      </w:pPr>
      <w:r>
        <w:rPr>
          <w:rFonts w:ascii="Oswald Medium" w:cs="Oswald Medium" w:eastAsia="Oswald Medium" w:hAnsi="Oswald Medium"/>
          <w:color w:val="000000"/>
          <w:sz w:val="32"/>
          <w:szCs w:val="32"/>
        </w:rPr>
        <w:t xml:space="preserve">治理补充一：完整 settlement route 与两段式解析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MT2 不是逐 Tag 独立选值。Counterparty SSI 与 Own SSI／Nostro／Account Master 维持独立 ownership，但必须在 resolution 前原子绑定为不可拆分、版本锁定的完整 settlement route。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每个 Scenario 必须声明 Counterparty／Receiver SSI bank 与 Own Nostro account servicer 的关系：SAME、DIFFERENT 或 NOT_APPLICABLE。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Discovery 使用 profile、scenario、currency、booking entity、value date、counterparty／current hop 与治理版本，返回完整 route candidates、唯一推荐候选和 opaque snapshot。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只有完整 route 唯一时才可自动选择；多候选必须选择整条 route，禁止分别混搭 53／54／56／57／58。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Resolve 只接受 selected route identity、discovery snapshot 与幂等识别；重新验证后原子返回 Counterparty SSI、Own Nostro 及同源 MT/MX evidence。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Snapshot、record version、profile、fixture、topology、RMA 或 jurisdiction 任一变化必须返回 STALE／typed failure，不得静默改选。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9"/>
        <w:gridCol w:w="5397"/>
      </w:tblGrid>
      <w:tr>
        <w:trPr>
          <w:cantSplit/>
          <w:tblHeader/>
        </w:trPr>
        <w:tc>
          <w:tcPr>
            <w:tcW w:type="dxa" w:w="39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结果条件</w:t>
            </w:r>
          </w:p>
        </w:tc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受控结果</w:t>
            </w:r>
          </w:p>
        </w:tc>
      </w:tr>
      <w:tr>
        <w:trPr>
          <w:cantSplit/>
        </w:trPr>
        <w:tc>
          <w:tcPr>
            <w:tcW w:type="dxa" w:w="39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唯一完整 eligible route</w:t>
            </w:r>
          </w:p>
        </w:tc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ELIGIBLE_​COMPLETE_​ROUTE + routeBindingId + contextSnapshotId</w:t>
            </w:r>
          </w:p>
        </w:tc>
      </w:tr>
      <w:tr>
        <w:trPr>
          <w:cantSplit/>
        </w:trPr>
        <w:tc>
          <w:tcPr>
            <w:tcW w:type="dxa" w:w="39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没有完整候选</w:t>
            </w:r>
          </w:p>
        </w:tc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NO_​ELIGIBLE_​SSI 或更具体的 PROFILE_​INCOMPLETE／JURISDICTION_​NOT_​PERMITTED</w:t>
            </w:r>
          </w:p>
        </w:tc>
      </w:tr>
      <w:tr>
        <w:trPr>
          <w:cantSplit/>
        </w:trPr>
        <w:tc>
          <w:tcPr>
            <w:tcW w:type="dxa" w:w="39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最高 business rank 并列</w:t>
            </w:r>
          </w:p>
        </w:tc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AMBIGUOUS_​ROUTE；不得以 UUID、时间或资料列顺序破同分</w:t>
            </w:r>
          </w:p>
        </w:tc>
      </w:tr>
      <w:tr>
        <w:trPr>
          <w:cantSplit/>
        </w:trPr>
        <w:tc>
          <w:tcPr>
            <w:tcW w:type="dxa" w:w="39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Snapshot 或治理版本变化</w:t>
            </w:r>
          </w:p>
        </w:tc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STALE；必须重新 discovery</w:t>
            </w:r>
          </w:p>
        </w:tc>
      </w:tr>
      <w:tr>
        <w:trPr>
          <w:cantSplit/>
        </w:trPr>
        <w:tc>
          <w:tcPr>
            <w:tcW w:type="dxa" w:w="39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跨 candidate 混搭</w:t>
            </w:r>
          </w:p>
        </w:tc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INVALID_​CONTEXT_​TOPOLOGY</w:t>
            </w:r>
          </w:p>
        </w:tc>
      </w:tr>
    </w:tbl>
    <w:p>
      <w:pPr>
        <w:spacing w:after="40" w:before="0" w:line="240"/>
      </w:pPr>
    </w:p>
    <w:p>
      <w:pPr>
        <w:pStyle w:val="Heading1"/>
      </w:pPr>
      <w:r>
        <w:rPr>
          <w:rFonts w:ascii="Oswald Medium" w:cs="Oswald Medium" w:eastAsia="Oswald Medium" w:hAnsi="Oswald Medium"/>
          <w:color w:val="000000"/>
          <w:sz w:val="32"/>
          <w:szCs w:val="32"/>
        </w:rPr>
        <w:t xml:space="preserve">治理补充二：Transport、RMA 与可执行性边界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正常 default 是 FINPLUS／MX pacs.009.001.08：Core 使用 swift.cbprplus.04，COV 使用 swift.cbprplus.cov.04。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FIN／MT 只允许受控 contingency policy，且需要明确 intent／reason、权限与重新 Four-eyes；不得自动 fallback。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RMA 在完整 route 与 Delivery Policy 确定 actualReceiverBic 和 executionTransport 后，按 receiver、service／channel、direction、exact profile 与 effective date 作最终授权。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displayFormat 与 executionTransport 必须分离；切换 MT compatibility view 不得重跑 SSI、改变 route、RMA、Nostro 或 snapshot hash。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所有结果仍为 SSI_RESOLUTION_ONLY：paymentExecutable=false、payloadGenerated=false、confirmedResolutionCreated=false、repairQueueCreated=false。</w:t>
      </w:r>
    </w:p>
    <w:p>
      <w:pPr>
        <w:pStyle w:val="Heading1"/>
      </w:pPr>
      <w:r>
        <w:rPr>
          <w:rFonts w:ascii="Oswald Medium" w:cs="Oswald Medium" w:eastAsia="Oswald Medium" w:hAnsi="Oswald Medium"/>
          <w:color w:val="000000"/>
          <w:sz w:val="32"/>
          <w:szCs w:val="32"/>
        </w:rPr>
        <w:t xml:space="preserve">治理补充三：唯一 QA Catalogue 与证据身份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92"/>
        <w:gridCol w:w="6514"/>
      </w:tblGrid>
      <w:tr>
        <w:trPr>
          <w:cantSplit/>
          <w:tblHeader/>
        </w:trPr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受控项目</w:t>
            </w:r>
          </w:p>
        </w:tc>
        <w:tc>
          <w:tcPr>
            <w:tcW w:type="dxa" w:w="6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当前身份</w:t>
            </w:r>
          </w:p>
        </w:tc>
      </w:tr>
      <w:tr>
        <w:trPr>
          <w:cantSplit/>
        </w:trPr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Active case catalogue</w:t>
            </w:r>
          </w:p>
        </w:tc>
        <w:tc>
          <w:tcPr>
            <w:tcW w:type="dxa" w:w="6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data/​qa/​mt2/​mt2-​pacs009-​proposal-​case-​groups.json；expectedExpandedCaseCount=57；SHA-​256 20B6F4B19EF28CE86657EB0D9A270ECF3B769941250AF2DC01D7424D0B0D1862</w:t>
            </w:r>
          </w:p>
        </w:tc>
      </w:tr>
      <w:tr>
        <w:trPr>
          <w:cantSplit/>
        </w:trPr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Executable fixtures</w:t>
            </w:r>
          </w:p>
        </w:tc>
        <w:tc>
          <w:tcPr>
            <w:tcW w:type="dxa" w:w="6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data/​qa/​mt2/​mt2-​pacs009-​proposal-​fixtures.json；SHA-​256 ADF35D9B75DD89959A3A8D0BC6BC6483E67271A25845FB5CFD5DD0B416732D05</w:t>
            </w:r>
          </w:p>
        </w:tc>
      </w:tr>
      <w:tr>
        <w:trPr>
          <w:cantSplit/>
        </w:trPr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Active Proposal</w:t>
            </w:r>
          </w:p>
        </w:tc>
        <w:tc>
          <w:tcPr>
            <w:tcW w:type="dxa" w:w="6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memory/​ssi/​mt2/​MT2_​PACS009_​OUTWARD_​SSI_​ONLY_​REVISION_​PROPOSAL_​v1_​DRAFT.md；SHA-​256 E9A3C45F7143559A88623C3DD594CB4F8B3CD04318891D7CE3A0C7F0E69F0578</w:t>
            </w:r>
          </w:p>
        </w:tc>
      </w:tr>
      <w:tr>
        <w:trPr>
          <w:cantSplit/>
        </w:trPr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Canonical denominator</w:t>
            </w:r>
          </w:p>
        </w:tc>
        <w:tc>
          <w:tcPr>
            <w:tcW w:type="dxa" w:w="6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唯一 active acceptance 分母为 57 个明确 executable cases，由 active catalogue 的 expectedExpandedCaseCount、同 identity fixtures 与 Gate 重算；本文的 9 项矩阵仅是业务摘要，不是验收分母。治理文件不再保存第二个手工 case 数字。</w:t>
            </w:r>
          </w:p>
        </w:tc>
      </w:tr>
    </w:tbl>
    <w:p>
      <w:pPr>
        <w:spacing w:after="40" w:before="0" w:line="240"/>
      </w:pPr>
    </w:p>
    <w:p>
      <w:pPr>
        <w:pStyle w:val="Heading1"/>
      </w:pPr>
      <w:r>
        <w:rPr>
          <w:rFonts w:ascii="Oswald Medium" w:cs="Oswald Medium" w:eastAsia="Oswald Medium" w:hAnsi="Oswald Medium"/>
          <w:color w:val="000000"/>
          <w:sz w:val="32"/>
          <w:szCs w:val="32"/>
        </w:rPr>
        <w:t xml:space="preserve">一、知識分類與來源優先序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20"/>
        <w:gridCol w:w="7086"/>
      </w:tblGrid>
      <w:tr>
        <w:trPr>
          <w:cantSplit/>
          <w:tblHeader/>
        </w:trPr>
        <w:tc>
          <w:tcPr>
            <w:tcW w:type="dxa" w:w="22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類別</w:t>
            </w:r>
          </w:p>
        </w:tc>
        <w:tc>
          <w:tcPr>
            <w:tcW w:type="dxa" w:w="7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意義</w:t>
            </w:r>
          </w:p>
        </w:tc>
      </w:tr>
      <w:tr>
        <w:trPr>
          <w:cantSplit/>
        </w:trPr>
        <w:tc>
          <w:tcPr>
            <w:tcW w:type="dxa" w:w="22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Normative rule</w:t>
            </w:r>
          </w:p>
        </w:tc>
        <w:tc>
          <w:tcPr>
            <w:tcW w:type="dxa" w:w="7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取自指明的 SWIFT MRG 或 CBPR+ Usage Guideline 的規範。</w:t>
            </w:r>
          </w:p>
        </w:tc>
      </w:tr>
      <w:tr>
        <w:trPr>
          <w:cantSplit/>
        </w:trPr>
        <w:tc>
          <w:tcPr>
            <w:tcW w:type="dxa" w:w="22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BA ruling</w:t>
            </w:r>
          </w:p>
        </w:tc>
        <w:tc>
          <w:tcPr>
            <w:tcW w:type="dxa" w:w="7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業務分析對受控情境與資料事實所作的解讀。</w:t>
            </w:r>
          </w:p>
        </w:tc>
      </w:tr>
      <w:tr>
        <w:trPr>
          <w:cantSplit/>
        </w:trPr>
        <w:tc>
          <w:tcPr>
            <w:tcW w:type="dxa" w:w="22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QA invariant</w:t>
            </w:r>
          </w:p>
        </w:tc>
        <w:tc>
          <w:tcPr>
            <w:tcW w:type="dxa" w:w="7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由規範與 BA 裁定推導出的驗收條件。</w:t>
            </w:r>
          </w:p>
        </w:tc>
      </w:tr>
      <w:tr>
        <w:trPr>
          <w:cantSplit/>
        </w:trPr>
        <w:tc>
          <w:tcPr>
            <w:tcW w:type="dxa" w:w="22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Product policy /​ observation</w:t>
            </w:r>
          </w:p>
        </w:tc>
        <w:tc>
          <w:tcPr>
            <w:tcW w:type="dxa" w:w="7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產品實作層的行為，不是 SWIFT 規則，須有自己的測試或證據編號。</w:t>
            </w:r>
          </w:p>
        </w:tc>
      </w:tr>
    </w:tbl>
    <w:p>
      <w:pPr>
        <w:spacing w:after="40" w:before="0" w:line="240"/>
      </w:pPr>
    </w:p>
    <w:p>
      <w:pPr>
        <w:pStyle w:val="Heading2"/>
      </w:pPr>
      <w:r>
        <w:rPr>
          <w:rFonts w:ascii="Oswald" w:cs="Oswald" w:eastAsia="Oswald" w:hAnsi="Oswald"/>
          <w:color w:val="000000"/>
          <w:sz w:val="28"/>
          <w:szCs w:val="28"/>
        </w:rPr>
        <w:t xml:space="preserve">SR2026 與 SR2025 的取用順序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一律先用對應的 SR2026 規則與文件。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只有在 SR2026 缺少該規則或文件，且客戶、通道或第三方 MT↔MX converter 合約明確要求舊行為時，才以 SR2025 作相容性後備。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SR2026 明確的廢止、禁止或變更具有決定性，不可用 SR2025 讓已移除的行為復活。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不可悄悄混用兩個版次的個別規則；證據必須記錄所選版次、檔名、SHA、converter 版本與設定，以及後備的確切原因。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MT202、MT202COV、MT205、MT205COV 的基本 NVR 在 SR2026 皆存在，故以 SR2026 為準，不使用 SR2025。</w:t>
      </w:r>
    </w:p>
    <w:p>
      <w:pPr>
        <w:pStyle w:val="Heading1"/>
      </w:pPr>
      <w:r>
        <w:rPr>
          <w:rFonts w:ascii="Oswald Medium" w:cs="Oswald Medium" w:eastAsia="Oswald Medium" w:hAnsi="Oswald Medium"/>
          <w:color w:val="000000"/>
          <w:sz w:val="32"/>
          <w:szCs w:val="32"/>
        </w:rPr>
        <w:t xml:space="preserve">二、Profile 路由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plain、COV、ADV 三者的 MsgDefIdr 都是 pacs.009.001.08。因此必須以業務情境與 BAH BizSvc 選定 profile，不得用 MsgDefIdr 或 MT 代碼單獨判斷。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2"/>
        <w:gridCol w:w="2800"/>
        <w:gridCol w:w="2220"/>
        <w:gridCol w:w="3223"/>
      </w:tblGrid>
      <w:tr>
        <w:trPr>
          <w:cantSplit/>
          <w:tblHeader/>
        </w:trPr>
        <w:tc>
          <w:tcPr>
            <w:tcW w:type="dxa" w:w="1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Profile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BizSvc</w:t>
            </w:r>
          </w:p>
        </w:tc>
        <w:tc>
          <w:tcPr>
            <w:tcW w:type="dxa" w:w="22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用於</w:t>
            </w:r>
          </w:p>
        </w:tc>
        <w:tc>
          <w:tcPr>
            <w:tcW w:type="dxa" w:w="3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重點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plain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swift.cbprplus.04</w:t>
            </w:r>
          </w:p>
        </w:tc>
        <w:tc>
          <w:tcPr>
            <w:tcW w:type="dxa" w:w="22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MT202、MT205</w:t>
            </w:r>
          </w:p>
        </w:tc>
        <w:tc>
          <w:tcPr>
            <w:tcW w:type="dxa" w:w="3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長版指南 p.16（已核對）。underlying 客戶區塊已移除。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COV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swift.cbprplus.cov.04</w:t>
            </w:r>
          </w:p>
        </w:tc>
        <w:tc>
          <w:tcPr>
            <w:tcW w:type="dxa" w:w="22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MT202COV、MT205COV</w:t>
            </w:r>
          </w:p>
        </w:tc>
        <w:tc>
          <w:tcPr>
            <w:tcW w:type="dxa" w:w="3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長版指南 p.17。underlying 客戶區塊為必填。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ADV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swift.cbprplus.adv.04</w:t>
            </w:r>
          </w:p>
        </w:tc>
        <w:tc>
          <w:tcPr>
            <w:tcW w:type="dxa" w:w="22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排除守則</w:t>
            </w:r>
          </w:p>
        </w:tc>
        <w:tc>
          <w:tcPr>
            <w:tcW w:type="dxa" w:w="3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純 cover 預告，不做清算結算，永遠不得產生結算入帳；之後的 CORE pacs.009 才做結算。長版指南 p.3、p.15。</w:t>
            </w:r>
          </w:p>
        </w:tc>
      </w:tr>
    </w:tbl>
    <w:p>
      <w:pPr>
        <w:spacing w:after="40" w:before="0" w:line="240"/>
      </w:pP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QA 不變式：相同 MsgDefIdr 但不同 BizSvc 必須選到不同 profile；報文內容不變而 profile 改變，視為失敗。</w:t>
      </w:r>
    </w:p>
    <w:p>
      <w:pPr>
        <w:pStyle w:val="Heading1"/>
      </w:pPr>
      <w:r>
        <w:rPr>
          <w:rFonts w:ascii="Oswald Medium" w:cs="Oswald Medium" w:eastAsia="Oswald Medium" w:hAnsi="Oswald Medium"/>
          <w:color w:val="000000"/>
          <w:sz w:val="32"/>
          <w:szCs w:val="32"/>
        </w:rPr>
        <w:t xml:space="preserve">三、四種 MT 的使用條件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5"/>
        <w:gridCol w:w="1159"/>
        <w:gridCol w:w="4381"/>
        <w:gridCol w:w="2511"/>
      </w:tblGrid>
      <w:tr>
        <w:trPr>
          <w:cantSplit/>
          <w:tblHeader/>
        </w:trPr>
        <w:tc>
          <w:tcPr>
            <w:tcW w:type="dxa" w:w="1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MT</w:t>
            </w:r>
          </w:p>
        </w:tc>
        <w:tc>
          <w:tcPr>
            <w:tcW w:type="dxa" w:w="1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目標 profile</w:t>
            </w:r>
          </w:p>
        </w:tc>
        <w:tc>
          <w:tcPr>
            <w:tcW w:type="dxa" w:w="4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關鍵規則（MRG 規範）</w:t>
            </w:r>
          </w:p>
        </w:tc>
        <w:tc>
          <w:tcPr>
            <w:tcW w:type="dxa" w:w="2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頁碼（us2m_​20260717）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MT202</w:t>
            </w:r>
          </w:p>
        </w:tc>
        <w:tc>
          <w:tcPr>
            <w:tcW w:type="dxa" w:w="1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plain</w:t>
            </w:r>
          </w:p>
        </w:tc>
        <w:tc>
          <w:tcPr>
            <w:tcW w:type="dxa" w:w="4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一般金融機構調撥，不得攜帶 cover 的 underlying 客戶內容。兩個 Sender 自有帳戶間劃轉時，53B 為借方帳號、58A 為貸方帳號加 Sender。多重直接帳戶時 53a 用 Option B 且只放 Party Identifier；57a 缺席代表 Receiver 即 AWI。</w:t>
            </w:r>
          </w:p>
        </w:tc>
        <w:tc>
          <w:tcPr>
            <w:tcW w:type="dxa" w:w="2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p.39–40、46、52、54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MT202COV</w:t>
            </w:r>
          </w:p>
        </w:tc>
        <w:tc>
          <w:tcPr>
            <w:tcW w:type="dxa" w:w="1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COV</w:t>
            </w:r>
          </w:p>
        </w:tc>
        <w:tc>
          <w:tcPr>
            <w:tcW w:type="dxa" w:w="4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只用於以 cover 方式發出的 underlying 客戶匯款。user header 須有 field 119 = COV 與 field 121 UETR。underlying 有 UETR 就原樣複製，否則使用新的 UETR。Sequence B 為必填。不得用於其他銀行間調撥。</w:t>
            </w:r>
          </w:p>
        </w:tc>
        <w:tc>
          <w:tcPr>
            <w:tcW w:type="dxa" w:w="2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p.59–60；Sequence A 的 58a 用法 p.75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MT205</w:t>
            </w:r>
          </w:p>
        </w:tc>
        <w:tc>
          <w:tcPr>
            <w:tcW w:type="dxa" w:w="1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plain</w:t>
            </w:r>
          </w:p>
        </w:tc>
        <w:tc>
          <w:tcPr>
            <w:tcW w:type="dxa" w:w="4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由 Cat 2 訊息的 Receiver 發出，向受益機構一方進一步傳遞，限 Sender 與 Receiver 在同一國家。若與 cover 方式的 underlying 客戶匯款相關，不得使用 MT205。上一則訊息為 MT200 或 201 時，58a 與 52a 內容相同。</w:t>
            </w:r>
          </w:p>
        </w:tc>
        <w:tc>
          <w:tcPr>
            <w:tcW w:type="dxa" w:w="2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p.134、136、139、148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MT205COV</w:t>
            </w:r>
          </w:p>
        </w:tc>
        <w:tc>
          <w:tcPr>
            <w:tcW w:type="dxa" w:w="1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COV</w:t>
            </w:r>
          </w:p>
        </w:tc>
        <w:tc>
          <w:tcPr>
            <w:tcW w:type="dxa" w:w="4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由 MT202COV、MT205COV 或等價訊息的 Receiver 發出，用於進一步傳遞。119 = COV、UETR、cover 序列必填。field 21 與 field 121 須原樣傳遞。不得轉送給受益金融機構作報告用途。</w:t>
            </w:r>
          </w:p>
        </w:tc>
        <w:tc>
          <w:tcPr>
            <w:tcW w:type="dxa" w:w="2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p.153、155、168</w:t>
            </w:r>
          </w:p>
        </w:tc>
      </w:tr>
    </w:tbl>
    <w:p>
      <w:pPr>
        <w:spacing w:after="40" w:before="0" w:line="240"/>
      </w:pP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6"/>
      </w:tblGrid>
      <w:tr>
        <w:trPr>
          <w:cantSplit/>
          <w:tblHeader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MT205 與 MT205COV 的等價規則不可互相套用：INITIAL_​MT200_​201_​EQUIVALENCE 只適用 MT205，NO_​MT200_​201_​EQUIVALENCE 只適用 MT205COV。必須由「保留下來的上游訊息 provenance」觸發，絕不能因為 52a 等於 58a 就推論初始訊息是 MT200/​201。</w:t>
            </w:r>
          </w:p>
        </w:tc>
      </w:tr>
    </w:tbl>
    <w:p>
      <w:pPr>
        <w:spacing w:after="40" w:before="0" w:line="240"/>
      </w:pPr>
    </w:p>
    <w:p>
      <w:pPr>
        <w:pStyle w:val="Heading1"/>
      </w:pPr>
      <w:r>
        <w:rPr>
          <w:rFonts w:ascii="Oswald Medium" w:cs="Oswald Medium" w:eastAsia="Oswald Medium" w:hAnsi="Oswald Medium"/>
          <w:color w:val="000000"/>
          <w:sz w:val="32"/>
          <w:szCs w:val="32"/>
        </w:rPr>
        <w:t xml:space="preserve">四、pacs.009 欄位錨點</w:t>
      </w:r>
    </w:p>
    <w:p>
      <w:pPr>
        <w:pStyle w:val="Heading2"/>
      </w:pPr>
      <w:r>
        <w:rPr>
          <w:rFonts w:ascii="Oswald" w:cs="Oswald" w:eastAsia="Oswald" w:hAnsi="Oswald"/>
          <w:color w:val="000000"/>
          <w:sz w:val="28"/>
          <w:szCs w:val="28"/>
        </w:rPr>
        <w:t xml:space="preserve">plain（swift.cbprplus.04，長版 343 頁）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60"/>
        <w:gridCol w:w="4135"/>
        <w:gridCol w:w="2211"/>
      </w:tblGrid>
      <w:tr>
        <w:trPr>
          <w:cantSplit/>
          <w:tblHeader/>
        </w:trPr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元素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規則</w:t>
            </w:r>
          </w:p>
        </w:tc>
        <w:tc>
          <w:tcPr>
            <w:tcW w:type="dxa" w:w="22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頁碼與核對狀態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BizSvc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固定值 swift.cbprplus.04</w:t>
            </w:r>
          </w:p>
        </w:tc>
        <w:tc>
          <w:tcPr>
            <w:tcW w:type="dxa" w:w="22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p.16，已核對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CdtrAcct（主）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主 CdtrAcct 的位置</w:t>
            </w:r>
          </w:p>
        </w:tc>
        <w:tc>
          <w:tcPr>
            <w:tcW w:type="dxa" w:w="22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p.85，已核對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UnderlyingCustomerCreditTransfer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容器已移除</w:t>
            </w:r>
          </w:p>
        </w:tc>
        <w:tc>
          <w:tcPr>
            <w:tcW w:type="dxa" w:w="22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p.89，已核對（原文：該元素已 removed）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p.101 的 CdtrAcct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位於已移除的容器內，不可作為 plain 的映射</w:t>
            </w:r>
          </w:p>
        </w:tc>
        <w:tc>
          <w:tcPr>
            <w:tcW w:type="dxa" w:w="22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p.101 該頁確有 CdtrAcct，已核對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SttlmAcct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p.260 明載 synonym 為 MT 53B（Sender's Correspondent 的借方帳戶）</w:t>
            </w:r>
          </w:p>
        </w:tc>
        <w:tc>
          <w:tcPr>
            <w:tcW w:type="dxa" w:w="22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p.259–260，p.260 已核對</w:t>
            </w:r>
          </w:p>
        </w:tc>
      </w:tr>
      <w:tr>
        <w:trPr>
          <w:cantSplit/>
        </w:trPr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SttlmMtd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只留 INDA、INGA；CLRG、COVE 已移除</w:t>
            </w:r>
          </w:p>
        </w:tc>
        <w:tc>
          <w:tcPr>
            <w:tcW w:type="dxa" w:w="22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p.338–339，已核對</w:t>
            </w:r>
          </w:p>
        </w:tc>
      </w:tr>
    </w:tbl>
    <w:p>
      <w:pPr>
        <w:spacing w:after="40" w:before="0" w:line="240"/>
      </w:pPr>
    </w:p>
    <w:p>
      <w:pPr>
        <w:pStyle w:val="Heading2"/>
      </w:pPr>
      <w:r>
        <w:rPr>
          <w:rFonts w:ascii="Oswald" w:cs="Oswald" w:eastAsia="Oswald" w:hAnsi="Oswald"/>
          <w:color w:val="000000"/>
          <w:sz w:val="28"/>
          <w:szCs w:val="28"/>
        </w:rPr>
        <w:t xml:space="preserve">COV（swift.cbprplus.cov.04，長版 410 頁）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7"/>
        <w:gridCol w:w="4381"/>
        <w:gridCol w:w="2317"/>
      </w:tblGrid>
      <w:tr>
        <w:trPr>
          <w:cantSplit/>
          <w:tblHeader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元素</w:t>
            </w:r>
          </w:p>
        </w:tc>
        <w:tc>
          <w:tcPr>
            <w:tcW w:type="dxa" w:w="4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規則</w:t>
            </w:r>
          </w:p>
        </w:tc>
        <w:tc>
          <w:tcPr>
            <w:tcW w:type="dxa" w:w="2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頁碼與核對狀態</w:t>
            </w:r>
          </w:p>
        </w:tc>
      </w:tr>
      <w:tr>
        <w:trPr>
          <w:cantSplit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BizSvc</w:t>
            </w:r>
          </w:p>
        </w:tc>
        <w:tc>
          <w:tcPr>
            <w:tcW w:type="dxa" w:w="4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swift.cbprplus.cov.04</w:t>
            </w:r>
          </w:p>
        </w:tc>
        <w:tc>
          <w:tcPr>
            <w:tcW w:type="dxa" w:w="2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p.17，已核對</w:t>
            </w:r>
          </w:p>
        </w:tc>
      </w:tr>
      <w:tr>
        <w:trPr>
          <w:cantSplit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CdtrAcct（主）</w:t>
            </w:r>
          </w:p>
        </w:tc>
        <w:tc>
          <w:tcPr>
            <w:tcW w:type="dxa" w:w="4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主 CdtrAcct</w:t>
            </w:r>
          </w:p>
        </w:tc>
        <w:tc>
          <w:tcPr>
            <w:tcW w:type="dxa" w:w="2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p.98，已核對</w:t>
            </w:r>
          </w:p>
        </w:tc>
      </w:tr>
      <w:tr>
        <w:trPr>
          <w:cantSplit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Underlying 客戶區塊</w:t>
            </w:r>
          </w:p>
        </w:tc>
        <w:tc>
          <w:tcPr>
            <w:tcW w:type="dxa" w:w="4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必填（p.101 索引列出 Debtor、DebtorAgent、RemittanceInformation 皆為 [1..1]）；其內的 CdtrAcct 在 p.123</w:t>
            </w:r>
          </w:p>
        </w:tc>
        <w:tc>
          <w:tcPr>
            <w:tcW w:type="dxa" w:w="2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p.101、123，已核對</w:t>
            </w:r>
          </w:p>
        </w:tc>
      </w:tr>
      <w:tr>
        <w:trPr>
          <w:cantSplit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SttlmAcct</w:t>
            </w:r>
          </w:p>
        </w:tc>
        <w:tc>
          <w:tcPr>
            <w:tcW w:type="dxa" w:w="4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標題在 p.319 頁尾，內容在 p.320，並有 53B synonym</w:t>
            </w:r>
          </w:p>
        </w:tc>
        <w:tc>
          <w:tcPr>
            <w:tcW w:type="dxa" w:w="2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p.319–320，已核對</w:t>
            </w:r>
          </w:p>
        </w:tc>
      </w:tr>
      <w:tr>
        <w:trPr>
          <w:cantSplit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SttlmMtd</w:t>
            </w:r>
          </w:p>
        </w:tc>
        <w:tc>
          <w:tcPr>
            <w:tcW w:type="dxa" w:w="4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CLRG 與 COVE 均標示 removed，只留 INDA、INGA。名稱中的 COV 不代表 SttlmMtd = COVE</w:t>
            </w:r>
          </w:p>
        </w:tc>
        <w:tc>
          <w:tcPr>
            <w:tcW w:type="dxa" w:w="2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p.404–405，已核對</w:t>
            </w:r>
          </w:p>
        </w:tc>
      </w:tr>
    </w:tbl>
    <w:p>
      <w:pPr>
        <w:spacing w:after="40" w:before="0" w:line="240"/>
      </w:pPr>
    </w:p>
    <w:p>
      <w:pPr>
        <w:pStyle w:val="Heading2"/>
      </w:pPr>
      <w:r>
        <w:rPr>
          <w:rFonts w:ascii="Oswald" w:cs="Oswald" w:eastAsia="Oswald" w:hAnsi="Oswald"/>
          <w:color w:val="000000"/>
          <w:sz w:val="28"/>
          <w:szCs w:val="28"/>
        </w:rPr>
        <w:t xml:space="preserve">ADV 排除守則（長版 290 頁）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7"/>
        <w:gridCol w:w="4381"/>
        <w:gridCol w:w="2317"/>
      </w:tblGrid>
      <w:tr>
        <w:trPr>
          <w:cantSplit/>
          <w:tblHeader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元素</w:t>
            </w:r>
          </w:p>
        </w:tc>
        <w:tc>
          <w:tcPr>
            <w:tcW w:type="dxa" w:w="4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規則</w:t>
            </w:r>
          </w:p>
        </w:tc>
        <w:tc>
          <w:tcPr>
            <w:tcW w:type="dxa" w:w="2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頁碼與核對狀態</w:t>
            </w:r>
          </w:p>
        </w:tc>
      </w:tr>
      <w:tr>
        <w:trPr>
          <w:cantSplit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性質</w:t>
            </w:r>
          </w:p>
        </w:tc>
        <w:tc>
          <w:tcPr>
            <w:tcW w:type="dxa" w:w="4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用來預先通知 pacs.009 CORE 的 cover 收款，不做清算結算</w:t>
            </w:r>
          </w:p>
        </w:tc>
        <w:tc>
          <w:tcPr>
            <w:tcW w:type="dxa" w:w="2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p.3，已核對</w:t>
            </w:r>
          </w:p>
        </w:tc>
      </w:tr>
      <w:tr>
        <w:trPr>
          <w:cantSplit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BizSvc</w:t>
            </w:r>
          </w:p>
        </w:tc>
        <w:tc>
          <w:tcPr>
            <w:tcW w:type="dxa" w:w="4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swift.cbprplus.adv.04</w:t>
            </w:r>
          </w:p>
        </w:tc>
        <w:tc>
          <w:tcPr>
            <w:tcW w:type="dxa" w:w="2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p.15，已核對</w:t>
            </w:r>
          </w:p>
        </w:tc>
      </w:tr>
      <w:tr>
        <w:trPr>
          <w:cantSplit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CdtrAcct；underlying</w:t>
            </w:r>
          </w:p>
        </w:tc>
        <w:tc>
          <w:tcPr>
            <w:tcW w:type="dxa" w:w="4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主 CdtrAcct 在 p.84；underlying 容器已 removed（p.88）</w:t>
            </w:r>
          </w:p>
        </w:tc>
        <w:tc>
          <w:tcPr>
            <w:tcW w:type="dxa" w:w="2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p.84、88，已核對</w:t>
            </w:r>
          </w:p>
        </w:tc>
      </w:tr>
      <w:tr>
        <w:trPr>
          <w:cantSplit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SttlmAcct</w:t>
            </w:r>
          </w:p>
        </w:tc>
        <w:tc>
          <w:tcPr>
            <w:tcW w:type="dxa" w:w="4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標示 removed（p.215），雖仍有 53B synonym 標註，不可使用</w:t>
            </w:r>
          </w:p>
        </w:tc>
        <w:tc>
          <w:tcPr>
            <w:tcW w:type="dxa" w:w="2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p.215，已核對</w:t>
            </w:r>
          </w:p>
        </w:tc>
      </w:tr>
      <w:tr>
        <w:trPr>
          <w:cantSplit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SttlmMtd</w:t>
            </w:r>
          </w:p>
        </w:tc>
        <w:tc>
          <w:tcPr>
            <w:tcW w:type="dxa" w:w="4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CLRG、INDA、INGA 均標示 removed，只剩 COVE</w:t>
            </w:r>
          </w:p>
        </w:tc>
        <w:tc>
          <w:tcPr>
            <w:tcW w:type="dxa" w:w="2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p.285–286，已核對</w:t>
            </w:r>
          </w:p>
        </w:tc>
      </w:tr>
    </w:tbl>
    <w:p>
      <w:pPr>
        <w:spacing w:after="40" w:before="0" w:line="240"/>
      </w:pP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以上頁碼皆已對照原 PDF 核對，與受控記憶 v2.1 一致。引用時請連同檔名與 SHA 一起寫（見第九節）。</w:t>
      </w:r>
    </w:p>
    <w:p>
      <w:pPr>
        <w:pStyle w:val="Heading1"/>
      </w:pPr>
      <w:r>
        <w:rPr>
          <w:rFonts w:ascii="Oswald Medium" w:cs="Oswald Medium" w:eastAsia="Oswald Medium" w:hAnsi="Oswald Medium"/>
          <w:color w:val="000000"/>
          <w:sz w:val="32"/>
          <w:szCs w:val="32"/>
        </w:rPr>
        <w:t xml:space="preserve">五、業務案例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共通設定：本行 MYBKTWTP（台北）為 Sender，對手行 BANKUS33（紐約）為實際 Receiver，幣別 USD。</w:t>
      </w:r>
    </w:p>
    <w:p>
      <w:pPr>
        <w:pStyle w:val="Heading2"/>
      </w:pPr>
      <w:r>
        <w:rPr>
          <w:rFonts w:ascii="Oswald" w:cs="Oswald" w:eastAsia="Oswald" w:hAnsi="Oswald"/>
          <w:color w:val="000000"/>
          <w:sz w:val="28"/>
          <w:szCs w:val="28"/>
        </w:rPr>
        <w:t xml:space="preserve">案例 1：MT202 一般解析，多重直接帳戶（BA 裁定）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業務情境：本行在 BANKUS33 有兩個 USD 直接帳戶（1111、2222），本次解析選定 2222；受益機構為 CPTYGB2L。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6"/>
      </w:tblGrid>
      <w:tr>
        <w:trPr>
          <w:cantSplit/>
          <w:tblHeader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示例／证据</w:t>
            </w:r>
          </w:p>
        </w:tc>
      </w:tr>
      <w:tr>
        <w:trPr>
          <w:cantSplit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MT202.53a 決策： outcome = INCLUDE option = B renderedTag = 53B rule = MRG_​MT202_​53A_​MULTIPLE_​DIRECT_​ACCOUNTS :53B: /​2222 :58A: CPTYGB2L pacs.009 plain：2222 對應 SttlmAcct（53B synonym）</w:t>
            </w:r>
          </w:p>
        </w:tc>
      </w:tr>
    </w:tbl>
    <w:p>
      <w:pPr>
        <w:spacing w:after="40" w:before="0" w:line="240"/>
      </w:pP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MRG（p.46）規定多重直接帳戶且其一用於償付時，53a 用 Option B 只放 Party Identifier。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多重關係的基數是相異的正規化帳號，條件為同 entity、實際 Receiver、幣別、有效日、ACTIVE、適用 purpose。單一帳號的重複列不構成多重關係。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BA 裁定：一般 MT202 的 53B 取 nostroId + version 所釘住的營運 accountReference，58A 放受益機構 BIC；一般 A1/A2 的 58A 不要求 Party Identifier。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受控記憶 v2.1 §5 另規定：償付帳號屬於 53B，不得移到 58A。這是記憶中的規定，不是 BA 裁定的原文。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BA 駁回「所有一般 MT202 一律要 53B」的無條件說法。只有在交易選定一個合格的直接帳戶償付，且那些記錄經 booking entity、applicability、purpose 與 fixture-isolation 檢查後確為真正的直接關係時，才適用 53B。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53a 與 54a 都缺席代表單一直接帳戶關係，此時 53a 可省略，決策須記錄為 OMITTED_BY_RULE / SINGLE_DIRECT_ACCOUNT_RELATIONSHIP。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出處：us2m p.46；active MT2 Proposal §5/§6（Generic reimbursement／53B rule）；active MT2 Proposal §7（Nostro eligibility／data-quality policy）；pacs.009 plain p.260</w:t>
      </w:r>
    </w:p>
    <w:p>
      <w:pPr>
        <w:pStyle w:val="Heading2"/>
      </w:pPr>
      <w:r>
        <w:rPr>
          <w:rFonts w:ascii="Oswald" w:cs="Oswald" w:eastAsia="Oswald" w:hAnsi="Oswald"/>
          <w:color w:val="000000"/>
          <w:sz w:val="28"/>
          <w:szCs w:val="28"/>
        </w:rPr>
        <w:t xml:space="preserve">案例 2：MT202 自有帳戶劃轉：BOOK_TRANSFER_SAME_RECEIVER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業務情境：本行在同一個 Receiver BANKUS33 處，從 A 戶劃轉到 B 戶。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6"/>
      </w:tblGrid>
      <w:tr>
        <w:trPr>
          <w:cantSplit/>
          <w:tblHeader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示例／证据</w:t>
            </w:r>
          </w:p>
        </w:tc>
      </w:tr>
      <w:tr>
        <w:trPr>
          <w:cantSplit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:53B: /​&lt;自己的借方帳號&gt; :57a: （省略，Receiver 即 AWI） :58A: MYBKTWTP /​&lt;自己的貸方帳號&gt;</w:t>
            </w:r>
          </w:p>
        </w:tc>
      </w:tr>
    </w:tbl>
    <w:p>
      <w:pPr>
        <w:spacing w:after="40" w:before="0" w:line="240"/>
      </w:pP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MRG p.40、p.54：53B 識別借方帳戶；58A 用 Option A，指明貸方帳戶與 Sender。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失敗情形：借貸渲染出同一個帳號（collision）、幣別不一致、Receiver 與 servicer 不一致。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此情境適用 plain MT202，也可描述 MT202COV 的 Sequence A 結算腿（見案例 4、5）。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出處：us2m p.40、52、54、75</w:t>
      </w:r>
    </w:p>
    <w:p>
      <w:pPr>
        <w:pStyle w:val="Heading2"/>
      </w:pPr>
      <w:r>
        <w:rPr>
          <w:rFonts w:ascii="Oswald" w:cs="Oswald" w:eastAsia="Oswald" w:hAnsi="Oswald"/>
          <w:color w:val="000000"/>
          <w:sz w:val="28"/>
          <w:szCs w:val="28"/>
        </w:rPr>
        <w:t xml:space="preserve">案例 3：MT202 貸記多個帳戶之一：CREDIT_ONE_OF_SEVERAL_AT_57A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業務情境：本行在 DBSSSGSG 有多個帳戶，要貸記其中之一。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6"/>
      </w:tblGrid>
      <w:tr>
        <w:trPr>
          <w:cantSplit/>
          <w:tblHeader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示例／证据</w:t>
            </w:r>
          </w:p>
        </w:tc>
      </w:tr>
      <w:tr>
        <w:trPr>
          <w:cantSplit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:53B: /​&lt;借方帳號&gt; ← 僅在 p.46 多重直接帳戶條件成立時 :57A: DBSSSGSG :58A: MYBKTWTP /​&lt;要貸記的帳號&gt;</w:t>
            </w:r>
          </w:p>
        </w:tc>
      </w:tr>
    </w:tbl>
    <w:p>
      <w:pPr>
        <w:spacing w:after="40" w:before="0" w:line="240"/>
      </w:pP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57A 明確指向不同於 Receiver 的機構，58A 用 Option A 放貸記帳號與 Sender。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53B 是否必要取決於案例 1 的多重帳戶條件。若某受控情境另行要求用 53B 固定借方，必須標示為 BA 或產品政策，不是 MRG 通則。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出處：us2m p.46、54；QA 矩陣第 3 項</w:t>
      </w:r>
    </w:p>
    <w:p>
      <w:pPr>
        <w:pStyle w:val="Heading2"/>
      </w:pPr>
      <w:r>
        <w:rPr>
          <w:rFonts w:ascii="Oswald" w:cs="Oswald" w:eastAsia="Oswald" w:hAnsi="Oswald"/>
          <w:color w:val="000000"/>
          <w:sz w:val="28"/>
          <w:szCs w:val="28"/>
        </w:rPr>
        <w:t xml:space="preserve">案例 4：MT202COV 正常 cover（COV profile）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業務情境：本行發出一筆 cover 付款，對應一筆已用 cover 方式發出的 underlying 客戶匯款。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6"/>
      </w:tblGrid>
      <w:tr>
        <w:trPr>
          <w:cantSplit/>
          <w:tblHeader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示例／证据</w:t>
            </w:r>
          </w:p>
        </w:tc>
      </w:tr>
      <w:tr>
        <w:trPr>
          <w:cantSplit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BAH BizSvc = swift.cbprplus.cov.04 MT 3 區塊： {119:COV} {121:&lt;UETR&gt;} Sequence A：53/​57/​58 結算腿 Sequence B：underlying 客戶匯款明細（必填） pacs.009 COV：SttlmMtd = INDA 或 INGA，不是 COVE</w:t>
            </w:r>
          </w:p>
        </w:tc>
      </w:tr>
    </w:tbl>
    <w:p>
      <w:pPr>
        <w:spacing w:after="40" w:before="0" w:line="240"/>
      </w:pP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field 119 必須是 COV。underlying 已有 UETR 時，原樣複製；沒有時，產生新的有效 UETR，並記錄產生的 provenance。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Sequence B 為必填。pacs.009 COV 的 underlying 客戶區塊同樣必填。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v2.1 更正：兩種自有帳戶安排（案例 2、3）可描述 MT202COV 的 Sequence A，但前提是這仍是真正的 cover，且 COV 結構完整。這不會把 cover 付款變成 plain 付款。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COV 在 profile 名稱中，不代表 SttlmMtd = COVE。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出處：us2m p.59–60、75；pacs.009 COV 長版 p.17、101、404–405</w:t>
      </w:r>
    </w:p>
    <w:p>
      <w:pPr>
        <w:pStyle w:val="Heading2"/>
      </w:pPr>
      <w:r>
        <w:rPr>
          <w:rFonts w:ascii="Oswald" w:cs="Oswald" w:eastAsia="Oswald" w:hAnsi="Oswald"/>
          <w:color w:val="000000"/>
          <w:sz w:val="28"/>
          <w:szCs w:val="28"/>
        </w:rPr>
        <w:t xml:space="preserve">案例 5：MT202COV 被 QA 拒絕的情形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業務情境：以下任一情形，QA 必須判定 MT202COV 不合格。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6"/>
      </w:tblGrid>
      <w:tr>
        <w:trPr>
          <w:cantSplit/>
          <w:tblHeader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示例／证据</w:t>
            </w:r>
          </w:p>
        </w:tc>
      </w:tr>
      <w:tr>
        <w:trPr>
          <w:cantSplit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x 選了 BOOK 或自有帳戶安排，但沒有真正的 cover 目的，或 COV 結構不完整 x 缺少 underlying 客戶內容或必填的 Sequence B x field 119 不是 COV x 既有的 underlying UETR 沒有原樣保留，或沒有 UETR 時未產生新值與 provenance x 使用 plain 或 ADV 的 BizSvc</w:t>
            </w:r>
          </w:p>
        </w:tc>
      </w:tr>
    </w:tbl>
    <w:p>
      <w:pPr>
        <w:spacing w:after="40" w:before="0" w:line="240"/>
      </w:pP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這五項是 QA 不變式，由 MRG p.59–60、p.75 與 CBPR+ profile 規則推導而來。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拒絕的關鍵是「結構與 profile」，不是帳號資料本身。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出處：v2.1 §6；us2m p.59–60、75</w:t>
      </w:r>
    </w:p>
    <w:p>
      <w:pPr>
        <w:pStyle w:val="Heading2"/>
      </w:pPr>
      <w:r>
        <w:rPr>
          <w:rFonts w:ascii="Oswald" w:cs="Oswald" w:eastAsia="Oswald" w:hAnsi="Oswald"/>
          <w:color w:val="000000"/>
          <w:sz w:val="28"/>
          <w:szCs w:val="28"/>
        </w:rPr>
        <w:t xml:space="preserve">案例 6：MT205 初始訊息為 MT200/201：58a 等於 52a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業務情境：本行收到 MT201，需向同國的受益機構一方進一步傳遞，發出 MT205。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6"/>
      </w:tblGrid>
      <w:tr>
        <w:trPr>
          <w:cantSplit/>
          <w:tblHeader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示例／证据</w:t>
            </w:r>
          </w:p>
        </w:tc>
      </w:tr>
      <w:tr>
        <w:trPr>
          <w:cantSplit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上游 provenance：初始訊息 = MT201 :52a: &lt;ordering institution&gt; :58a: 與 52a 內容相同 rule = INITIAL_​MT200_​201_​EQUIVALENCE</w:t>
            </w:r>
          </w:p>
        </w:tc>
      </w:tr>
    </w:tbl>
    <w:p>
      <w:pPr>
        <w:spacing w:after="40" w:before="0" w:line="240"/>
      </w:pP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MRG p.148：初始傳遞訊息為 MT 200 或 201 時，58a 與 52a 相同。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此規則必須由保留下來的上游訊息 provenance 觸發。52a 等於 58a 這件事本身，絕不可用來推論初始訊息是 MT200/201。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MT205 限同國進一步傳遞，且不可用於 cover 方式的 underlying 客戶匯款（p.134）。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若上游缺 52a，初始訊息的 Sender 擔任 52a 的語意（p.139）；參考欄位的延續見 p.136。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出處：us2m p.134、136、139、148</w:t>
      </w:r>
    </w:p>
    <w:p>
      <w:pPr>
        <w:pStyle w:val="Heading2"/>
      </w:pPr>
      <w:r>
        <w:rPr>
          <w:rFonts w:ascii="Oswald" w:cs="Oswald" w:eastAsia="Oswald" w:hAnsi="Oswald"/>
          <w:color w:val="000000"/>
          <w:sz w:val="28"/>
          <w:szCs w:val="28"/>
        </w:rPr>
        <w:t xml:space="preserve">案例 7：MT205COV：不套用 MT200/201 等價規則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業務情境：本行是 MT202COV 的 Receiver，需進一步傳遞 cover 付款。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6"/>
      </w:tblGrid>
      <w:tr>
        <w:trPr>
          <w:cantSplit/>
          <w:tblHeader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示例／证据</w:t>
            </w:r>
          </w:p>
        </w:tc>
      </w:tr>
      <w:tr>
        <w:trPr>
          <w:cantSplit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rule = NO_​MT200_​201_​EQUIVALENCE field 119 = COV field 121 = &lt;上游 UETR，原樣傳遞&gt; field 21 = &lt;上游 field 21，原樣傳遞&gt; Sequence B：完整</w:t>
            </w:r>
          </w:p>
        </w:tc>
      </w:tr>
    </w:tbl>
    <w:p>
      <w:pPr>
        <w:spacing w:after="40" w:before="0" w:line="240"/>
      </w:pP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MRG p.155：field 21 與 user header 的 field 121 必須從上游訊息原樣傳遞到下游。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MT205 的 p.148 規則不可套用到 MT205COV，但 Sequence A 的 52a、58a 與完整的 Sequence B 仍須獨立驗證。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MT205COV 不得轉送給受益金融機構作報告用途。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出處：us2m p.153、155、168</w:t>
      </w:r>
    </w:p>
    <w:p>
      <w:pPr>
        <w:pStyle w:val="Heading2"/>
      </w:pPr>
      <w:r>
        <w:rPr>
          <w:rFonts w:ascii="Oswald" w:cs="Oswald" w:eastAsia="Oswald" w:hAnsi="Oswald"/>
          <w:color w:val="000000"/>
          <w:sz w:val="28"/>
          <w:szCs w:val="28"/>
        </w:rPr>
        <w:t xml:space="preserve">案例 8：Profile 路由與 ADV 排除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業務情境：三筆訊息的 MsgDefIdr 都是 pacs.009.001.08，只有 BAH BizSvc 不同。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6"/>
      </w:tblGrid>
      <w:tr>
        <w:trPr>
          <w:cantSplit/>
          <w:tblHeader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示例／证据</w:t>
            </w:r>
          </w:p>
        </w:tc>
      </w:tr>
      <w:tr>
        <w:trPr>
          <w:cantSplit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訊息 X BizSvc = swift.cbprplus.04 → plain → 可做結算 訊息 Y BizSvc = swift.cbprplus.cov.04 → COV → 可做結算 訊息 Z BizSvc = swift.cbprplus.adv.04 → ADV → 排除，不做結算</w:t>
            </w:r>
          </w:p>
        </w:tc>
      </w:tr>
    </w:tbl>
    <w:p>
      <w:pPr>
        <w:spacing w:after="40" w:before="0" w:line="240"/>
      </w:pP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只看 MsgDefIdr 無法分辨，必須由業務情境與 BizSvc 決定。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ADV 只是 cover 預告，SttlmAcct 已移除、SttlmMtd 只能是 COVE，永遠不得產生結算入帳。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MT 代碼單獨也不足以選 profile：MT202 與 MT205 都可能走 plain，反向轉換時必須保留來源 MT 類型與上游情境，單靠 ISO payload 無法可靠還原。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出處：v2.1 §4、§9；pacs.009 plain p.16</w:t>
      </w:r>
    </w:p>
    <w:p>
      <w:pPr>
        <w:pStyle w:val="Heading2"/>
      </w:pPr>
      <w:r>
        <w:rPr>
          <w:rFonts w:ascii="Oswald" w:cs="Oswald" w:eastAsia="Oswald" w:hAnsi="Oswald"/>
          <w:color w:val="000000"/>
          <w:sz w:val="28"/>
          <w:szCs w:val="28"/>
        </w:rPr>
        <w:t xml:space="preserve">案例 9：帳號資料品質：fail closed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業務情境：選中的 53B 帳號資料列，其 accountReference 是 NULL；另一個情境中同一帳號有兩列重複資料。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6"/>
      </w:tblGrid>
      <w:tr>
        <w:trPr>
          <w:cantSplit/>
          <w:tblHeader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示例／证据</w:t>
            </w:r>
          </w:p>
        </w:tc>
      </w:tr>
      <w:tr>
        <w:trPr>
          <w:cantSplit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情境 A：accountReference = NULL 或純空白 → fail closed，不產生 payload、confirmed resolution、Repair Queue → DEV/​DEMO：HTTP 409 INCORRECT_​SSI_​CONFIGURATION → 其他環境：HTTP 500 情境 B：同一帳號 2 列重複 → 相異正規化帳號 = 1，不構成多重關係，53a 可省略（前提：nostroId + version 釘住單一 ACTIVE 權威記錄）</w:t>
            </w:r>
          </w:p>
        </w:tc>
      </w:tr>
    </w:tbl>
    <w:p>
      <w:pPr>
        <w:spacing w:after="40" w:before="0" w:line="240"/>
      </w:pP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FIN 帳號 Party Identifier 與 MX 營運帳號欄位一律用選中列的有效 accountReference。maskedAccountRef 是顯示資料，不可替代。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上面的 HTTP 分流是產品政策，不是 MRG 規則，兩條分支都必須有自動化證據。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例外：重複列若是互相衝突的主檔，或選擇只靠帳號文字、優先序或第一列，必須 fail closed，並列為 Data Quality finding。只有 nostroId + version 能釘住單一 ACTIVE 權威記錄時才可繼續。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HTTP 500 的回應不得洩漏資料庫、SQL、檔案路徑或內部例外細節。兩條分支都須有 payloadGenerated=false、無 confirmed resolution、無 Repair Queue 的自動化證據。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ranking 與 negative fixture 須宣告隔離；未分類的合成列標為 DQ-REVIEW。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出處：v2.1 §11</w:t>
      </w:r>
    </w:p>
    <w:p>
      <w:pPr>
        <w:pStyle w:val="Heading1"/>
      </w:pPr>
      <w:r>
        <w:rPr>
          <w:rFonts w:ascii="Oswald Medium" w:cs="Oswald Medium" w:eastAsia="Oswald Medium" w:hAnsi="Oswald Medium"/>
          <w:color w:val="000000"/>
          <w:sz w:val="32"/>
          <w:szCs w:val="32"/>
        </w:rPr>
        <w:t xml:space="preserve">六、MT↔MX 對照與 converter 證據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沒有通用的一對一「tag 對 XPath」。MT 的 Option 字母是語意證據，53A、53B、53D、57A、57B、57D、58A、58D 不可互換。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「出現」與「省略」本身就有語意，轉換後必須保留。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Sequence A、B 的出處必須保留；沒有序列限定的 52a、57a、72 路徑，在 COV 中是不安全的。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53B 對 SttlmAcct 的 synonym 標註出現在 plain p.260、COV p.320、ADV p.215，但只能用於 plain 與 COV，因為 ADV 已移除 SttlmAcct。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沒有任何已審閱的 MRG 或 UG 證明「所有 MT 58A 的 Party Identifier 都一律對應 MX CdtrAcct」。映射必須依情境語意、所選 profile 與已記錄的 converter 合約。</w:t>
      </w:r>
    </w:p>
    <w:p>
      <w:pPr>
        <w:pStyle w:val="Heading2"/>
      </w:pPr>
      <w:r>
        <w:rPr>
          <w:rFonts w:ascii="Oswald" w:cs="Oswald" w:eastAsia="Oswald" w:hAnsi="Oswald"/>
          <w:color w:val="000000"/>
          <w:sz w:val="28"/>
          <w:szCs w:val="28"/>
        </w:rPr>
        <w:t xml:space="preserve">每次轉換都必須記錄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93"/>
        <w:gridCol w:w="6313"/>
      </w:tblGrid>
      <w:tr>
        <w:trPr>
          <w:cantSplit/>
          <w:tblHeader/>
        </w:trPr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類別</w:t>
            </w:r>
          </w:p>
        </w:tc>
        <w:tc>
          <w:tcPr>
            <w:tcW w:type="dxa" w:w="6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來源 MT</w:t>
            </w:r>
          </w:p>
        </w:tc>
        <w:tc>
          <w:tcPr>
            <w:tcW w:type="dxa" w:w="6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類型、原始位元組與 hash、MRG 檔名、SHA、版次</w:t>
            </w:r>
          </w:p>
        </w:tc>
      </w:tr>
      <w:tr>
        <w:trPr>
          <w:cantSplit/>
        </w:trPr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目標 MX</w:t>
            </w:r>
          </w:p>
        </w:tc>
        <w:tc>
          <w:tcPr>
            <w:tcW w:type="dxa" w:w="6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位元組與 hash、Usage Guideline 檔名、SHA、profile</w:t>
            </w:r>
          </w:p>
        </w:tc>
      </w:tr>
      <w:tr>
        <w:trPr>
          <w:cantSplit/>
        </w:trPr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BAH 與識別</w:t>
            </w:r>
          </w:p>
        </w:tc>
        <w:tc>
          <w:tcPr>
            <w:tcW w:type="dxa" w:w="6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BizSvc、MsgDefIdr、UETR、來源與目標方向</w:t>
            </w:r>
          </w:p>
        </w:tc>
      </w:tr>
      <w:tr>
        <w:trPr>
          <w:cantSplit/>
        </w:trPr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converter</w:t>
            </w:r>
          </w:p>
        </w:tc>
        <w:tc>
          <w:tcPr>
            <w:tcW w:type="dxa" w:w="6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產品、版本、設定 hash、mapping profile 識別</w:t>
            </w:r>
          </w:p>
        </w:tc>
      </w:tr>
      <w:tr>
        <w:trPr>
          <w:cantSplit/>
        </w:trPr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欄位語意</w:t>
            </w:r>
          </w:p>
        </w:tc>
        <w:tc>
          <w:tcPr>
            <w:tcW w:type="dxa" w:w="6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MT 欄位 Option、出現或省略、Sequence A/​B 身分；MX 的 profile 限定 XPath 值</w:t>
            </w:r>
          </w:p>
        </w:tc>
      </w:tr>
      <w:tr>
        <w:trPr>
          <w:cantSplit/>
        </w:trPr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帳號與角色</w:t>
            </w:r>
          </w:p>
        </w:tc>
        <w:tc>
          <w:tcPr>
            <w:tcW w:type="dxa" w:w="6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canonical 角色與帳號身分，含選定的 nostroId + version 與營運 accountReference</w:t>
            </w:r>
          </w:p>
        </w:tc>
      </w:tr>
      <w:tr>
        <w:trPr>
          <w:cantSplit/>
        </w:trPr>
        <w:tc>
          <w:tcPr>
            <w:tcW w:type="dxa" w:w="29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其他</w:t>
            </w:r>
          </w:p>
        </w:tc>
        <w:tc>
          <w:tcPr>
            <w:tcW w:type="dxa" w:w="6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起息日、幣別與相關 BIC 身分</w:t>
            </w:r>
          </w:p>
        </w:tc>
      </w:tr>
    </w:tbl>
    <w:p>
      <w:pPr>
        <w:spacing w:after="40" w:before="0" w:line="240"/>
      </w:pP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驗收要同時跑 MT→MX→MT 與 MX→MT→MX 兩個方向的語意比對。原始位元組與 hash 是證據，但只有在 converter 合約明確承諾時才要求位元組完全相同。驗收看的是經濟與帳號語意保持不變，且目標符合 profile，不是 tag 或路徑只要出現就算數。</w:t>
      </w:r>
    </w:p>
    <w:p>
      <w:pPr>
        <w:spacing w:after="40" w:before="0" w:line="240"/>
      </w:pPr>
      <w:r>
        <w:rPr>
          <w:rFonts w:ascii="Montserrat" w:cs="Montserrat" w:eastAsia="Montserrat" w:hAnsi="Montserrat"/>
          <w:color w:val="000000"/>
          <w:sz w:val="24"/>
          <w:szCs w:val="24"/>
        </w:rPr>
        <w:t xml:space="preserve">SR2025 與 SR2026 的版次不符、converter 版本未知、缺少後備原因或設定來源，都會使證據無效。</w:t>
      </w:r>
    </w:p>
    <w:p>
      <w:pPr>
        <w:pStyle w:val="Heading1"/>
      </w:pPr>
      <w:r>
        <w:rPr>
          <w:rFonts w:ascii="Oswald Medium" w:cs="Oswald Medium" w:eastAsia="Oswald Medium" w:hAnsi="Oswald Medium"/>
          <w:color w:val="000000"/>
          <w:sz w:val="32"/>
          <w:szCs w:val="32"/>
        </w:rPr>
        <w:t xml:space="preserve">七、QA 摘要矩阵（非验收分母）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6"/>
        <w:gridCol w:w="5584"/>
        <w:gridCol w:w="2327"/>
      </w:tblGrid>
      <w:tr>
        <w:trPr>
          <w:cantSplit/>
          <w:tblHeader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5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項目</w:t>
            </w:r>
          </w:p>
        </w:tc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驗證重點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5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MT202 一般</w:t>
            </w:r>
          </w:p>
        </w:tc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單一直接帳戶省略 53a；多重直接帳戶用 53B；缺營運帳號 fail closed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5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MT202 BOOK</w:t>
            </w:r>
          </w:p>
        </w:tc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借貸帳號正確；同帳號渲染 collision；幣別不符；Receiver 與 servicer 不符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5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MT202 明確 57A</w:t>
            </w:r>
          </w:p>
        </w:tc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57A 不同於 Receiver；58A 保留貸方與 Sender；53B 依 p.46 條件或明確的 BA 政策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5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MT202COV</w:t>
            </w:r>
          </w:p>
        </w:tc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119、UETR、Sequence B 正確；兩種自有帳戶安排只在完整的真實 cover 情境下接受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5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MT205</w:t>
            </w:r>
          </w:p>
        </w:tc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同國進一步傳遞；非 cover；初始 MT200/​201 的 52a = 58a 依上游 provenance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5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MT205COV</w:t>
            </w:r>
          </w:p>
        </w:tc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cover provenance 與 Sequence B 有效；不套用 MT200/​201 等價規則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5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Profile 路由</w:t>
            </w:r>
          </w:p>
        </w:tc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相同 MsgDefIdr、不同 BizSvc 選到不同 profile；報文不變但 profile 改變為失敗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5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Round-​trip</w:t>
            </w:r>
          </w:p>
        </w:tc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Option、省略、來源 MT 類型、Sequence A/​B、帳號身分與 UETR 在語意上保持穩定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9</w:t>
            </w:r>
          </w:p>
        </w:tc>
        <w:tc>
          <w:tcPr>
            <w:tcW w:type="dxa" w:w="5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版次</w:t>
            </w:r>
          </w:p>
        </w:tc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SR2025 與 SR2026 不符，或 converter 設定未知，證據驗證失敗</w:t>
            </w:r>
          </w:p>
        </w:tc>
      </w:tr>
    </w:tbl>
    <w:p>
      <w:pPr>
        <w:spacing w:after="40" w:before="0" w:line="240"/>
      </w:pPr>
    </w:p>
    <w:p>
      <w:pPr>
        <w:pStyle w:val="Heading1"/>
      </w:pPr>
      <w:r>
        <w:rPr>
          <w:rFonts w:ascii="Oswald Medium" w:cs="Oswald Medium" w:eastAsia="Oswald Medium" w:hAnsi="Oswald Medium"/>
          <w:color w:val="000000"/>
          <w:sz w:val="32"/>
          <w:szCs w:val="32"/>
        </w:rPr>
        <w:t xml:space="preserve">八、規則、裁定與產品政策的界線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7"/>
        <w:gridCol w:w="6989"/>
      </w:tblGrid>
      <w:tr>
        <w:trPr>
          <w:cantSplit/>
          <w:tblHeader/>
        </w:trPr>
        <w:tc>
          <w:tcPr>
            <w:tcW w:type="dxa" w:w="2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類別</w:t>
            </w:r>
          </w:p>
        </w:tc>
        <w:tc>
          <w:tcPr>
            <w:tcW w:type="dxa" w:w="6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本文中的例子</w:t>
            </w:r>
          </w:p>
        </w:tc>
      </w:tr>
      <w:tr>
        <w:trPr>
          <w:cantSplit/>
        </w:trPr>
        <w:tc>
          <w:tcPr>
            <w:tcW w:type="dxa" w:w="2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Normative rule（SWIFT）</w:t>
            </w:r>
          </w:p>
        </w:tc>
        <w:tc>
          <w:tcPr>
            <w:tcW w:type="dxa" w:w="6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各案例所列的 us2m 與 pacs.009 頁碼，如 p.46 多重直接帳戶、p.59–60 的 COV 條件、p.148 的 MT200/​201 規則</w:t>
            </w:r>
          </w:p>
        </w:tc>
      </w:tr>
      <w:tr>
        <w:trPr>
          <w:cantSplit/>
        </w:trPr>
        <w:tc>
          <w:tcPr>
            <w:tcW w:type="dxa" w:w="2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BA ruling</w:t>
            </w:r>
          </w:p>
        </w:tc>
        <w:tc>
          <w:tcPr>
            <w:tcW w:type="dxa" w:w="6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一般 MT202 在選定單一合格直接帳戶償付、且多重直接關係成立時，以 53B 渲染（active MT2 Proposal §5/​§6（Generic reimbursement／53B rule））；12 個多重帳戶範圍只是候選，不是無條件適用（active MT2 Proposal §7（Nostro eligibility／data-​quality policy））</w:t>
            </w:r>
          </w:p>
        </w:tc>
      </w:tr>
      <w:tr>
        <w:trPr>
          <w:cantSplit/>
        </w:trPr>
        <w:tc>
          <w:tcPr>
            <w:tcW w:type="dxa" w:w="2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QA invariant</w:t>
            </w:r>
          </w:p>
        </w:tc>
        <w:tc>
          <w:tcPr>
            <w:tcW w:type="dxa" w:w="6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案例 5 的五項拒絕條件；QA 矩陣九項</w:t>
            </w:r>
          </w:p>
        </w:tc>
      </w:tr>
      <w:tr>
        <w:trPr>
          <w:cantSplit/>
        </w:trPr>
        <w:tc>
          <w:tcPr>
            <w:tcW w:type="dxa" w:w="2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Product policy</w:t>
            </w:r>
          </w:p>
        </w:tc>
        <w:tc>
          <w:tcPr>
            <w:tcW w:type="dxa" w:w="6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DEV/​DEMO 回 409 INCORRECT_​SSI_​CONFIGURATION、其他環境回 500；某情境一律用 53B 固定借方</w:t>
            </w:r>
          </w:p>
        </w:tc>
      </w:tr>
    </w:tbl>
    <w:p>
      <w:pPr>
        <w:spacing w:after="40" w:before="0" w:line="240"/>
      </w:pP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6"/>
      </w:tblGrid>
      <w:tr>
        <w:trPr>
          <w:cantSplit/>
          <w:tblHeader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K1–K8、J1–J4 是時點性的產品觀察，不是永久的 MRG 知識，不得寫入規範章節。它們應留在綁定特定 build 與 commit 的報告中。</w:t>
            </w:r>
          </w:p>
        </w:tc>
      </w:tr>
    </w:tbl>
    <w:p>
      <w:pPr>
        <w:spacing w:after="40" w:before="0" w:line="240"/>
      </w:pP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6"/>
      </w:tblGrid>
      <w:tr>
        <w:trPr>
          <w:cantSplit/>
          <w:tblHeader/>
        </w:trPr>
        <w:tc>
          <w:tcPr>
            <w:tcW w:type="dxa" w:w="9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受控記憶 v2.1 是對 v2 的窄幅更正：v2 曾把兩種自有帳戶安排視為對 MT202COV 一律無效，v2.1 依 us2m p.75 並對照 p.59–60，改為「僅在真正 cover 且結構完整時可用」。此更正不放寬 cover 目的、119 = COV、UETR、Sequence B、profile 路由或證據要求，仍需獨立 BA/​Checker 核准。</w:t>
            </w:r>
          </w:p>
        </w:tc>
      </w:tr>
    </w:tbl>
    <w:p>
      <w:pPr>
        <w:spacing w:after="40" w:before="0" w:line="240"/>
      </w:pPr>
    </w:p>
    <w:p>
      <w:pPr>
        <w:pStyle w:val="Heading1"/>
      </w:pPr>
      <w:r>
        <w:rPr>
          <w:rFonts w:ascii="Oswald Medium" w:cs="Oswald Medium" w:eastAsia="Oswald Medium" w:hAnsi="Oswald Medium"/>
          <w:color w:val="000000"/>
          <w:sz w:val="32"/>
          <w:szCs w:val="32"/>
        </w:rPr>
        <w:t xml:space="preserve">九、來源登錄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6"/>
        <w:gridCol w:w="5584"/>
        <w:gridCol w:w="2327"/>
      </w:tblGrid>
      <w:tr>
        <w:trPr>
          <w:cantSplit/>
          <w:tblHeader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項目</w:t>
            </w:r>
          </w:p>
        </w:tc>
        <w:tc>
          <w:tcPr>
            <w:tcW w:type="dxa" w:w="5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內容</w:t>
            </w:r>
          </w:p>
        </w:tc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77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Oswald Medium" w:cs="Oswald Medium" w:eastAsia="Oswald Medium" w:hAnsi="Oswald Medium"/>
                <w:color w:val="FFFFFF"/>
                <w:sz w:val="24"/>
                <w:szCs w:val="24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Category 2 MRG（SR2026）</w:t>
            </w:r>
          </w:p>
        </w:tc>
        <w:tc>
          <w:tcPr>
            <w:tcW w:type="dxa" w:w="5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SWIFT/​us2m_​20260717.pdf SHA-​256 64483D7F7C094DB28E03791AB6BBC7A0522DAEC90487A7DD834228E848FA8323</w:t>
            </w:r>
          </w:p>
        </w:tc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211 頁，現行依據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Category 2 MRG（SR2025）</w:t>
            </w:r>
          </w:p>
        </w:tc>
        <w:tc>
          <w:tcPr>
            <w:tcW w:type="dxa" w:w="5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SWIFT/​us2m_​20250718.pdf SHA-​256 820581F85FC9EFA34A56F1A54FE66DDA684C6C2FFE9533E38F096A2176B9845C</w:t>
            </w:r>
          </w:p>
        </w:tc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211 頁，僅作相容性後備；只寫頁碼無法區分兩個版次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pacs.009 plain 長版</w:t>
            </w:r>
          </w:p>
        </w:tc>
        <w:tc>
          <w:tcPr>
            <w:tcW w:type="dxa" w:w="5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CBPRPlus_​SR2026_​(Combined)_​CBPRPlus-​pacs_​009_​001_​08_​FinancialInstitutionCreditTransfer_​20260521_​0643.pdf SHA-​256 4B9436D21B141C5CEF75ACFFAE961B5130FEAD9B95C1B9CD144197DAA7EA6585</w:t>
            </w:r>
          </w:p>
        </w:tc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欄位級權威；短版僅供概覽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pacs.009 COV 長版</w:t>
            </w:r>
          </w:p>
        </w:tc>
        <w:tc>
          <w:tcPr>
            <w:tcW w:type="dxa" w:w="5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CBPRPlus_​SR2026_​(Combined)_​CBPRPlus-​pacs_​009_​001_​08_​COV_​FinancialInstitutionCreditTransfer_​20260521_​0643.pdf SHA-​256 745B302A700C785CAE1E5F630CC906F41DF31C1E5727BF03EF591F0AD1CFA0A1</w:t>
            </w:r>
          </w:p>
        </w:tc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已核對頁碼；完整 SHA-​256 與受控記憶一致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pacs.009 ADV 長版</w:t>
            </w:r>
          </w:p>
        </w:tc>
        <w:tc>
          <w:tcPr>
            <w:tcW w:type="dxa" w:w="5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CBPRPlus_​SR2026_​(Combined)_​CBPRPlus-​pacs_​009_​001_​08_​ADV_​FinancialInstitutionCreditTransfer_​20260521_​0643.pdf SHA-​256 8F76D4071F67FC2AC2996B6BED68F2F2D1388FEB3CF14B83353ECF3B7F785CE1</w:t>
            </w:r>
          </w:p>
        </w:tc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已核對頁碼；完整 SHA-​256 與受控記憶一致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us2m 頁碼錨點（已核對）</w:t>
            </w:r>
          </w:p>
        </w:tc>
        <w:tc>
          <w:tcPr>
            <w:tcW w:type="dxa" w:w="5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p.39–40、46、52、54（MT202）；p.59–60、75（MT202COV）；p.134、136、139、148（MT205）；p.153、155、168（MT205COV）</w:t>
            </w:r>
          </w:p>
        </w:tc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頁尾印在頁面底部，其後文字屬下一頁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受控記憶</w:t>
            </w:r>
          </w:p>
        </w:tc>
        <w:tc>
          <w:tcPr>
            <w:tcW w:type="dxa" w:w="5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memory/​ssi/​swift-​mt2xx-​pacs009-​v2.md（v2.1）</w:t>
            </w:r>
          </w:p>
        </w:tc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待 BA/​QA Four-​eyes；本文不取代它</w:t>
            </w:r>
          </w:p>
        </w:tc>
      </w:tr>
      <w:tr>
        <w:trPr>
          <w:cantSplit/>
        </w:trPr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主动治理与可执行证据</w:t>
            </w:r>
          </w:p>
        </w:tc>
        <w:tc>
          <w:tcPr>
            <w:tcW w:type="dxa" w:w="5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memory/​ssi/​mt2/​MT2_​PACS009_​OUTWARD_​SSI_​ONLY_​REVISION_​PROPOSAL_​v1_​DRAFT.md；data/​qa/​mt2/​mt2-​pacs009-​proposal-​case-​groups.json；data/​qa/​mt2/​mt2-​pacs009-​proposal-​fixtures.json</w:t>
            </w:r>
          </w:p>
        </w:tc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Montserrat" w:cs="Montserrat" w:eastAsia="Montserrat" w:hAnsi="Montserrat"/>
                <w:color w:val="000000"/>
                <w:sz w:val="22"/>
                <w:szCs w:val="22"/>
              </w:rPr>
              <w:t xml:space="preserve">使用当前 active 文件及其 SHA；不得引用已删除旧报告。新 DOCX checksum 必须重新 Four-​eyes。</w:t>
            </w:r>
          </w:p>
        </w:tc>
      </w:tr>
    </w:tbl>
    <w:p>
      <w:pPr>
        <w:spacing w:after="40" w:before="0" w:line="240"/>
      </w:pPr>
    </w:p>
    <w:sectPr>
      <w:headerReference w:type="default" r:id="rId7"/>
      <w:footerReference w:type="default" r:id="rId8"/>
      <w:pgSz w:w="11906" w:h="16838" w:orient="portrait"/>
      <w:pgMar w:top="1900" w:right="1300" w:bottom="1300" w:left="1300" w:header="28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06"/>
      </w:tabs>
      <w:spacing w:after="40" w:before="0" w:line="240"/>
    </w:pPr>
    <w:r>
      <w:drawing>
        <wp:anchor distT="0" distB="0" distL="0" distR="0" simplePos="0" allowOverlap="1" behindDoc="1" locked="0" layoutInCell="1" relativeHeight="371475">
          <wp:simplePos x="0" y="0"/>
          <wp:positionH relativeFrom="page">
            <wp:posOffset>571500</wp:posOffset>
          </wp:positionH>
          <wp:positionV relativeFrom="page">
            <wp:posOffset>10106025</wp:posOffset>
          </wp:positionV>
          <wp:extent cx="914400" cy="3714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Montserrat" w:cs="Montserrat" w:eastAsia="Montserrat" w:hAnsi="Montserrat"/>
        <w:b/>
        <w:bCs/>
        <w:color w:val="595959"/>
        <w:sz w:val="18"/>
        <w:szCs w:val="18"/>
      </w:rPr>
      <w:t xml:space="preserve">	</w:t>
      <w:t xml:space="preserve">Page |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 w:before="0" w:line="240"/>
      <w:jc w:val="center"/>
    </w:pPr>
    <w:r>
      <w:drawing>
        <wp:anchor distT="0" distB="0" distL="0" distR="0" simplePos="0" allowOverlap="1" behindDoc="1" locked="0" layoutInCell="1" relativeHeight="6000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428750" cy="6000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allowOverlap="1" behindDoc="1" locked="0" layoutInCell="1" relativeHeight="600075">
          <wp:simplePos x="0" y="0"/>
          <wp:positionH relativeFrom="page">
            <wp:posOffset>6134100</wp:posOffset>
          </wp:positionH>
          <wp:positionV relativeFrom="page">
            <wp:posOffset>0</wp:posOffset>
          </wp:positionV>
          <wp:extent cx="1428750" cy="6000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Oswald Medium" w:cs="Oswald Medium" w:eastAsia="Oswald Medium" w:hAnsi="Oswald Medium"/>
        <w:color w:val="000000"/>
        <w:sz w:val="36"/>
        <w:szCs w:val="36"/>
      </w:rPr>
      <w:t xml:space="preserve">MT2xx / pacs.009 业务案例</w:t>
    </w:r>
  </w:p>
  <w:p>
    <w:pPr>
      <w:spacing w:after="40" w:before="0" w:line="240"/>
      <w:jc w:val="center"/>
    </w:pPr>
    <w:r>
      <w:rPr>
        <w:rFonts w:ascii="Montserrat" w:cs="Montserrat" w:eastAsia="Montserrat" w:hAnsi="Montserrat"/>
        <w:color w:val="000000"/>
        <w:sz w:val="24"/>
        <w:szCs w:val="24"/>
      </w:rPr>
      <w:t xml:space="preserve">SSI Resolution • DEMO PROTOTYPE • Evidence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000000"/>
        <w:sz w:val="24"/>
        <w:szCs w:val="24"/>
      </w:rPr>
    </w:rPrDefault>
    <w:pPrDefault>
      <w:pPr>
        <w:spacing w:after="40" w:before="0"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 w:before="240"/>
      <w:outlineLvl w:val="0"/>
    </w:pPr>
    <w:rPr>
      <w:rFonts w:ascii="Oswald Medium" w:cs="Oswald Medium" w:eastAsia="Oswald Medium" w:hAnsi="Oswald Medium"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40" w:before="160"/>
      <w:outlineLvl w:val="1"/>
    </w:pPr>
    <w:rPr>
      <w:rFonts w:ascii="Oswald" w:cs="Oswald" w:eastAsia="Oswald" w:hAnsi="Oswald"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60a1f1fd681f40edcc1758afdacb91258e920c7.png"/><Relationship Id="rId10" Type="http://schemas.openxmlformats.org/officeDocument/2006/relationships/image" Target="media/c531769a4693276f50bb2bd37acf7f1b51a50d37.png"/><Relationship Id="rId11" Type="http://schemas.openxmlformats.org/officeDocument/2006/relationships/image" Target="media/390a74b9c4c419393e2ae460f4161561817d63e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f589db258cf570e1778ae1a5e698d6fd3043f0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4fa4722a02c7940c2f4c111edfbe124a5a16994.png"/><Relationship Id="rId1" Type="http://schemas.openxmlformats.org/officeDocument/2006/relationships/image" Target="media/c7ead0cf21e056b5f3f9de7e3f58403e0ef092d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2026-10-02T16:35:20.895Z</dcterms:created>
  <dcterms:modified xsi:type="dcterms:W3CDTF">2026-10-02T16:35:20.896Z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