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center"/>
      </w:pPr>
      <w:r>
        <w:rPr>
          <w:b/>
          <w:bCs/>
          <w:color w:val="1F4E78"/>
          <w:sz w:val="56"/>
          <w:szCs w:val="56"/>
        </w:rPr>
        <w:t xml:space="preserve">支付組件</w:t>
      </w:r>
    </w:p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計算與驗證參考文件</w:t>
      </w:r>
    </w:p>
    <w:p>
      <w:pPr>
        <w:spacing w:after="1600"/>
        <w:jc w:val="center"/>
      </w:pPr>
      <w:r>
        <w:rPr>
          <w:i/>
          <w:iCs/>
          <w:color w:val="555555"/>
          <w:sz w:val="26"/>
          <w:szCs w:val="26"/>
        </w:rPr>
        <w:t xml:space="preserve">單一 POST /payment-instructions API 必須實作的計算公式與驗證規則,逐條對照原始碼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56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2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文件類型</w:t>
            </w:r>
          </w:p>
        </w:tc>
        <w:tc>
          <w:tcPr>
            <w:tcW w:type="dxa" w:w="6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計算與驗證參考文件(依 docs/analysis-guidelines.md「內嵌公式」格式撰寫)</w:t>
            </w:r>
          </w:p>
        </w:tc>
      </w:tr>
      <w:tr>
        <w:tc>
          <w:tcPr>
            <w:tcW w:type="dxa" w:w="28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依據</w:t>
            </w:r>
          </w:p>
        </w:tc>
        <w:tc>
          <w:tcPr>
            <w:tcW w:type="dxa" w:w="65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PaymentComponent-Microservice-FSD-zh.docx §5.4(Confirm 五步驟流程)與 payment-instructions-post.yaml v1.2.0</w:t>
            </w:r>
          </w:p>
        </w:tc>
      </w:tr>
      <w:tr>
        <w:tc>
          <w:tcPr>
            <w:tcW w:type="dxa" w:w="2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本次重新驗證之原始碼</w:t>
            </w:r>
          </w:p>
        </w:tc>
        <w:tc>
          <w:tcPr>
            <w:tcW w:type="dxa" w:w="6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X/CALJS/CDOSCRLEVEL/SSSS_PaymentDebit.js、SSSS_PaymentCredit.js;X/CALJS/COMMONLEVEL/TrxSys.js(SYT_CHG_VOUCHER、SYT_LIAB_VOUCHER);X/CALJS/FUNCLEVEL/SYF_EXCO_EXCO_Payment.js(SYF_EXCO_CAL_PAYMENT_AC_DESC)</w:t>
            </w:r>
          </w:p>
        </w:tc>
      </w:tr>
      <w:tr>
        <w:tc>
          <w:tcPr>
            <w:tcW w:type="dxa" w:w="28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範圍</w:t>
            </w:r>
          </w:p>
        </w:tc>
        <w:tc>
          <w:tcPr>
            <w:tcW w:type="dxa" w:w="65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15 個已確認支付組件消費函式(IPLC/EPLC/EXCO/IMCO/GTEE/IWGT)——完整函式清單與 PASS/GAP/N-A 判定見 Payment_Mapping_Functions.docx</w:t>
            </w:r>
          </w:p>
        </w:tc>
      </w:tr>
      <w:tr>
        <w:tc>
          <w:tcPr>
            <w:tcW w:type="dxa" w:w="2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撰寫角色</w:t>
            </w:r>
          </w:p>
        </w:tc>
        <w:tc>
          <w:tcPr>
            <w:tcW w:type="dxa" w:w="6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貿易融資業務分析師(CITF)/技術分析師(Java EE、JavaScript)</w:t>
            </w:r>
          </w:p>
        </w:tc>
      </w:tr>
      <w:tr>
        <w:tc>
          <w:tcPr>
            <w:tcW w:type="dxa" w:w="28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版本</w:t>
            </w:r>
          </w:p>
        </w:tc>
        <w:tc>
          <w:tcPr>
            <w:tcW w:type="dxa" w:w="65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1.0(中文版)</w:t>
            </w:r>
          </w:p>
        </w:tc>
      </w:tr>
      <w:tr>
        <w:tc>
          <w:tcPr>
            <w:tcW w:type="dxa" w:w="2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日期</w:t>
            </w:r>
          </w:p>
        </w:tc>
        <w:tc>
          <w:tcPr>
            <w:tcW w:type="dxa" w:w="6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2026-08-06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目的與範圍</w:t>
      </w:r>
    </w:p>
    <w:p>
      <w:pPr>
        <w:spacing w:after="160"/>
      </w:pPr>
      <w:r>
        <w:t xml:space="preserve">本文件明訂 POST /payment-instructions(payment-instructions-post.yaml v1.2.0)必須實作的計算公式與驗證規則,使其重現原本散落於 SSSS_PaymentDebit.js、SSSS_PaymentCredit.js 與 TrxSys.js 內、相當於 ConfirmBusinessCall 的業務邏輯。以下每一條公式都內嵌其原始程式碼與檔案:行號——而非文字摘要,依 docs/analysis-guidelines.md 之要求撰寫。</w:t>
      </w:r>
    </w:p>
    <w:p>
      <w:pPr>
        <w:spacing w:after="160"/>
      </w:pPr>
      <w:r>
        <w:t xml:space="preserve">結構依循 FSD 已定義的 Confirm 五步驟流程(§5.4):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600"/>
        <w:gridCol w:w="2860"/>
      </w:tblGrid>
      <w:tr>
        <w:trPr>
          <w:tblHeader/>
        </w:trPr>
        <w:tc>
          <w:tcPr>
            <w:tcW w:type="dxa" w:w="7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步驟</w:t>
            </w:r>
          </w:p>
        </w:tc>
        <w:tc>
          <w:tcPr>
            <w:tcW w:type="dxa" w:w="42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作用</w:t>
            </w:r>
          </w:p>
        </w:tc>
        <w:tc>
          <w:tcPr>
            <w:tcW w:type="dxa" w:w="16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對應章節</w:t>
            </w:r>
          </w:p>
        </w:tc>
        <w:tc>
          <w:tcPr>
            <w:tcW w:type="dxa" w:w="286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OAS 執行點</w:t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借/貸方腿配平驗證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§3</w:t>
            </w:r>
          </w:p>
        </w:tc>
        <w:tc>
          <w:tcPr>
            <w:tcW w:type="dxa" w:w="2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失敗時回傳 409</w:t>
            </w:r>
          </w:p>
        </w:tc>
      </w:tr>
      <w:tr>
        <w:tc>
          <w:tcPr>
            <w:tcW w:type="dxa" w:w="7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支付組件識別規則(分類)</w:t>
            </w:r>
          </w:p>
        </w:tc>
        <w:tc>
          <w:tcPr>
            <w:tcW w:type="dxa" w:w="16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§4</w:t>
            </w:r>
          </w:p>
        </w:tc>
        <w:tc>
          <w:tcPr>
            <w:tcW w:type="dxa" w:w="28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永不阻擋——結果內嵌於回應中</w:t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傳票描述碼組裝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§5</w:t>
            </w:r>
          </w:p>
        </w:tc>
        <w:tc>
          <w:tcPr>
            <w:tcW w:type="dxa" w:w="2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伺服端衍生,唯讀輸出欄位</w:t>
            </w:r>
          </w:p>
        </w:tc>
      </w:tr>
      <w:tr>
        <w:tc>
          <w:tcPr>
            <w:tcW w:type="dxa" w:w="7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Account Entry(總帳分錄)產生(三條平行傳票流)</w:t>
            </w:r>
          </w:p>
        </w:tc>
        <w:tc>
          <w:tcPr>
            <w:tcW w:type="dxa" w:w="16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§6</w:t>
            </w:r>
          </w:p>
        </w:tc>
        <w:tc>
          <w:tcPr>
            <w:tcW w:type="dxa" w:w="28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無條件執行——與步驟二的分類結果無關</w:t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SWIFT/ISO 20022 報文產生 + 跨欄位驗證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§7</w:t>
            </w:r>
          </w:p>
        </w:tc>
        <w:tc>
          <w:tcPr>
            <w:tcW w:type="dxa" w:w="2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跨欄位違反規則時回傳 400/409</w:t>
            </w:r>
          </w:p>
        </w:tc>
      </w:tr>
    </w:tbl>
    <w:p>
      <w:pPr>
        <w:spacing w:after="160"/>
      </w:pPr>
    </w:p>
    <w:p>
      <w:pPr>
        <w:pBdr>
          <w:left w:val="single" w:color="1F4E78" w:sz="12" w:space="8"/>
        </w:pBdr>
        <w:spacing w:after="200"/>
        <w:ind w:left="120"/>
      </w:pPr>
      <w:r>
        <w:rPr>
          <w:i/>
          <w:iCs/>
          <w:color w:val="444444"/>
          <w:sz w:val="20"/>
          <w:szCs w:val="20"/>
        </w:rPr>
        <w:t xml:space="preserve">範圍說明:本文件僅記錄至少被 15 個已確認支付組件消費函式之一(Payment_Mapping_Functions.docx §6)實際觸發的公式。TrxSys.js 內屬於範圍外模組(SYND、PYMT、SHGT、CFNC 等)的分支不在本文件範圍內,亦未重現。</w:t>
      </w:r>
    </w:p>
    <w:p>
      <w:pPr>
        <w:pStyle w:val="Heading1"/>
        <w:spacing w:after="160" w:before="320"/>
      </w:pPr>
      <w:r>
        <w:t xml:space="preserve">3. 步驟一 — 借/貸方腿配平驗證</w:t>
      </w:r>
    </w:p>
    <w:p>
      <w:pPr>
        <w:spacing w:after="160"/>
      </w:pPr>
      <w:r>
        <w:t xml:space="preserve">原系統是在前端、依「每一側各自」對照一個共用目標總額來做配平檢查——而非直接比較借方總額與貸方總額。Debit_Chk_Total_Pct()(借方腿)與 CHK_Total_Pct()(貸方腿)分別加總每一腿的 CPYT_DR_AMT_TXCCY / CPYT_CR_AMT_TXCCY,若加總超過 CPYT_DR_TTL_AMT_TTLCCY / CPYT_CR_TTL_AMT_TTLCCY 便予以拒絕(這兩個欄位皆設為同一筆指令層級的總額,因此兩個各自獨立的檢查間接確保了借方總額≈貸方總額)。</w:t>
      </w:r>
    </w:p>
    <w:p>
      <w:pPr>
        <w:pStyle w:val="Heading2"/>
        <w:spacing w:after="120" w:before="240"/>
      </w:pPr>
      <w:r>
        <w:t xml:space="preserve">3.1 借方側 — Debit_Chk_Total_Pct()</w:t>
      </w:r>
    </w:p>
    <w:p>
      <w:pPr>
        <w:spacing w:after="160"/>
      </w:pPr>
      <w:r>
        <w:t xml:space="preserve">來源:X/CALJS/CDOSCRLEVEL/SSSS_PaymentDebit.js:347-390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function Debit_Chk_Total_Pct()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arrDebit = SYS_GetObjByDoName('PaymentDebit');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tempSum = SYS_BeFloat(document.MAINFORM.CPYT_DR_AMT_TXCCY.value);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ttlAmt  = SYS_BeFloat(document.MAINFORM.CPYT_DR_TTL_AMT_TTLCCY.value);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oldValue = currentDeibt ? SYS_BeFloat(currentDeibt.getDoValueByName("CPYT_DR_AMT_TXCCY")) :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for (i = 0; i &lt; arrDebit.length; i++)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tempSum += SYS_BeFloat(arrDebit[i].getDoValueByName("CPYT_DR_AMT_TXCCY"));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newSum = tempSum - oldValue;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if (SYS_BeFloat(newSum) &gt; ttlAmt)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("RPFM" == SYS_MODULE_NAME)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var sub = newSum - ttlAmt;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if (sub &lt;= 0.01 &amp;&amp; sub &gt;= 0) { return true; }   // RPFM 容差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alert("Please note that the total percent exceeds 100%");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// 重設 CPYT_DR_PER / CPYT_DR_AMT_DRCCY / CPYT_DR_AMT_TXCCY 為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return false;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return true;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40"/>
      </w:pPr>
    </w:p>
    <w:p>
      <w:pPr>
        <w:spacing w:after="160"/>
      </w:pPr>
      <w:r>
        <w:t xml:space="preserve">公式: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newSum(debit) = ( Σ CPYT_DR_AMT_TXCCY,加總所有既有 PaymentDebit 腿位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+ 正在新增/編輯之該腿的 CPYT_DR_AMT_TXCCY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− 該腿先前已存值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PASS  iff  newSum(debit) ≤ CPYT_DR_TTL_AMT_TTLCCY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OR (originModule == RPFM AND 0 ≤ newSum(debit) − CPYT_DR_TTL_AMT_TTLCCY ≤ 0.01)</w:t>
      </w:r>
    </w:p>
    <w:p>
      <w:pPr>
        <w:spacing w:after="140"/>
      </w:pPr>
    </w:p>
    <w:p>
      <w:pPr>
        <w:pStyle w:val="Heading2"/>
        <w:spacing w:after="120" w:before="240"/>
      </w:pPr>
      <w:r>
        <w:t xml:space="preserve">3.2 貸方側 — CHK_Total_Pct()</w:t>
      </w:r>
    </w:p>
    <w:p>
      <w:pPr>
        <w:spacing w:after="160"/>
      </w:pPr>
      <w:r>
        <w:t xml:space="preserve">來源:X/CALJS/CDOSCRLEVEL/SSSS_PaymentCredit.js:164-210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function CHK_Total_Pct()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arrCredit = SYS_GetObjByDoName('PaymentCredit');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tempSum = SYS_BeFloat(document.MAINFORM.CPYT_CR_AMT_TXCCY.value);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ttlAmt  = SYS_BeFloat(document.MAINFORM.CPYT_CR_TTL_AMT_TTLCCY.value);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oldValue = currentCredit ? SYS_BeFloat(currentCredit.getDoValueByName(...)) :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for (i = 0; i &lt; arrCredit.length; i++)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tempSum += SYS_BeFloat(arrCredit[i].getDoValueByName(...));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newSum = tempSum - oldValue;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if (newSum &gt; ttlAmt)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("CFNC" == SYS_MODULE_NAME)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var sub = newSum - ttlAmt;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if (sub &lt;= 0.02) { return true; }               // CFNC 容差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("RPFM" == SYS_MODULE_NAME)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var sub = newSum - ttlAmt;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if (sub &lt;= 0.01 &amp;&amp; sub &gt;= 0) { return true; }   // RPFM 容差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(SYS_ORG_FUNCTION_NAME == "SettleParticipant")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// 重設 CPYT_CR_PER / CPYT_CR_AMT_CRCCY / CPYT_CR_AMT_TXCCY 為 0,回傳 true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// 其餘情況:拒絕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40"/>
      </w:pPr>
    </w:p>
    <w:p>
      <w:pPr>
        <w:spacing w:after="160"/>
      </w:pPr>
      <w:r>
        <w:t xml:space="preserve">公式:形狀與 §3.1 相同,改用貸方側欄位;CFNC 的容差(0.02)比 RPFM(0.01)更寬。CFNC 不在 15 個已確認消費端名單內(Payment_Mapping_Functions.docx §8,判定為 N/A)——其容差分支對範圍內函式而言是無效程式碼,但因與其他邏輯共用同一函式,此處仍完整重現。</w:t>
      </w:r>
    </w:p>
    <w:p>
      <w:pPr>
        <w:pStyle w:val="Heading2"/>
        <w:spacing w:after="120" w:before="240"/>
      </w:pPr>
      <w:r>
        <w:t xml:space="preserve">3.3 OAS 對應與待確認項目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當任一側驗證失敗時,對應 POST /payment-instructions 的 409 回應(「腿位不平衡、缺少必要帳戶類型」)。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RPFM 的容差(±0.01)套用於一個 GAP 狀態模組(Payment_Mapping_Functions.docx §7)——若/當 RPFM 完成補救時應予重現,對目前 15 個範圍內函式而言則是無效邏輯。</w:t>
      </w:r>
    </w:p>
    <w:p>
      <w:pPr>
        <w:pBdr>
          <w:left w:val="single" w:color="1F4E78" w:sz="12" w:space="8"/>
        </w:pBdr>
        <w:spacing w:after="200"/>
        <w:ind w:left="120"/>
      </w:pPr>
      <w:r>
        <w:rPr>
          <w:i/>
          <w:iCs/>
          <w:color w:val="444444"/>
          <w:sz w:val="20"/>
          <w:szCs w:val="20"/>
        </w:rPr>
        <w:t xml:space="preserve">待確認項目:原始碼是各自獨立地檢查「該側腿位加總 ≤ 共用目標總額」,而非直接檢查「Σ借方 == Σ貸方」。這兩者只有在 CPYT_DR_TTL_AMT_TTLCCY 與 CPYT_CR_TTL_AMT_TTLCCY 永遠被呼叫端畫面設為同一個值時才等價——本次分析並未獨立驗證這點。在定案伺服端驗證邏輯前,應確認是否需要比兩個獨立 ≤ 檢查更嚴格的「Σ借方 == Σ貸方」精確相等檢查,或應保留原本「各側各自受共用總額約束、不需剛好打平」的語意(見 §12)。</w:t>
      </w:r>
    </w:p>
    <w:p>
      <w:pPr>
        <w:pStyle w:val="Heading1"/>
        <w:spacing w:after="160" w:before="320"/>
      </w:pPr>
      <w:r>
        <w:t xml:space="preserve">4. 步驟二 — 支付組件識別規則(分類)</w:t>
      </w:r>
    </w:p>
    <w:p>
      <w:pPr>
        <w:spacing w:after="160"/>
      </w:pPr>
      <w:r>
        <w:t xml:space="preserve">此規則已在 FSD(§2.3,Rev. 2)完整定義並經原始碼驗證——此處僅為求 Confirm 流程追溯的完整性而重點回顧,不重新推導。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paymentComponentRelated 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( Dr_has(CUSTOMER) XOR Cr_has(CUSTOMER)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OR ( Dr_has(NOSTRO)   XOR Cr_has(NOSTRO)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OR ( Dr_has(VOSTRO)   XOR Cr_has(VOSTRO)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Dr_has(t) = true iff t ∈ { leg.accountType : leg ∈ debitLegs[]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Cr_has(t) = true iff t ∈ { leg.accountType : leg ∈ creditLegs[] }</w:t>
      </w:r>
    </w:p>
    <w:p>
      <w:pPr>
        <w:spacing w:after="14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SUSPENSE、INTERNAL、與 RTGS(僅 RPFM,v1.1.0 新增)都不被任何 XOR 項檢驗——它們本身永遠無法讓 paymentComponentRelated 為真,與 FSD §2.3 及 v1.2.0 對 AccountType 說明的修正一致(RTGS 被排除在 XOR 項之外,原因與 SUSPENSE/INTERNAL 相同,結構性使然,並非因為它是不同性質的值)。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此步驟永不阻擋請求(下方 §7 的附註仍適用)——僅供資訊用途,內嵌於回應中的 PaymentInstruction.classification,且不影響步驟四(Account Entry 產生為無條件執行)。</w:t>
      </w:r>
    </w:p>
    <w:p>
      <w:pPr>
        <w:pStyle w:val="Heading1"/>
        <w:spacing w:after="160" w:before="320"/>
      </w:pPr>
      <w:r>
        <w:t xml:space="preserve">5. 步驟三 — 傳票描述碼組裝</w:t>
      </w:r>
    </w:p>
    <w:p>
      <w:pPr>
        <w:spacing w:after="160"/>
      </w:pPr>
      <w:r>
        <w:t xml:space="preserve">這是 FSD 已用文字記載之 accountDesc 公式(§3.3:「{MODULE}{FuncCode}NULLNULLNULL{TypeChar}」)背後的實際實作——此處從真實函式本體重新推導,而非重述文字說明。範例取自 SYF_EXCO_CAL_PAYMENT_AC_DESC(),15 個已確認消費函式之一(EXCO Payment)。</w:t>
      </w:r>
    </w:p>
    <w:p>
      <w:pPr>
        <w:spacing w:after="160"/>
      </w:pPr>
      <w:r>
        <w:t xml:space="preserve">來源:X/CALJS/FUNCLEVEL/SYF_EXCO_EXCO_Payment.js:302-334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csFuncLevelProto.SYF_EXCO_CAL_PAYMENT_AC_DESC = function()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_Dr = SYS_GetObjByDoName("PaymentDebit");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_Cr = SYS_GetObjByDoName("PaymentCredit");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for (i = 0; i &lt; _Dr.length; i++)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DR_TYPE = _Dr[i].getDoValueByName("CPYT_DR_AC_TYPE");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ntype = DR_TYPE.substring(0, 1);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dr_desc = "EXCO01NULLNULLNULL" + ntype;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SYS_UpdateFldValueByDo(_Dr[i], "CPYT_DR_AC_DESC", dr_desc);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for (i = 0; i &lt; _Cr.length; i++)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CR_TYPE = _Cr[i].getDoValueByName("CPYT_CR_AC_TYPE");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ntype = CR_TYPE.substring(0, 1);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cr_desc = "EXCO01NULLNULLNULL" + ntype;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SYS_UpdateFldValueByDo(_Cr[i], "CPYT_CR_AC_DESC", cr_desc);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40"/>
      </w:pPr>
    </w:p>
    <w:p>
      <w:pPr>
        <w:spacing w:after="160"/>
      </w:pPr>
      <w:r>
        <w:t xml:space="preserve">公式(針對每一腿獨立套用一次——而非整筆指令套用一次):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FOR EACH leg IN debitLegs[] ∪ creditLegs[]: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leg.accountDesc = "{MODULE}{FuncCode}NULLNULLNULL" + leg.accountType.charAt(0)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where {MODULE}{FuncCode} 為 Payment_Mapping_Functions.docx §6 已逐函式編目之固定傳票代碼前綴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(例如 EXCO Payment 為 "EXCO01"、IPLC Pay/Accept 為 "IPLC03"、GTEE Outward Claim Settlement 為 "GTEE04")。</w:t>
      </w:r>
    </w:p>
    <w:p>
      <w:pPr>
        <w:spacing w:after="140"/>
      </w:pPr>
    </w:p>
    <w:p>
      <w:pPr>
        <w:pStyle w:val="Heading2"/>
        <w:spacing w:after="120" w:before="240"/>
      </w:pPr>
      <w:r>
        <w:t xml:space="preserve">5.1 類型字元對照表</w:t>
      </w:r>
    </w:p>
    <w:p>
      <w:pPr>
        <w:spacing w:after="160"/>
      </w:pPr>
      <w:r>
        <w:t xml:space="preserve">AccountType 的第一個字元,依每一腿「自身」的 accountType 套用——絕非指令層級的分類結果: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AccountType</w:t>
            </w:r>
          </w:p>
        </w:tc>
        <w:tc>
          <w:tcPr>
            <w:tcW w:type="dxa" w:w="468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TypeChar</w:t>
            </w:r>
          </w:p>
        </w:tc>
      </w:tr>
      <w:tr>
        <w:tc>
          <w:tcPr>
            <w:tcW w:type="dxa" w:w="46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CUSTOMER</w:t>
            </w:r>
          </w:p>
        </w:tc>
        <w:tc>
          <w:tcPr>
            <w:tcW w:type="dxa" w:w="46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68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NOSTRO</w:t>
            </w:r>
          </w:p>
        </w:tc>
        <w:tc>
          <w:tcPr>
            <w:tcW w:type="dxa" w:w="468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</w:t>
            </w:r>
          </w:p>
        </w:tc>
      </w:tr>
      <w:tr>
        <w:tc>
          <w:tcPr>
            <w:tcW w:type="dxa" w:w="46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VOSTRO</w:t>
            </w:r>
          </w:p>
        </w:tc>
        <w:tc>
          <w:tcPr>
            <w:tcW w:type="dxa" w:w="46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</w:t>
            </w:r>
          </w:p>
        </w:tc>
      </w:tr>
      <w:tr>
        <w:tc>
          <w:tcPr>
            <w:tcW w:type="dxa" w:w="468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SUSPENSE</w:t>
            </w:r>
          </w:p>
        </w:tc>
        <w:tc>
          <w:tcPr>
            <w:tcW w:type="dxa" w:w="468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46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INTERNAL</w:t>
            </w:r>
          </w:p>
        </w:tc>
        <w:tc>
          <w:tcPr>
            <w:tcW w:type="dxa" w:w="46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468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RTGS(僅 RPFM,v1.1.0 新增)</w:t>
            </w:r>
          </w:p>
        </w:tc>
        <w:tc>
          <w:tcPr>
            <w:tcW w:type="dxa" w:w="468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</w:t>
            </w:r>
          </w:p>
        </w:tc>
      </w:tr>
    </w:tbl>
    <w:p>
      <w:pPr>
        <w:spacing w:after="140"/>
      </w:pPr>
    </w:p>
    <w:p>
      <w:pPr>
        <w:pBdr>
          <w:left w:val="single" w:color="1F4E78" w:sz="12" w:space="8"/>
        </w:pBdr>
        <w:spacing w:after="200"/>
        <w:ind w:left="120"/>
      </w:pPr>
      <w:r>
        <w:rPr>
          <w:i/>
          <w:iCs/>
          <w:color w:val="444444"/>
          <w:sz w:val="20"/>
          <w:szCs w:val="20"/>
        </w:rPr>
        <w:t xml:space="preserve">唯一性檢查:C/N/V/S/I/R 兩兩互異,因此一旦 RPFM 完成補救(Payment_Mapping_Functions.docx §7),RTGS 腿位的描述碼不會與任何其他 AccountType 的描述碼衝突。本次分析並未重新讀取另一個模組層級的 CAL_PAYMENT_AC_DESC 實作以確認同一 substring(0,1) 模式逐字適用於所有模組——FSD(§3.2)已確立 IPLC/EPLC/EXCO/GTEE 各自擁有其函式層級或模組層級的 CAL_PAYMENT_AC_DESC 程序;在把此公式視為放諸四海皆準之前,建議至少再抽查一個(例如 SYM_GTEE.js)。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此步驟永不失敗/阻擋——accountDesc 永遠可由 accountType 算出,而 accountType 本身已在此步驟之前由 AccountType 列舉值間接驗證過(見 §3)。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OAS 對應:POST 回應中每一腿的 PaymentLeg.accountDesc(唯讀,伺服端衍生)。</w:t>
      </w:r>
    </w:p>
    <w:p>
      <w:pPr>
        <w:pStyle w:val="Heading1"/>
        <w:spacing w:after="160" w:before="320"/>
      </w:pPr>
      <w:r>
        <w:t xml:space="preserve">6. 步驟四 — Account Entry(總帳分錄)產生</w:t>
      </w:r>
    </w:p>
    <w:p>
      <w:pPr>
        <w:spacing w:after="160"/>
      </w:pPr>
      <w:r>
        <w:t xml:space="preserve">三條平行傳票流共同組成 AccountEntry[](voucherType:SETTLEMENT / CHARGE / LIABILITY),依 FSD §5.4 步驟四無條件產生——與步驟二的分類結果無關。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3300"/>
        <w:gridCol w:w="1460"/>
      </w:tblGrid>
      <w:tr>
        <w:trPr>
          <w:tblHeader/>
        </w:trPr>
        <w:tc>
          <w:tcPr>
            <w:tcW w:type="dxa" w:w="16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傳票流</w:t>
            </w:r>
          </w:p>
        </w:tc>
        <w:tc>
          <w:tcPr>
            <w:tcW w:type="dxa" w:w="30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來源函式</w:t>
            </w:r>
          </w:p>
        </w:tc>
        <w:tc>
          <w:tcPr>
            <w:tcW w:type="dxa" w:w="33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公式(摘要)</w:t>
            </w:r>
          </w:p>
        </w:tc>
        <w:tc>
          <w:tcPr>
            <w:tcW w:type="dxa" w:w="146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詳見</w:t>
            </w:r>
          </w:p>
        </w:tc>
      </w:tr>
      <w:tr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結算(Settlement)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無額外公式——見 §5/§8,即 PaymentDebit/PaymentCredit 腿位本身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與提交之 debitLegs[]/creditLegs[] 一對一對映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§6.1</w:t>
            </w:r>
          </w:p>
        </w:tc>
      </w:tr>
      <w:tr>
        <w:tc>
          <w:tcPr>
            <w:tcW w:type="dxa" w:w="16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費用(Charge)</w:t>
            </w:r>
          </w:p>
        </w:tc>
        <w:tc>
          <w:tcPr>
            <w:tcW w:type="dxa" w:w="30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SYT_CHG_VOUCHER() — TrxSys.js:1810-1896</w:t>
            </w:r>
          </w:p>
        </w:tc>
        <w:tc>
          <w:tcPr>
            <w:tcW w:type="dxa" w:w="33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CHG_CUST_AMT = MAX(本幣, 外幣) 或 本幣+VAT,視函式而定</w:t>
            </w:r>
          </w:p>
        </w:tc>
        <w:tc>
          <w:tcPr>
            <w:tcW w:type="dxa" w:w="14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§6.2</w:t>
            </w:r>
          </w:p>
        </w:tc>
      </w:tr>
      <w:tr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或有負債(Liability)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SYT_LIAB_VOUCHER() — TrxSys.js:5564-5677+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依模組/函式而定的 GL 科目組合 + 金額,詳列於 §6.3</w:t>
            </w:r>
          </w:p>
        </w:tc>
        <w:tc>
          <w:tcPr>
            <w:tcW w:type="dxa" w:w="1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§6.3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6.1 結算傳票流</w:t>
      </w:r>
    </w:p>
    <w:p>
      <w:pPr>
        <w:spacing w:after="160"/>
      </w:pPr>
      <w:r>
        <w:t xml:space="preserve">無獨立計算公式——每一筆提交的 debitLegs[]/creditLegs[] 項目即產生一筆 AccountEntry(voucherType:SETTLEMENT),使用該腿自身的 accountNo、accountType、amountTxCcy/amountAccountCcy 與 currency(FSD §3.4.2)。除該腿本身已定義之欄位外,無其他公式。</w:t>
      </w:r>
    </w:p>
    <w:p>
      <w:pPr>
        <w:pStyle w:val="Heading2"/>
        <w:spacing w:after="120" w:before="240"/>
      </w:pPr>
      <w:r>
        <w:t xml:space="preserve">6.2 費用傳票流 — SYT_CHG_VOUCHER()</w:t>
      </w:r>
    </w:p>
    <w:p>
      <w:pPr>
        <w:spacing w:after="160"/>
      </w:pPr>
      <w:r>
        <w:t xml:space="preserve">來源:X/CALJS/COMMONLEVEL/TrxSys.js:1810-1896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function SYT_CHG_VOUCHER()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sMark = (SYS_ORG_FUNCTION_NAME.indexOf("_SettleCharges") &gt; -1) ? "YES" : "NO";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// sACNO 依 CHG_BANK_FLG 決定(Foreign -&gt; STL_CHG_ACNO,否則 -&gt; 本地客戶帳號)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document.MAINFORM.CHG_CUST_AC.value = sACNO;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nAmt_Local   = Chg.Screen.getLocalChgCustPayTotalAmt();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nAmt_Foreign = Chg.Screen.getForeignChgCustPayTotalAmt();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if (sMark == "YES")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document.MAINFORM.CHG_CUST_AMT.value = Math.max(nAmt_Local, nAmt_Foreign);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 else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document.MAINFORM.CHG_CUST_AMT.value 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Chg.Screen.getLocalChgCustPayTotalAmt() + Chg.Screen.getLocalPayVatTotalAmt();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document.MAINFORM.CHG_CUST_AMT_DR.value = (sACNO.length &gt; 0) ? document.MAINFORM.CHG_CUST_AMT.value :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document.MAINFORM.CHG_TRX_DATE.value = SYS_BUSI_DATE;   // (非 SYND)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SYT_Cal_C_VOUCHER_DESC('charge');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40"/>
      </w:pPr>
    </w:p>
    <w:p>
      <w:pPr>
        <w:spacing w:after="160"/>
      </w:pPr>
      <w:r>
        <w:t xml:space="preserve">公式: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chargeAmount =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IF 函式名稱包含 "_SettleCharges":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MAX( getLocalChgCustPayTotalAmt(), getForeignChgCustPayTotalAmt()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ELSE: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getLocalChgCustPayTotalAmt() + getLocalPayVatTotalAmt()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chargeDebitAmount = chargeAmount  IF chargeAccountNo 非空  ELSE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bookingDate = SYS_BUSI_DATE  (SYND 模組除外)</w:t>
      </w:r>
    </w:p>
    <w:p>
      <w:pPr>
        <w:spacing w:after="140"/>
      </w:pPr>
    </w:p>
    <w:p>
      <w:pPr>
        <w:pBdr>
          <w:left w:val="single" w:color="1F4E78" w:sz="12" w:space="8"/>
        </w:pBdr>
        <w:spacing w:after="200"/>
        <w:ind w:left="120"/>
      </w:pPr>
      <w:r>
        <w:rPr>
          <w:i/>
          <w:iCs/>
          <w:color w:val="444444"/>
          <w:sz w:val="20"/>
          <w:szCs w:val="20"/>
        </w:rPr>
        <w:t xml:space="preserve">可攜性警示:getLocalChgCustPayTotalAmt()、getForeignChgCustPayTotalAmt()、getLocalPayVatTotalAmt() 皆為 Chg.Screen 畫面元件的輔助方法——是對畫面上費用網格的 UI 層彙總,並非可直接移植到伺服端微服務的純 CALJS 邏輯。這條公式的輸入無法單憑 PaymentLegInput schema 重新推導出來;費用總額必須由呼叫模組在提交 POST /payment-instructions 之前的既有費用計算邏輯先行算好並傳入,或微服務需要自行實作等效的費用彙總邏輯(此舉會擴大 FSD §8.2 目前劃定的範圍)。見 §12。</w:t>
      </w:r>
    </w:p>
    <w:p>
      <w:pPr>
        <w:pStyle w:val="Heading2"/>
        <w:spacing w:after="120" w:before="240"/>
      </w:pPr>
      <w:r>
        <w:t xml:space="preserve">6.3 或有負債傳票流 — SYT_LIAB_VOUCHER()</w:t>
      </w:r>
    </w:p>
    <w:p>
      <w:pPr>
        <w:spacing w:after="160"/>
      </w:pPr>
      <w:r>
        <w:t xml:space="preserve">來源:X/CALJS/COMMONLEVEL/TrxSys.js:5564-5677+。此為一個龐大的逐模組分派函式;以下僅重現與 15 個已確認消費函式相符的分支。涵蓋範圍本就不平均——託收類(EXCO、IMCO 大部分函式)不像信用狀或保證函那樣帶有銀行或有負債部位,因此多個已確認函式理應完全不產生或有負債傳票分錄。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200"/>
        <w:gridCol w:w="2760"/>
      </w:tblGrid>
      <w:tr>
        <w:trPr>
          <w:tblHeader/>
        </w:trPr>
        <w:tc>
          <w:tcPr>
            <w:tcW w:type="dxa" w:w="12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模組</w:t>
            </w:r>
          </w:p>
        </w:tc>
        <w:tc>
          <w:tcPr>
            <w:tcW w:type="dxa" w:w="32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函式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是否產生或有負債傳票?</w:t>
            </w:r>
          </w:p>
        </w:tc>
        <w:tc>
          <w:tcPr>
            <w:tcW w:type="dxa" w:w="276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匹配依據</w:t>
            </w:r>
          </w:p>
        </w:tc>
      </w:tr>
      <w:tr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IPLC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Pay/Accept、Pay/Accept With Discount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2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IPLC_PAY_ACCEPT / IPLC_PAY_ACP_DIS 分支</w:t>
            </w:r>
          </w:p>
        </w:tc>
      </w:tr>
      <w:tr>
        <w:tc>
          <w:tcPr>
            <w:tcW w:type="dxa" w:w="1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IPLC</w:t>
            </w:r>
          </w:p>
        </w:tc>
        <w:tc>
          <w:tcPr>
            <w:tcW w:type="dxa" w:w="3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Payment at Maturity</w:t>
            </w:r>
          </w:p>
        </w:tc>
        <w:tc>
          <w:tcPr>
            <w:tcW w:type="dxa" w:w="2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是</w:t>
            </w:r>
          </w:p>
        </w:tc>
        <w:tc>
          <w:tcPr>
            <w:tcW w:type="dxa" w:w="27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IPLC_PAY_AT_MATU 分支</w:t>
            </w:r>
          </w:p>
        </w:tc>
      </w:tr>
      <w:tr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EPLC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Pay/Accept、Pay at Maturity(Discount 未命中)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是(Pay/Accept、Pay at Maturity)/ 否(Discount)</w:t>
            </w:r>
          </w:p>
        </w:tc>
        <w:tc>
          <w:tcPr>
            <w:tcW w:type="dxa" w:w="2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arr_Func_Manag3 = ["PayAccept","PayAtMat","SettlePartial","PayAccept(CE)"] ——「Discount」不在此清單內</w:t>
            </w:r>
          </w:p>
        </w:tc>
      </w:tr>
      <w:tr>
        <w:tc>
          <w:tcPr>
            <w:tcW w:type="dxa" w:w="1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EXCO</w:t>
            </w:r>
          </w:p>
        </w:tc>
        <w:tc>
          <w:tcPr>
            <w:tcW w:type="dxa" w:w="3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Payment、Settlement at Maturity、Discount、Process 400</w:t>
            </w:r>
          </w:p>
        </w:tc>
        <w:tc>
          <w:tcPr>
            <w:tcW w:type="dxa" w:w="2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否 — 整個模組不存在於 SYT_LIAB_VOUCHER()</w:t>
            </w:r>
          </w:p>
        </w:tc>
        <w:tc>
          <w:tcPr>
            <w:tcW w:type="dxa" w:w="27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函式內完全沒有 SYS_MODULE_NAME == "EXCO" 的分支</w:t>
            </w:r>
          </w:p>
        </w:tc>
      </w:tr>
      <w:tr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IMCO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Pre-Payment、Payment D/P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否</w:t>
            </w:r>
          </w:p>
        </w:tc>
        <w:tc>
          <w:tcPr>
            <w:tcW w:type="dxa" w:w="2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只有 AddAvalisation / RemoveAvalisation / SettlementDA 被匹配——兩個已確認函式名稱都不在其中</w:t>
            </w:r>
          </w:p>
        </w:tc>
      </w:tr>
      <w:tr>
        <w:tc>
          <w:tcPr>
            <w:tcW w:type="dxa" w:w="1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IMCO</w:t>
            </w:r>
          </w:p>
        </w:tc>
        <w:tc>
          <w:tcPr>
            <w:tcW w:type="dxa" w:w="3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Settlement D/A</w:t>
            </w:r>
          </w:p>
        </w:tc>
        <w:tc>
          <w:tcPr>
            <w:tcW w:type="dxa" w:w="2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是(以 "SettlementDA" 匹配)</w:t>
            </w:r>
          </w:p>
        </w:tc>
        <w:tc>
          <w:tcPr>
            <w:tcW w:type="dxa" w:w="27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arr_Func_Manag9 分支</w:t>
            </w:r>
          </w:p>
        </w:tc>
      </w:tr>
      <w:tr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GTEE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Outward Claim Settlement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是(以 "OutwardSett" 匹配)</w:t>
            </w:r>
          </w:p>
        </w:tc>
        <w:tc>
          <w:tcPr>
            <w:tcW w:type="dxa" w:w="2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str_func_name == "OutwardSett" 分支</w:t>
            </w:r>
          </w:p>
        </w:tc>
      </w:tr>
      <w:tr>
        <w:tc>
          <w:tcPr>
            <w:tcW w:type="dxa" w:w="1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IWGT</w:t>
            </w:r>
          </w:p>
        </w:tc>
        <w:tc>
          <w:tcPr>
            <w:tcW w:type="dxa" w:w="3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Settle Inward Claim</w:t>
            </w:r>
          </w:p>
        </w:tc>
        <w:tc>
          <w:tcPr>
            <w:tcW w:type="dxa" w:w="2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是,附條件</w:t>
            </w:r>
          </w:p>
        </w:tc>
        <w:tc>
          <w:tcPr>
            <w:tcW w:type="dxa" w:w="27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str_func_name == "SettleClaim",僅當 MTHD_OF_ISS == "Issue" 時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t xml:space="preserve">6.3.1 IPLC — Pay/Accept、Pay/Accept With Discount、Payment at Maturity</w:t>
      </w:r>
    </w:p>
    <w:p>
      <w:pPr>
        <w:spacing w:after="160"/>
      </w:pPr>
      <w:r>
        <w:t xml:space="preserve">來源:TrxSys.js:5630-5661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// IPLC_PAY_ACCEPT / IPLC_PAY_ACP_DIS: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IF STL_AMT &gt; 0: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Dr ASSET_ACNO = STL_AMT      (描述碼 "IPLC03CONTNULLNULLI")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Cr LIAB_ACNO  = STL_AMT      (描述碼 "IPLC03CONTNULLNULLI")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ELSE IF ACPT_AMT &gt; 0 AND CPYT_C_SDA_FLAG == 'Sight':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Dr TEMP_ASSET_ACNO = STL_AMT   Cr TEMP_LIAB_ACNO = STL_AMT   (描述碼 "IPLC04CONTNULLNULLI")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Dr LIAB_ACNO       = ACPT_AMT  Cr ASSET_ACNO     = ACPT_AMT  (描述碼 "IPLC04FIRMNULLNULLI")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// IPLC_PAY_AT_MATU: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Dr ASSET_ACNO = STL_AMT      (描述碼 "IPLC06FIRMNULLNULLI")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 LIAB_ACNO  = STL_AMT      (描述碼 "IPLC06FIRMNULLNULLI")</w:t>
      </w:r>
    </w:p>
    <w:p>
      <w:pPr>
        <w:spacing w:after="140"/>
      </w:pPr>
    </w:p>
    <w:p>
      <w:pPr>
        <w:pStyle w:val="Heading3"/>
        <w:spacing w:after="100" w:before="200"/>
      </w:pPr>
      <w:r>
        <w:t xml:space="preserve">6.3.2 EPLC — Pay/Accept、Pay at Maturity、SettlePartial</w:t>
      </w:r>
    </w:p>
    <w:p>
      <w:pPr>
        <w:spacing w:after="160"/>
      </w:pPr>
      <w:r>
        <w:t xml:space="preserve">來源:TrxSys.js:5902-5908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Dr ASSET_ACNO = STL_AMT      (描述碼 "EPLC03CONTNULLNULLI")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 LIAB_ACNO  = STL_AMT      (描述碼:見下方警示)</w:t>
      </w:r>
    </w:p>
    <w:p>
      <w:pPr>
        <w:spacing w:after="140"/>
      </w:pPr>
    </w:p>
    <w:p>
      <w:pPr>
        <w:pBdr>
          <w:left w:val="single" w:color="1F4E78" w:sz="12" w:space="8"/>
        </w:pBdr>
        <w:spacing w:after="200"/>
        <w:ind w:left="120"/>
      </w:pPr>
      <w:r>
        <w:rPr>
          <w:i/>
          <w:iCs/>
          <w:color w:val="444444"/>
          <w:sz w:val="20"/>
          <w:szCs w:val="20"/>
        </w:rPr>
        <w:t xml:space="preserve">本次分析發現之原始碼缺陷:第 5908 行寫的是 document.MAINFORM.TEMP_AC_VCH_DESC2.valuee = 'EPLC03CONTNULLNULLI' ——注意是「valuee」,不是「value」。這只會賦值到一個多餘的 JS 屬性,而非該 DOM 欄位的 .value,因此目前代碼庫內 TEMP_AC_VCH_DESC2(貸方腿的傳票描述)實際上從未被這行程式碼設定過。微服務重新實作此公式時,應與模組負責人確認:是要複製此缺陷(與現行production行為逐位元一致),還是修正它(採用正確行為)——這是一項真正的業務決策,不應被靜默「順手修正」。見 §11。</w:t>
      </w:r>
    </w:p>
    <w:p>
      <w:pPr>
        <w:pStyle w:val="Heading3"/>
        <w:spacing w:after="100" w:before="200"/>
      </w:pPr>
      <w:r>
        <w:t xml:space="preserve">6.3.3 IMCO — 僅 Settlement D/A</w:t>
      </w:r>
    </w:p>
    <w:p>
      <w:pPr>
        <w:spacing w:after="160"/>
      </w:pPr>
      <w:r>
        <w:t xml:space="preserve">來源:TrxSys.js:5862-5869。Pre-Payment 與 Payment D/P 未被此函式內任何分支匹配——完全不產生或有負債傳票分錄,正確反映了單純的託收付款不帶有銀行或有負債部位。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// arr_Func_Manag9 = ["SettlementDA"]: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Dr ASSET_ACNO = BILL_AMT_FM_DRWE      (描述碼 "IMCO03CONTNULLNULLI")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 LIAB_ACNO  = BILL_AMT_FM_DRWE      (描述碼 "IMCO03CONTNULLNULLI")</w:t>
      </w:r>
    </w:p>
    <w:p>
      <w:pPr>
        <w:spacing w:after="140"/>
      </w:pPr>
    </w:p>
    <w:p>
      <w:pPr>
        <w:pStyle w:val="Heading3"/>
        <w:spacing w:after="100" w:before="200"/>
      </w:pPr>
      <w:r>
        <w:t xml:space="preserve">6.3.4 GTEE — Outward Claim Settlement</w:t>
      </w:r>
    </w:p>
    <w:p>
      <w:pPr>
        <w:spacing w:after="160"/>
      </w:pPr>
      <w:r>
        <w:t xml:space="preserve">來源:TrxSys.js:5705-5711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// str_func_name == "OutwardSett" || "OutwardSett(CE)":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Dr ASSET_ACNO = CLM_TRX_CCY_AMT      (描述碼 "GTEE04CONTNULLNULLI")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 LIAB_ACNO  = CLM_TRX_CCY_AMT      (描述碼 "GTEE04CONTNULLNULLI")</w:t>
      </w:r>
    </w:p>
    <w:p>
      <w:pPr>
        <w:spacing w:after="140"/>
      </w:pPr>
    </w:p>
    <w:p>
      <w:pPr>
        <w:pBdr>
          <w:left w:val="single" w:color="1F4E78" w:sz="12" w:space="8"/>
        </w:pBdr>
        <w:spacing w:after="200"/>
        <w:ind w:left="120"/>
      </w:pPr>
      <w:r>
        <w:rPr>
          <w:i/>
          <w:iCs/>
          <w:color w:val="444444"/>
          <w:sz w:val="20"/>
          <w:szCs w:val="20"/>
        </w:rPr>
        <w:t xml:space="preserve">或有負債傳票的描述碼(例如 "GTEE04CONTNULLNULLI")與 §5 支付組件自身的 accountDesc 公式(例如 "GTEE04NULLNULLNULL" + TypeChar)是「不同」的兩套代碼流——同樣的 {MODULE}{FuncCode} 前綴,但後綴慣例不同("CONT..." 對比 "...NULL{TypeChar}")。實作 Account Entry 產生邏輯時切勿混淆兩者:這是一條各分支各自寫死、獨立的傳票流,並非由 AccountType 動態推導而來。</w:t>
      </w:r>
    </w:p>
    <w:p>
      <w:pPr>
        <w:pStyle w:val="Heading3"/>
        <w:spacing w:after="100" w:before="200"/>
      </w:pPr>
      <w:r>
        <w:t xml:space="preserve">6.3.5 IWGT — Settle Inward Claim(附條件)</w:t>
      </w:r>
    </w:p>
    <w:p>
      <w:pPr>
        <w:spacing w:after="160"/>
      </w:pPr>
      <w:r>
        <w:t xml:space="preserve">來源:TrxSys.js:5768-5776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// str_func_name == "SettleClaim":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IF MTHD_OF_ISS == 'Issue':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Dr ASSET_ACNO = CLM_TRX_CCY_AMT      (描述碼1 "IWGT04CONTNULLNULLC")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Cr LIAB_ACNO  = CLM_TRX_CCY_AMT      (描述碼2 "IWGT04CONTNULLNULLI")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// ELSE:完全不產生或有負債傳票分錄</w:t>
      </w:r>
    </w:p>
    <w:p>
      <w:pPr>
        <w:spacing w:after="14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須保留的業務條件:IWGT Settle Inward Claim 僅在保證函的簽發方式(MTHD_OF_ISS)為「Issue」時才產生或有負債傳票——若僅是收到的通知函(Advice-only),則不產生任何分錄。這個條件在 OAS 請求結構中完全看不到(PaymentInstructionConfirmRequest 沒有對應「簽發方式」的欄位)——呼叫模組(IWGT)必須在自己提交前的邏輯中決定是否納入 Liability 傳票流分錄,或此微服務需要新增一個欄位來承載此條件。見 §12。</w:t>
      </w:r>
    </w:p>
    <w:p>
      <w:pPr>
        <w:pStyle w:val="Heading3"/>
        <w:spacing w:after="100" w:before="200"/>
      </w:pPr>
      <w:r>
        <w:t xml:space="preserve">6.3.6 EXCO — 不存在或有負債傳票分支</w:t>
      </w:r>
    </w:p>
    <w:p>
      <w:pPr>
        <w:spacing w:after="160"/>
      </w:pPr>
      <w:r>
        <w:t xml:space="preserve">以「不存在」確認:SYT_LIAB_VOUCHER() 內的 SYS_MODULE_NAME 分派鏈涵蓋 IPLC、GTEE、IWGT、PYMT、SHGT、IMCO、EPLC——EXCO 從未出現過。4 個已確認 EXCO 函式(Payment、Settlement at Maturity、Discount、Process 400)一律只產生結算與費用兩條傳票流,從未產生或有負債傳票——與跟單託收不帶有銀行或有負債部位的業務性質一致。</w:t>
      </w:r>
    </w:p>
    <w:p>
      <w:pPr>
        <w:pStyle w:val="Heading1"/>
        <w:spacing w:after="160" w:before="320"/>
      </w:pPr>
      <w:r>
        <w:t xml:space="preserve">7. 步驟五 — SWIFT/ISO 20022 報文產生與跨欄位驗證</w:t>
      </w:r>
    </w:p>
    <w:p>
      <w:pPr>
        <w:spacing w:after="160"/>
      </w:pPr>
      <w:r>
        <w:t xml:space="preserve">來源:X/CALJS/CDOSCRLEVEL/SSSS_PaymentCredit.js:344-400(CPYT_PAY_ADV_MSG() 與 CPYT_PAY_COV_MSG() 的 onChange 處理常式)。僅限貸方腿使用,依 FSD §3.4.2——這些欄位雖同時存在於 PaymentDebit schema,但借方側從未讀取。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function CPYT_PAY_ADV_MSG()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if (CPYT_PAY_ADV_MSG in ['MT103','PACS008'])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enable103();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X103_SETT_CCY_32A = CPYT_CR_CCY;  X103_SETT_AMT_32A = CPYT_CR_AMT_CRCCY;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X103_INSTR_CCY_33B = CPYT_CR_CCY; X103_INSTR_AMT_33B = CPYT_CR_AMT_CRCCY;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 else if (CPYT_PAY_ADV_MSG NOT IN ['MT103','PACS008']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AND CPYT_PAY_COV_MSG IN ['MT202COV','PACS009COV'])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REJECT: "The Payment Advice Message should be MT103 or PACS008,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while the Payment Cover Message is MT202COV or PACS009COV."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 else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disable103();  // 清空 X103_* 欄位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function CPYT_PAY_COV_MSG()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if (CPYT_PAY_COV_MSG == 'MT202') { enable202();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else if (CPYT_PAY_COV_MSG IN ['MT202COV','PACS009COV'])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enable202();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CPYT_PAY_ADV_MSG NOT IN ['MT103','PACS008']: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REJECT: 同上訊息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 else { disable202();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40"/>
      </w:pPr>
    </w:p>
    <w:p>
      <w:pPr>
        <w:spacing w:after="160"/>
      </w:pPr>
      <w:r>
        <w:t xml:space="preserve">彙整後的驗證規則(兩個處理常式各自從不同欄位變動的方向,強制同一條約束):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IF payCoverMsgType ∈ {MT202COV, PACS009COV}: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payAdviceMsgType MUST BE ∈ {MT103, PACS008}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ELSE reject: "The Payment Advice Message should be MT103 or PACS008,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  while the Payment Cover Message is MT202COV or PACS009COV."</w:t>
      </w:r>
    </w:p>
    <w:p>
      <w:pPr>
        <w:spacing w:after="140"/>
      </w:pPr>
    </w:p>
    <w:p>
      <w:pPr>
        <w:pStyle w:val="Heading2"/>
        <w:spacing w:after="120" w:before="240"/>
      </w:pPr>
      <w:r>
        <w:t xml:space="preserve">7.1 欄位對映公式(MT103 / pacs.008 路徑)</w:t>
      </w:r>
    </w:p>
    <w:p>
      <w:pPr>
        <w:spacing w:after="160"/>
      </w:pPr>
      <w:r>
        <w:t xml:space="preserve">僅當 payAdviceMsgType 解析為 MT103/PACS008 時適用(僅限貸方腿):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目標 SWIFT/ISO 欄位</w:t>
            </w:r>
          </w:p>
        </w:tc>
        <w:tc>
          <w:tcPr>
            <w:tcW w:type="dxa" w:w="28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來源(支付組件)</w:t>
            </w:r>
          </w:p>
        </w:tc>
        <w:tc>
          <w:tcPr>
            <w:tcW w:type="dxa" w:w="376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公式</w:t>
            </w:r>
          </w:p>
        </w:tc>
      </w:tr>
      <w:tr>
        <w:tc>
          <w:tcPr>
            <w:tcW w:type="dxa" w:w="2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X103_SETT_CCY_32A</w:t>
            </w:r>
          </w:p>
        </w:tc>
        <w:tc>
          <w:tcPr>
            <w:tcW w:type="dxa" w:w="2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CPYT_CR_CCY</w:t>
            </w:r>
          </w:p>
        </w:tc>
        <w:tc>
          <w:tcPr>
            <w:tcW w:type="dxa" w:w="3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直接複製</w:t>
            </w:r>
          </w:p>
        </w:tc>
      </w:tr>
      <w:tr>
        <w:tc>
          <w:tcPr>
            <w:tcW w:type="dxa" w:w="28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X103_SETT_AMT_32A</w:t>
            </w:r>
          </w:p>
        </w:tc>
        <w:tc>
          <w:tcPr>
            <w:tcW w:type="dxa" w:w="28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CPYT_CR_AMT_CRCCY</w:t>
            </w:r>
          </w:p>
        </w:tc>
        <w:tc>
          <w:tcPr>
            <w:tcW w:type="dxa" w:w="37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直接複製</w:t>
            </w:r>
          </w:p>
        </w:tc>
      </w:tr>
      <w:tr>
        <w:tc>
          <w:tcPr>
            <w:tcW w:type="dxa" w:w="2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X103_INSTR_CCY_33B</w:t>
            </w:r>
          </w:p>
        </w:tc>
        <w:tc>
          <w:tcPr>
            <w:tcW w:type="dxa" w:w="2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CPYT_CR_CCY</w:t>
            </w:r>
          </w:p>
        </w:tc>
        <w:tc>
          <w:tcPr>
            <w:tcW w:type="dxa" w:w="3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直接複製——與結算幣別同一來源</w:t>
            </w:r>
          </w:p>
        </w:tc>
      </w:tr>
      <w:tr>
        <w:tc>
          <w:tcPr>
            <w:tcW w:type="dxa" w:w="28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X103_INSTR_AMT_33B</w:t>
            </w:r>
          </w:p>
        </w:tc>
        <w:tc>
          <w:tcPr>
            <w:tcW w:type="dxa" w:w="28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CPYT_CR_AMT_CRCCY</w:t>
            </w:r>
          </w:p>
        </w:tc>
        <w:tc>
          <w:tcPr>
            <w:tcW w:type="dxa" w:w="37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直接複製——與結算金額同一來源(32A 與 33B 並非各自獨立計算)</w:t>
            </w:r>
          </w:p>
        </w:tc>
      </w:tr>
    </w:tbl>
    <w:p>
      <w:pPr>
        <w:spacing w:after="140"/>
      </w:pPr>
    </w:p>
    <w:p>
      <w:pPr>
        <w:pBdr>
          <w:left w:val="single" w:color="1F4E78" w:sz="12" w:space="8"/>
        </w:pBdr>
        <w:spacing w:after="200"/>
        <w:ind w:left="120"/>
      </w:pPr>
      <w:r>
        <w:rPr>
          <w:i/>
          <w:iCs/>
          <w:color w:val="444444"/>
          <w:sz w:val="20"/>
          <w:szCs w:val="20"/>
        </w:rPr>
        <w:t xml:space="preserve">觀察現象,非缺陷:原始碼把結算金額(32A)與指示金額(33B)都設為同一個欄位 CPYT_CR_AMT_CRCCY——儘管 MT103 語意上允許這兩者不同(例如中途扣除中間行手續費的情境)。這可能是業務上已接受的簡化,也可能是微服務應該改善的地方——已列入 §12 待確認,不在此靜默「修正」。</w:t>
      </w:r>
    </w:p>
    <w:p>
      <w:pPr>
        <w:pStyle w:val="Heading2"/>
        <w:spacing w:after="120" w:before="240"/>
      </w:pPr>
      <w:r>
        <w:t xml:space="preserve">7.2 OAS 對應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此跨欄位約束在違反時,對應 POST /payment-instructions 的 409(或 400)回應——目前 OAS 說明尚未明確列出此驗證項目;建議與 §3.3 既有的「腿位不平衡」409 案例並列補上。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成功時,依 FSD §5.4 步驟五,每一筆 payAdviceMsgType 及/或 payCoverMsgType 解析為非 None 值的貸方腿,會產生一筆 SwiftMessage。</w:t>
      </w:r>
    </w:p>
    <w:p>
      <w:pPr>
        <w:pStyle w:val="Heading1"/>
        <w:spacing w:after="160" w:before="320"/>
      </w:pPr>
      <w:r>
        <w:t xml:space="preserve">8. 腿位層級金額與匯率計算</w:t>
      </w:r>
    </w:p>
    <w:p>
      <w:pPr>
        <w:spacing w:after="160"/>
      </w:pPr>
      <w:r>
        <w:t xml:space="preserve">涵蓋兩個不同的問題:哪個匯率適用於某一腿(§8.1),以及該匯率如何在交易幣別與該腿自身帳戶幣別之間換算(§8.2)——第二個問題正是多幣別、多腿指令(§8.3)得以成立的關鍵。</w:t>
      </w:r>
    </w:p>
    <w:p>
      <w:pPr>
        <w:pStyle w:val="Heading2"/>
        <w:spacing w:after="120" w:before="240"/>
      </w:pPr>
      <w:r>
        <w:t xml:space="preserve">8.1 匯率選擇 — Debit_ExchangingRate()</w:t>
      </w:r>
    </w:p>
    <w:p>
      <w:pPr>
        <w:spacing w:after="160"/>
      </w:pPr>
      <w:r>
        <w:t xml:space="preserve">來源:X/CALJS/CDOSCRLEVEL/SSSS_PaymentDebit.js:392-454。填入 OAS v1.2.0 拆分後的匯率欄位(drRate / drBuyRate / crBuyRate / sellRate)——此函式僅直接處理 drBuyRate;其餘三個欄位在本次分析中未追溯到對應的賦值函式(見 §12,沿用自 Payment_Mapping_Functions.docx §10 R2)。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function Debit_ExchangingRate()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fromccy = CPYT_DR_TTL_CCY;  toccy = CPYT_DR_CCY;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if (SYS_MODULE_NAME == "IMCO")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trxDrTTL = CPYT_DR_TTL_AMT_TTLCCY;  drAmtPer = CPYT_DR_PER;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if (fromccy == SYS_LOCAL_CCY)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if (toccy != SYS_LOCAL_CCY)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cpytDebitAmt = trxDrTTL * drAmtPer;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rateType = (cpytDebitAmt &lt;= 50000) ? 'Buying Rate' : 'Selling Rate';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CPYT_DR_BUY_RATE = SYS_GetExchangeRate_S(fromccy, toccy, rateType);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} else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CPYT_DR_BUY_RATE = 1;   // 同幣別,欄位受保護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 else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if (toccy == SYS_LOCAL_CCY)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cpytDebitAmt = calcExchAmt(fromccy, LOCAL, trxDrTTL * drAmtPer, 'Booking Rate');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rateType = (cpytDebitAmt &lt;= 50000) ? 'Selling Rate' : 'Buying Rate';   // 與上方相反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    CPYT_DR_BUY_RATE = SYS_GetExchangeRate_S(fromccy, toccy, rateType);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    // 其餘情況(兩者皆外幣):欄位改為必填,人工輸入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// 所有模組共用的通用備援邏輯(含非 IMCO 模組):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if (fromccy != "" &amp;&amp; toccy != "")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 CPYT_DR_BUY_RATE = SYS_GetExchangeRate_S(fromccy, toccy, 'Booking Rate');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40"/>
      </w:pPr>
    </w:p>
    <w:p>
      <w:pPr>
        <w:spacing w:after="160"/>
      </w:pPr>
      <w:r>
        <w:t xml:space="preserve">公式(僅 IMCO 適用——依金額門檻選擇匯率種類;其餘已確認模組一律使用通用的 Booking Rate 備援邏輯):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convertedAmt = CPYT_DR_TTL_AMT_TTLCCY × CPYT_DR_PER   (外幣轉本幣時改用 SYS_calExchAmt)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IF 本幣 → 外幣: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rateType = convertedAmt ≤ 50,000  ?  'Buying Rate'  :  'Selling Rate'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IF 外幣 → 本幣: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rateType = convertedAmt ≤ 50,000  ?  'Selling Rate'  :  'Buying Rate'   (方向相反)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drBuyRate = SYS_GetExchangeRate_S(fromCcy, toCcy, rateType)   // 外部匯率服務查詢</w:t>
      </w:r>
    </w:p>
    <w:p>
      <w:pPr>
        <w:spacing w:after="14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這是匯率服務查詢(SYS_GetExchangeRate_S),不是可在本地端算出的公式——微服務需要 (a) 即時匯率服務相依性,或 (b) 由呼叫端提交已解析好的匯率,後者正是目前 OAS 的設計(drRate/drBuyRate/crBuyRate/sellRate 皆為呼叫端提交的輸入欄位,而非伺服端計算欄位)。既然原始碼顯示匯率解析是 ConfirmBusinessCall 之前的獨立上游步驟,而非在其內部計算,應確認此設計選擇是刻意為之。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IMCO 特有的 50,000 門檻、以及本幣→外幣與外幣→本幣之間 Buying/Selling 相反的邏輯,是 6 個已確認模組中僅 IMCO 才有的業務規則——在未個別驗證 IPLC/EPLC/EXCO/GTEE/IWGT 各自的匯率解析路徑前,不應將其一般化套用。</w:t>
      </w:r>
    </w:p>
    <w:p>
      <w:pPr>
        <w:pStyle w:val="Heading2"/>
        <w:spacing w:after="120" w:before="240"/>
      </w:pPr>
      <w:r>
        <w:t xml:space="preserve">8.2 交易幣別 ↔ 帳戶幣別換算(補上 §12.3 部分缺口)</w:t>
      </w:r>
    </w:p>
    <w:p>
      <w:pPr>
        <w:spacing w:after="160"/>
      </w:pPr>
      <w:r>
        <w:t xml:space="preserve">這裡補上了 Payment_Mapping_Functions.docx §10 R2 遺留的匯率欄位待確認項目之一部分:確認 drBuyRate 正是連結 amountTxCcy(交易幣別)與 amountAccountCcy(該腿自身帳戶幣別)的實際乘數,借貸雙方公式對稱。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// 借方側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// SSSS_PaymentDebit.js:53-66  CPYT_DR_AMT_DRCCY()  及  :68-76  CPYT_DR_AMT_DRCCY_DRRATE()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CPYT_DR_AMT_DRCCY = CPYT_DR_AMT_TXCCY × CPYT_DR_BUY_RATE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// SSSS_PaymentDebit.js:118-129  CPYT_DR_AMT_TXCCYfromDrccy()  (反向——使用者直接輸入 DRCCY 時)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CPYT_DR_AMT_TXCCY = CPYT_DR_AMT_DRCCY ÷ CPYT_DR_BUY_RATE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// 貸方側 — 完全對稱的公式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// SSSS_PaymentCredit.js:261-265  CPYT_CR_AMT_CRCCY()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CPYT_CR_AMT_CRCCY = CPYT_CR_AMT_TXCCY × CPYT_CR_BUY_RATE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// SSSS_PaymentCredit.js:318-321  CPYT_CR_AMT_TXCCYfromCrccy()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CPYT_CR_AMT_TXCCY = CPYT_CR_AMT_CRCCY ÷ CPYT_CR_BUY_RATE</w:t>
      </w:r>
    </w:p>
    <w:p>
      <w:pPr>
        <w:spacing w:after="14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OAS 對應:amountAccountCcy = amountTxCcy × drRate/drBuyRate(借方)或 crBuyRate(貸方)——OAS 應明確記載此乘法關係,而非讓 amountAccountCcy 與 amountTxCcy 看似兩個各自獨立提交、彼此關係未言明的欄位。伺服端是否應該用 amountTxCcy × rate 重新計算並交叉核對 amountAccountCcy(不符即拒絕),或單純信任呼叫端提交的值,仍是待確認項目——見 §12.3。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這正是 §8.3 多幣別多腿情境得以成立的關鍵:配平驗證(§3)永遠是對 amountTxCcy 操作,而 amountTxCcy 本身已透過此公式做了逐腿幣別正規化——因此不同 accountType 幣別的各腿,能正確地匯總回同一個共用交易幣別總額,配平檢查本身完全不需要知道任何匯兌細節。</w:t>
      </w:r>
    </w:p>
    <w:p>
      <w:pPr>
        <w:pStyle w:val="Heading2"/>
        <w:spacing w:after="120" w:before="240"/>
      </w:pPr>
      <w:r>
        <w:t xml:space="preserve">8.3 實例演算 — 多幣別、多帳戶借方共同支應單一貸方</w:t>
      </w:r>
    </w:p>
    <w:p>
      <w:pPr>
        <w:spacing w:after="160"/>
      </w:pPr>
      <w:r>
        <w:t xml:space="preserve">情境:支付賣方 EUR 10,000,由買方兩個帳戶共同支應——買方 EUR 帳戶出 EUR 8,000,另加買方 USD 帳戶出等值 EUR 2,000 的美金(假設 EUR→USD 匯率為 1.0800)。這是單一 POST 設計的真實壓力測試案例:一筆貸方腿、兩筆借方腿、兩種不同的腿位幣別、一個共用的交易幣別(EUR)。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1600"/>
        <w:gridCol w:w="1900"/>
        <w:gridCol w:w="1660"/>
      </w:tblGrid>
      <w:tr>
        <w:trPr>
          <w:tblHeader/>
        </w:trPr>
        <w:tc>
          <w:tcPr>
            <w:tcW w:type="dxa" w:w="26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腿位</w:t>
            </w:r>
          </w:p>
        </w:tc>
        <w:tc>
          <w:tcPr>
            <w:tcW w:type="dxa" w:w="14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accountType</w:t>
            </w:r>
          </w:p>
        </w:tc>
        <w:tc>
          <w:tcPr>
            <w:tcW w:type="dxa" w:w="12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currency</w:t>
            </w:r>
          </w:p>
        </w:tc>
        <w:tc>
          <w:tcPr>
            <w:tcW w:type="dxa" w:w="16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amountTxCcy(EUR)</w:t>
            </w:r>
          </w:p>
        </w:tc>
        <w:tc>
          <w:tcPr>
            <w:tcW w:type="dxa" w:w="19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drBuyRate/crBuyRate</w:t>
            </w:r>
          </w:p>
        </w:tc>
        <w:tc>
          <w:tcPr>
            <w:tcW w:type="dxa" w:w="166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amountAccountCcy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 — 賣方 EUR 帳戶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CUSTOMER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EUR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10000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1.0000(同幣別)</w:t>
            </w:r>
          </w:p>
        </w:tc>
        <w:tc>
          <w:tcPr>
            <w:tcW w:type="dxa" w:w="1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10000 EUR</w:t>
            </w:r>
          </w:p>
        </w:tc>
      </w:tr>
      <w:tr>
        <w:tc>
          <w:tcPr>
            <w:tcW w:type="dxa" w:w="26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Dr 1 — 買方 EUR 帳戶</w:t>
            </w:r>
          </w:p>
        </w:tc>
        <w:tc>
          <w:tcPr>
            <w:tcW w:type="dxa" w:w="14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CUSTOMER</w:t>
            </w:r>
          </w:p>
        </w:tc>
        <w:tc>
          <w:tcPr>
            <w:tcW w:type="dxa" w:w="1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EUR</w:t>
            </w:r>
          </w:p>
        </w:tc>
        <w:tc>
          <w:tcPr>
            <w:tcW w:type="dxa" w:w="16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8000</w:t>
            </w:r>
          </w:p>
        </w:tc>
        <w:tc>
          <w:tcPr>
            <w:tcW w:type="dxa" w:w="19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1.0000(同幣別)</w:t>
            </w:r>
          </w:p>
        </w:tc>
        <w:tc>
          <w:tcPr>
            <w:tcW w:type="dxa" w:w="16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8000 EUR</w:t>
            </w:r>
          </w:p>
        </w:tc>
      </w:tr>
      <w:tr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Dr 2 — 買方 USD 帳戶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CUSTOMER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USD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2000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1.0800(EUR→USD)</w:t>
            </w:r>
          </w:p>
        </w:tc>
        <w:tc>
          <w:tcPr>
            <w:tcW w:type="dxa" w:w="1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2160 USD(= 2000 × 1.0800,見 §8.2)</w:t>
            </w:r>
          </w:p>
        </w:tc>
      </w:tr>
    </w:tbl>
    <w:p>
      <w:pPr>
        <w:spacing w:after="140"/>
      </w:pPr>
    </w:p>
    <w:p>
      <w:pPr>
        <w:spacing w:after="160"/>
      </w:pPr>
      <w:r>
        <w:t xml:space="preserve">代入 §3 的配平驗證: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Σ debitLegs[].amountTxCcy  = 8000 + 2000 = 10000   ≤  CPYT_DR_TTL_AMT_TTLCCY (10000)  →  PASS (V1)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Σ creditLegs[].amountTxCcy = 10000                 ≤  CPYT_CR_TTL_AMT_TTLCCY (10000)  →  PASS (V2)</w:t>
      </w:r>
    </w:p>
    <w:p>
      <w:pPr>
        <w:spacing w:after="140"/>
      </w:pPr>
    </w:p>
    <w:p>
      <w:pPr>
        <w:spacing w:after="160"/>
      </w:pPr>
      <w:r>
        <w:t xml:space="preserve">代入 §4 的分類規則:三筆腿位的 AccountType 都是 CUSTOMER——因此 Dr_has(CUSTOMER)=true、Cr_has(CUSTOMER)=true,customerXor=false;NOSTRO/VOSTRO 在每一腿都不存在,這兩個 XOR 項也是 false。此例的 paymentComponentRelated = FALSE。這點值得明確指出:一筆交易是否屬於支付組件範圍,完全取決於 AccountType 組合,與幣別數量或腿位數量無關——一筆單一幣別、單一腿位的 NOSTRO/CUSTOMER 組合會落在範圍內,而這個更複雜的多幣別、多腿、全 CUSTOMER 範例反而不在範圍內。</w:t>
      </w:r>
    </w:p>
    <w:p>
      <w:pPr>
        <w:pBdr>
          <w:left w:val="single" w:color="1F4E78" w:sz="12" w:space="8"/>
        </w:pBdr>
        <w:spacing w:after="200"/>
        <w:ind w:left="120"/>
      </w:pPr>
      <w:r>
        <w:rPr>
          <w:i/>
          <w:iCs/>
          <w:color w:val="444444"/>
          <w:sz w:val="20"/>
          <w:szCs w:val="20"/>
        </w:rPr>
        <w:t xml:space="preserve">本例揭露的缺口(強化 §12.1):V1 與 V2 各自只檢查自己那一側是否 ≤ 自己的目標總額(CPYT_DR_TTL_AMT_TTLCCY / CPYT_CR_TTL_AMT_TTLCCY)——原始碼中沒有任何一處直接比較這兩個總額。在原本的畫面設計中這是安全的,因為兩個欄位都是從同一個畫面上「應付總額」欄位帶出來的共用值。但 POST /payment-instructions 把 debitLegs[] 與 creditLegs[] 當成兩個各自獨立、沒有共用總額欄位的陣列接收,因此本文件建議新增一條明確驗證 V8:Σ debitLegs[].amountTxCcy == Σ creditLegs[].amountTxCcy(精確相等,而非僅各自受限)——否則呼叫端理論上可以送出兩側各自合法、但彼此不一致的總額(例如借方合計 9,999 對貸方合計 10,000),而 V1、V2 單獨都攔不下來。</w:t>
      </w:r>
    </w:p>
    <w:p>
      <w:pPr>
        <w:pStyle w:val="Heading1"/>
        <w:spacing w:after="160" w:before="320"/>
      </w:pPr>
      <w:r>
        <w:t xml:space="preserve">9. 驗證規則彙總表</w:t>
      </w:r>
    </w:p>
    <w:p>
      <w:pPr>
        <w:spacing w:after="160"/>
      </w:pPr>
      <w:r>
        <w:t xml:space="preserve">彙整本文件所追溯的全部驗證規則,便於實作時一次查閱。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1560"/>
        <w:gridCol w:w="1300"/>
      </w:tblGrid>
      <w:tr>
        <w:trPr>
          <w:tblHeader/>
        </w:trPr>
        <w:tc>
          <w:tcPr>
            <w:tcW w:type="dxa" w:w="5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32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規則</w:t>
            </w:r>
          </w:p>
        </w:tc>
        <w:tc>
          <w:tcPr>
            <w:tcW w:type="dxa" w:w="32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來源</w:t>
            </w:r>
          </w:p>
        </w:tc>
        <w:tc>
          <w:tcPr>
            <w:tcW w:type="dxa" w:w="156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OAS 回應</w:t>
            </w:r>
          </w:p>
        </w:tc>
        <w:tc>
          <w:tcPr>
            <w:tcW w:type="dxa" w:w="13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詳見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V1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借方腿加總 ≤ 目標總額(RPFM 容差 ±0.01)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Debit_Chk_Total_Pct() — SSSS_PaymentDebit.js:347-390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§3.1</w:t>
            </w:r>
          </w:p>
        </w:tc>
      </w:tr>
      <w:tr>
        <w:tc>
          <w:tcPr>
            <w:tcW w:type="dxa" w:w="5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V2</w:t>
            </w:r>
          </w:p>
        </w:tc>
        <w:tc>
          <w:tcPr>
            <w:tcW w:type="dxa" w:w="3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貸方腿加總 ≤ 目標總額(CFNC 容差 ±0.02 / RPFM 容差 ±0.01)</w:t>
            </w:r>
          </w:p>
        </w:tc>
        <w:tc>
          <w:tcPr>
            <w:tcW w:type="dxa" w:w="3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CHK_Total_Pct() — SSSS_PaymentCredit.js:164-210</w:t>
            </w:r>
          </w:p>
        </w:tc>
        <w:tc>
          <w:tcPr>
            <w:tcW w:type="dxa" w:w="15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13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§3.2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V3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AccountType 必須為列舉值之一(RTGS 僅限 RPFM)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AccountType enum, OAS v1.1.0/v1.2.0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Payment_Mapping_Functions.docx §5.1</w:t>
            </w:r>
          </w:p>
        </w:tc>
      </w:tr>
      <w:tr>
        <w:tc>
          <w:tcPr>
            <w:tcW w:type="dxa" w:w="5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V4</w:t>
            </w:r>
          </w:p>
        </w:tc>
        <w:tc>
          <w:tcPr>
            <w:tcW w:type="dxa" w:w="3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payCoverMsgType ∈ {MT202COV, PACS009COV} ⟹ payAdviceMsgType ∈ {MT103, PACS008}</w:t>
            </w:r>
          </w:p>
        </w:tc>
        <w:tc>
          <w:tcPr>
            <w:tcW w:type="dxa" w:w="3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CPYT_PAY_ADV_MSG()/CPYT_PAY_COV_MSG() — SSSS_PaymentCredit.js:344-400</w:t>
            </w:r>
          </w:p>
        </w:tc>
        <w:tc>
          <w:tcPr>
            <w:tcW w:type="dxa" w:w="15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409(建議;OAS 尚未明確列出)</w:t>
            </w:r>
          </w:p>
        </w:tc>
        <w:tc>
          <w:tcPr>
            <w:tcW w:type="dxa" w:w="13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§7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V5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originModule + mainRef + sequence 唯一性(冪等鍵)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OAS 設計,Rev. 2 / v1.2.0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200(既有結果)vs. 201(新建)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FSD §6.1</w:t>
            </w:r>
          </w:p>
        </w:tc>
      </w:tr>
      <w:tr>
        <w:tc>
          <w:tcPr>
            <w:tcW w:type="dxa" w:w="5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V6</w:t>
            </w:r>
          </w:p>
        </w:tc>
        <w:tc>
          <w:tcPr>
            <w:tcW w:type="dxa" w:w="3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金額與匯率必須為精確十進位字串,不可為二進位浮點數</w:t>
            </w:r>
          </w:p>
        </w:tc>
        <w:tc>
          <w:tcPr>
            <w:tcW w:type="dxa" w:w="3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MonetaryAmount / ExchangeRate pattern, v1.2.0</w:t>
            </w:r>
          </w:p>
        </w:tc>
        <w:tc>
          <w:tcPr>
            <w:tcW w:type="dxa" w:w="15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格式不符時回傳 400</w:t>
            </w:r>
          </w:p>
        </w:tc>
        <w:tc>
          <w:tcPr>
            <w:tcW w:type="dxa" w:w="13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FSD 附錄 A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V7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debitLegs[] 與 creditLegs[] 各自至少 1 筆;每一腿必須有 accountNo、accountType、currency、amountTxCcy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PaymentLegInput.required, OAS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payment-instructions-post.yaml</w:t>
            </w:r>
          </w:p>
        </w:tc>
      </w:tr>
      <w:tr>
        <w:tc>
          <w:tcPr>
            <w:tcW w:type="dxa" w:w="5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V8</w:t>
            </w:r>
          </w:p>
        </w:tc>
        <w:tc>
          <w:tcPr>
            <w:tcW w:type="dxa" w:w="3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建議新增、OAS 尚未納入:Σ debitLegs[].amountTxCcy == Σ creditLegs[].amountTxCcy(精確相等)</w:t>
            </w:r>
          </w:p>
        </w:tc>
        <w:tc>
          <w:tcPr>
            <w:tcW w:type="dxa" w:w="3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原始碼中無任何一處直接強制此項——見 §8.3 實例演算</w:t>
            </w:r>
          </w:p>
        </w:tc>
        <w:tc>
          <w:tcPr>
            <w:tcW w:type="dxa" w:w="15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409(建議)</w:t>
            </w:r>
          </w:p>
        </w:tc>
        <w:tc>
          <w:tcPr>
            <w:tcW w:type="dxa" w:w="13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§8.3、§12.1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10. 計算公式彙總表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3200"/>
        <w:gridCol w:w="2000"/>
        <w:gridCol w:w="760"/>
      </w:tblGrid>
      <w:tr>
        <w:trPr>
          <w:tblHeader/>
        </w:trPr>
        <w:tc>
          <w:tcPr>
            <w:tcW w:type="dxa" w:w="5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4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計算項目</w:t>
            </w:r>
          </w:p>
        </w:tc>
        <w:tc>
          <w:tcPr>
            <w:tcW w:type="dxa" w:w="32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公式(摘要)</w:t>
            </w:r>
          </w:p>
        </w:tc>
        <w:tc>
          <w:tcPr>
            <w:tcW w:type="dxa" w:w="20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OAS 欄位</w:t>
            </w:r>
          </w:p>
        </w:tc>
        <w:tc>
          <w:tcPr>
            <w:tcW w:type="dxa" w:w="76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詳見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C1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分類(支付組件識別規則 Rev. 2)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Dr_has(t) XOR Cr_has(t),涵蓋 {CUSTOMER,NOSTRO,VOSTRO}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PaymentInstruction.classification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§4</w:t>
            </w:r>
          </w:p>
        </w:tc>
      </w:tr>
      <w:tr>
        <w:tc>
          <w:tcPr>
            <w:tcW w:type="dxa" w:w="5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C2</w:t>
            </w:r>
          </w:p>
        </w:tc>
        <w:tc>
          <w:tcPr>
            <w:tcW w:type="dxa" w:w="24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傳票描述碼(逐腿)</w:t>
            </w:r>
          </w:p>
        </w:tc>
        <w:tc>
          <w:tcPr>
            <w:tcW w:type="dxa" w:w="3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"{MODULE}{FuncCode}NULLNULLNULL" + accountType.charAt(0)</w:t>
            </w:r>
          </w:p>
        </w:tc>
        <w:tc>
          <w:tcPr>
            <w:tcW w:type="dxa" w:w="20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PaymentLeg.accountDesc</w:t>
            </w:r>
          </w:p>
        </w:tc>
        <w:tc>
          <w:tcPr>
            <w:tcW w:type="dxa" w:w="7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§5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C3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費用傳票金額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MAX(本幣,外幣) 或 本幣+VAT,視函式類型而定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AccountEntry(voucherType=CHARGE)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§6.2</w:t>
            </w:r>
          </w:p>
        </w:tc>
      </w:tr>
      <w:tr>
        <w:tc>
          <w:tcPr>
            <w:tcW w:type="dxa" w:w="5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C4</w:t>
            </w:r>
          </w:p>
        </w:tc>
        <w:tc>
          <w:tcPr>
            <w:tcW w:type="dxa" w:w="24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或有負債傳票分錄</w:t>
            </w:r>
          </w:p>
        </w:tc>
        <w:tc>
          <w:tcPr>
            <w:tcW w:type="dxa" w:w="3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依模組/函式而定的 GL 科目組合 + 金額(共 6 條子公式)</w:t>
            </w:r>
          </w:p>
        </w:tc>
        <w:tc>
          <w:tcPr>
            <w:tcW w:type="dxa" w:w="20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AccountEntry(voucherType=LIABILITY)</w:t>
            </w:r>
          </w:p>
        </w:tc>
        <w:tc>
          <w:tcPr>
            <w:tcW w:type="dxa" w:w="7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§6.3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C5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SWIFT 欄位對映(32A/33B)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直接複製自 CPYT_CR_CCY / CPYT_CR_AMT_CRCCY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SwiftMessage.settlementCurrency/Amount/instructedAmount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§7.1</w:t>
            </w:r>
          </w:p>
        </w:tc>
      </w:tr>
      <w:tr>
        <w:tc>
          <w:tcPr>
            <w:tcW w:type="dxa" w:w="5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C6</w:t>
            </w:r>
          </w:p>
        </w:tc>
        <w:tc>
          <w:tcPr>
            <w:tcW w:type="dxa" w:w="24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匯率解析(IMCO)</w:t>
            </w:r>
          </w:p>
        </w:tc>
        <w:tc>
          <w:tcPr>
            <w:tcW w:type="dxa" w:w="3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依金額門檻選擇 Buying/Selling Rate</w:t>
            </w:r>
          </w:p>
        </w:tc>
        <w:tc>
          <w:tcPr>
            <w:tcW w:type="dxa" w:w="20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PaymentLegInput.drBuyRate</w:t>
            </w:r>
          </w:p>
        </w:tc>
        <w:tc>
          <w:tcPr>
            <w:tcW w:type="dxa" w:w="7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§8.1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C7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交易幣別 ↔ 帳戶幣別換算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amountAccountCcy = amountTxCcy × drBuyRate/crBuyRate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PaymentLegInput.amountAccountCcy</w:t>
            </w:r>
          </w:p>
        </w:tc>
        <w:tc>
          <w:tcPr>
            <w:tcW w:type="dxa" w:w="7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§8.2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11. 本次分析發現之原始碼異常</w:t>
      </w:r>
    </w:p>
    <w:p>
      <w:pPr>
        <w:spacing w:after="160"/>
      </w:pPr>
      <w:r>
        <w:t xml:space="preserve">為撰寫本文件而逐一追溯公式時發現的問題——與業務邏輯本身無關,且此前(除 A2 為交叉引用既有發現外)未被記載過。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200"/>
        <w:gridCol w:w="2600"/>
        <w:gridCol w:w="860"/>
      </w:tblGrid>
      <w:tr>
        <w:trPr>
          <w:tblHeader/>
        </w:trPr>
        <w:tc>
          <w:tcPr>
            <w:tcW w:type="dxa" w:w="5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  <w:tc>
          <w:tcPr>
            <w:tcW w:type="dxa" w:w="32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發現</w:t>
            </w:r>
          </w:p>
        </w:tc>
        <w:tc>
          <w:tcPr>
            <w:tcW w:type="dxa" w:w="26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建議</w:t>
            </w:r>
          </w:p>
        </w:tc>
        <w:tc>
          <w:tcPr>
            <w:tcW w:type="dxa" w:w="86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詳見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A1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EPLC Pay/Accept、Pay at Maturity、SettlePartial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.valuee 拼字錯誤(TrxSys.js:5908)導致或有負債傳票的貸方腿描述 TEMP_AC_VCH_DESC2 實際上從未被設定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決定:複製此缺陷(逐位元與現行行為一致)或修正它(採用正確行為)——這是業務決策,不是可靜默修正的小事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§6.3.2</w:t>
            </w:r>
          </w:p>
        </w:tc>
      </w:tr>
      <w:tr>
        <w:tc>
          <w:tcPr>
            <w:tcW w:type="dxa" w:w="5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A2</w:t>
            </w:r>
          </w:p>
        </w:tc>
        <w:tc>
          <w:tcPr>
            <w:tcW w:type="dxa" w:w="2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RPFM Settle Participant</w:t>
            </w:r>
          </w:p>
        </w:tc>
        <w:tc>
          <w:tcPr>
            <w:tcW w:type="dxa" w:w="3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IDR 分支的 RTGS 賦值被註解掉(SSSS_PaymentCredit.js:1429),而其餘 3 個 RPFM 函式的對應分支皆為啟用狀態</w:t>
            </w:r>
          </w:p>
        </w:tc>
        <w:tc>
          <w:tcPr>
            <w:tcW w:type="dxa" w:w="26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已記載於 Payment_Mapping_Functions.docx §7.1/§10 R4——此處僅交叉引用,不重複討論</w:t>
            </w:r>
          </w:p>
        </w:tc>
        <w:tc>
          <w:tcPr>
            <w:tcW w:type="dxa" w:w="8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Payment_Mapping_Functions.docx §7.1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A3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所有使用 MT103/pacs.008 的貸方腿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結算金額(32A)與指示金額(33B)皆來自同一個來源欄位(CPYT_CR_AMT_CRCCY),從未各自獨立計算——即便 MT103 語意上允許兩者不同(例如途中被扣除中間行手續費)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確認這是業務已接受的簡化,還是微服務應該補上的缺口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§7.1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12. 待確認事項</w:t>
      </w:r>
    </w:p>
    <w:p>
      <w:pPr>
        <w:spacing w:after="160"/>
      </w:pPr>
      <w:r>
        <w:t xml:space="preserve">本文件在靜態原始碼分析中發現、但無法單靠分析解決的項目——每一項都需要進一步的專項追溯或業務決策,才能將上述計算/驗證規則視為定案。</w:t>
      </w:r>
    </w:p>
    <w:p>
      <w:pPr>
        <w:pStyle w:val="Heading2"/>
        <w:spacing w:after="120" w:before="240"/>
      </w:pPr>
      <w:r>
        <w:t xml:space="preserve">12.1 借/貸方精確配平要求</w:t>
      </w:r>
    </w:p>
    <w:p>
      <w:pPr>
        <w:spacing w:after="160"/>
      </w:pPr>
      <w:r>
        <w:t xml:space="preserve">原始碼是各自獨立地強制「Σ 腿位金額 ≤ 共用目標總額」(§3),而非直接比較 Σ借方 == Σ貸方。FSD §5.4 步驟一將此描述為「驗證借方腿與貸方腿在交易幣別下是否配平」,讀起來像是更嚴格的要求。應確認微服務是否需要強制 debitLegs[] 與 creditLegs[] 總額精確相等,或應保留原本「各側各自受共用總額約束、不需剛好打平」的語意。</w:t>
      </w:r>
    </w:p>
    <w:p>
      <w:pPr>
        <w:spacing w:after="160"/>
      </w:pPr>
      <w:r>
        <w:t xml:space="preserve">具體示例:§8.3 的多幣別實例演算(EUR 8,000 + 美金等值 EUR 2,000 的借方腿,共同支應一筆 EUR 10,000 貸方腿)恰好說明了為何一旦腿位跨幣別,這個問題就變得重要——兩個獨立的 ≤ 檢查(V1、V2)只要各自符合自己那一側的總額即可通過,但兩者從未互相比較。建議在步驟一內新增明確驗證 V8(§9):Σ debitLegs[].amountTxCcy == Σ creditLegs[].amountTxCcy,並以此作為正式上線前的必要項目。</w:t>
      </w:r>
    </w:p>
    <w:p>
      <w:pPr>
        <w:pStyle w:val="Heading2"/>
        <w:spacing w:after="120" w:before="240"/>
      </w:pPr>
      <w:r>
        <w:t xml:space="preserve">12.2 費用傳票的外部相依性</w:t>
      </w:r>
    </w:p>
    <w:p>
      <w:pPr>
        <w:spacing w:after="160"/>
      </w:pPr>
      <w:r>
        <w:t xml:space="preserve">SYT_CHG_VOUCHER() 的金額公式(§6.2)依賴 Chg.Screen.* 畫面元件方法,彙總的是畫面上的費用網格——並非可移植到伺服端微服務的純 CALJS 邏輯。應決定是由呼叫模組在提交 POST /payment-instructions 前先算好費用總額並一併傳入,還是微服務需要自行實作費用彙總邏輯(此舉會使範圍超出 FSD §8.2 目前的界線)。</w:t>
      </w:r>
    </w:p>
    <w:p>
      <w:pPr>
        <w:pStyle w:val="Heading2"/>
        <w:spacing w:after="120" w:before="240"/>
      </w:pPr>
      <w:r>
        <w:t xml:space="preserve">12.3 匯率欄位語意(沿用自 Payment_Mapping_Functions.docx §10 R2)</w:t>
      </w:r>
    </w:p>
    <w:p>
      <w:pPr>
        <w:spacing w:after="160"/>
      </w:pPr>
      <w:r>
        <w:t xml:space="preserve">§8 已追溯出 drBuyRate 的解析方式(IMCO 特有的門檻規則),但 drRate、crBuyRate、sellRate 三者在本次分析中未找到對應的賦值函式。§8.2 這次補上了 amountAccountCcy 與 amountTxCcy 之間「經由 BUY_RATE 相乘」的關係,但其餘三個欄位彼此的確切關係與各自的填值時機仍待確認——自 OAS v1.1.0/v1.2.0 把匯率欄位拆成四個以來即已標記,尚未完全解決。</w:t>
      </w:r>
    </w:p>
    <w:p>
      <w:pPr>
        <w:pStyle w:val="Heading2"/>
        <w:spacing w:after="120" w:before="240"/>
      </w:pPr>
      <w:r>
        <w:t xml:space="preserve">12.4 IWGT 或有負債條件未反映於 OAS</w:t>
      </w:r>
    </w:p>
    <w:p>
      <w:pPr>
        <w:spacing w:after="160"/>
      </w:pPr>
      <w:r>
        <w:t xml:space="preserve">§6.3.5:IWGT Settle Inward Claim 是否產生或有負債傳票,取決於 MTHD_OF_ISS(「Issue」還是收到的 Advice)——這個欄位完全沒有出現在 PaymentInstructionConfirmRequest 或 PaymentLegInput 的任何地方。要嘛呼叫模組必須在伺服端自行決定是否略過非 Issue 保證函的或有負債傳票期望,要嘛此條件需要一個新的輸入欄位來承載。</w:t>
      </w:r>
    </w:p>
    <w:p>
      <w:pPr>
        <w:pStyle w:val="Heading2"/>
        <w:spacing w:after="120" w:before="240"/>
      </w:pPr>
      <w:r>
        <w:t xml:space="preserve">12.5 SWIFT 32A/33B 獨立性(§7.1)</w:t>
      </w:r>
    </w:p>
    <w:p>
      <w:pPr>
        <w:spacing w:after="160"/>
      </w:pPr>
      <w:r>
        <w:t xml:space="preserve">應與業務單位確認:結算金額與指示金額是否應繼續共用同一來源欄位(與現行 production 行為一致),或在微服務中改為可各自獨立計算(更貼近完整的 MT103 語意)。</w:t>
      </w:r>
    </w:p>
    <w:p>
      <w:pPr>
        <w:pStyle w:val="Heading1"/>
        <w:spacing w:after="160" w:before="320"/>
      </w:pPr>
      <w:r>
        <w:t xml:space="preserve">13. 依 FSD 已驗證情境進行的回歸測試</w:t>
      </w:r>
    </w:p>
    <w:p>
      <w:pPr>
        <w:spacing w:after="160"/>
      </w:pPr>
      <w:r>
        <w:t xml:space="preserve">本章不是新的分析,而是把 PaymentComponent-Microservice-FSD-zh.docx 內已經逐一以原始碼驗證過的 6 個真實情境(§2.3.2、§2.3.3、§6.5,共 6 列)當成測試向量,代入本文件 §3-§8 的公式重新計算一次,核對結果是否與 FSD 記載的結論一致。這是回歸測試,不是重新推導業務規則——所有輸入數字均逐字取自 FSD 原文,並非另行假設。</w:t>
      </w:r>
    </w:p>
    <w:p>
      <w:pPr>
        <w:pStyle w:val="Heading2"/>
        <w:spacing w:after="120" w:before="240"/>
      </w:pPr>
      <w:r>
        <w:t xml:space="preserve">13.1 §4 分類公式 — 6/6 通過</w:t>
      </w:r>
    </w:p>
    <w:p>
      <w:pPr>
        <w:spacing w:after="160"/>
      </w:pPr>
      <w:r>
        <w:t xml:space="preserve">把每個情境的 Dr/Cr AccountType 代入 §4 的 Dr_has(t) XOR Cr_has(t) 公式,結果與 FSD 記載的 paymentComponentRelated 判定逐項比對: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400"/>
        <w:gridCol w:w="1200"/>
        <w:gridCol w:w="1200"/>
        <w:gridCol w:w="860"/>
      </w:tblGrid>
      <w:tr>
        <w:trPr>
          <w:tblHeader/>
        </w:trPr>
        <w:tc>
          <w:tcPr>
            <w:tcW w:type="dxa" w:w="5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FSD 情境</w:t>
            </w:r>
          </w:p>
        </w:tc>
        <w:tc>
          <w:tcPr>
            <w:tcW w:type="dxa" w:w="24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Dr / Cr AccountType</w:t>
            </w:r>
          </w:p>
        </w:tc>
        <w:tc>
          <w:tcPr>
            <w:tcW w:type="dxa" w:w="12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本文件公式算出</w:t>
            </w:r>
          </w:p>
        </w:tc>
        <w:tc>
          <w:tcPr>
            <w:tcW w:type="dxa" w:w="12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FSD 記載結果</w:t>
            </w:r>
          </w:p>
        </w:tc>
        <w:tc>
          <w:tcPr>
            <w:tcW w:type="dxa" w:w="86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IPLC_PayAcceptWithDiscount, DISCNT_FLG=YES, STL_FLG=By Loan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INTERNAL / INTERNAL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IPLC_PayAcceptWithDiscount, DISCNT_FLG=YES, STL_FLG≠By Loan</w:t>
            </w:r>
          </w:p>
        </w:tc>
        <w:tc>
          <w:tcPr>
            <w:tcW w:type="dxa" w:w="24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CUSTOMER / INTERNAL</w:t>
            </w:r>
          </w:p>
        </w:tc>
        <w:tc>
          <w:tcPr>
            <w:tcW w:type="dxa" w:w="1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8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IPLC_PaymentAtMaturity, STL_FLG≠By Loan(預設值)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CUSTOMER / CUSTOMER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EXCO_Payment, Cr 預設 CUSTOMER;Dr 選 NOSTRO</w:t>
            </w:r>
          </w:p>
        </w:tc>
        <w:tc>
          <w:tcPr>
            <w:tcW w:type="dxa" w:w="24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NOSTRO / CUSTOMER</w:t>
            </w:r>
          </w:p>
        </w:tc>
        <w:tc>
          <w:tcPr>
            <w:tcW w:type="dxa" w:w="1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8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FSD §2.3.2 — 補償費,受益人承擔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Dr:[NOSTRO] / Cr:[VOSTRO]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FSD §2.3.3 — 補償費,申請人承擔(多腿)</w:t>
            </w:r>
          </w:p>
        </w:tc>
        <w:tc>
          <w:tcPr>
            <w:tcW w:type="dxa" w:w="24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Dr:[CUSTOMER] / Cr:[VOSTRO,NOSTRO]</w:t>
            </w:r>
          </w:p>
        </w:tc>
        <w:tc>
          <w:tcPr>
            <w:tcW w:type="dxa" w:w="1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8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6 個情境全數 PASS——包含情境 6 的多腿貸方(Cr 同時有 VOSTRO 與 NOSTRO 兩種類型),證實 §4 的 Dr_has(t)/Cr_has(t)「集合成員判斷」定義(而非單一值比較)在多腿情境下確實正確運作。</w:t>
      </w:r>
    </w:p>
    <w:p>
      <w:pPr>
        <w:pStyle w:val="Heading2"/>
        <w:spacing w:after="120" w:before="240"/>
      </w:pPr>
      <w:r>
        <w:t xml:space="preserve">13.2 §3 配平驗證(含建議新增之 V8)— 以情境 6 的真實金額測試</w:t>
      </w:r>
    </w:p>
    <w:p>
      <w:pPr>
        <w:spacing w:after="160"/>
      </w:pPr>
      <w:r>
        <w:t xml:space="preserve">情境 6 是唯一附帶具體金額的情境:FSD 原文明確記載「借方(800,020)與貸方(800,000 + 20)配平」。代入本文件的驗證規則: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Σ debitLegs[].amountTxCcy  = 800,020                    (單一 Dr CUSTOMER 腿)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Σ creditLegs[].amountTxCcy = 800,000 + 20 = 800,020      (Cr NOSTRO 腿 + Cr VOSTRO 腿)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V1/V2(原始碼既有邏輯,各自獨立檢查 ≤ 目標總額)：兩側個別成立,PASS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V8(本文件 §8.3/§9 建議新增之精確相等檢查)：800,020 == 800,020 → PASS</w:t>
      </w:r>
    </w:p>
    <w:p>
      <w:pPr>
        <w:spacing w:after="140"/>
      </w:pPr>
    </w:p>
    <w:p>
      <w:pPr>
        <w:pBdr>
          <w:left w:val="single" w:color="1F4E78" w:sz="12" w:space="8"/>
        </w:pBdr>
        <w:spacing w:after="200"/>
        <w:ind w:left="120"/>
      </w:pPr>
      <w:r>
        <w:rPr>
          <w:i/>
          <w:iCs/>
          <w:color w:val="444444"/>
          <w:sz w:val="20"/>
          <w:szCs w:val="20"/>
        </w:rPr>
        <w:t xml:space="preserve">這是重要的獨立佐證:§8.3 原本用來說明 V8 必要性的 EUR/USD 範例是本文件自行構造的假設情境;情境 6 則是 FSD 已用原始碼逐項驗證過的真實案例,且其精確相等(800,020 == 800,020)剛好與 V8 的檢查邏輯完全吻合、FSD 原文也明確使用了「配平」一詞——等於用一筆真實交易數據獨立確認了 V8 建議的正確性與必要性,而不只是本文件自己的假設推演。</w:t>
      </w:r>
    </w:p>
    <w:p>
      <w:pPr>
        <w:pStyle w:val="Heading2"/>
        <w:spacing w:after="120" w:before="240"/>
      </w:pPr>
      <w:r>
        <w:t xml:space="preserve">13.3 §5 傳票描述碼公式 — 套用情境 2 與情境 4</w:t>
      </w:r>
    </w:p>
    <w:p>
      <w:pPr>
        <w:spacing w:after="160"/>
      </w:pPr>
      <w:r>
        <w:t xml:space="preserve">§5 的公式本身無法從 FSD 現有段落取得可直接比對的「預期輸出字串」(FSD 只記載了 accountDesc 的格式規則,未針對這幾個情境給出算好的成品字串),故此處為「套用示範」而非「獨立比對測試」;但仍具驗證價值,因為傳票代碼前綴同樣逐字取自 FSD 表格(§3.3):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// 情境 2:IPLC_PayAcceptWithDiscount,前綴 "IPLC03NULLNULLNULL"(FSD §3.3),Dr=CUSTOMER,Cr=INTERNAL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Dr leg.accountDesc = "IPLC03NULLNULLNULL" + "C" = "IPLC03NULLNULLNULLC"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 leg.accountDesc = "IPLC03NULLNULLNULL" + "I" = "IPLC03NULLNULLNULLI"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// 情境 4:EXCO_Payment,前綴 "EXCO01NULLNULLNULL"(FSD §3.3),Dr=NOSTRO,Cr=CUSTOMER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Dr leg.accountDesc = "EXCO01NULLNULLNULL" + "N" = "EXCO01NULLNULLNULLN"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 leg.accountDesc = "EXCO01NULLNULLNULL" + "C" = "EXCO01NULLNULLNULLC"</w:t>
      </w:r>
    </w:p>
    <w:p>
      <w:pPr>
        <w:spacing w:after="14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兩個情境皆可順利算出結果,無例外或未定義字元——TypeChar 對照表(§5.1)涵蓋了這兩個情境用到的全部 AccountType 值(CUSTOMER、INTERNAL、NOSTRO)。</w:t>
      </w:r>
    </w:p>
    <w:p>
      <w:pPr>
        <w:pStyle w:val="Heading2"/>
        <w:spacing w:after="120" w:before="240"/>
      </w:pPr>
      <w:r>
        <w:t xml:space="preserve">13.4 §6.3.1 或有負債傳票公式 — 與情境 1、2 交叉核對,部分解開待確認項目</w:t>
      </w:r>
    </w:p>
    <w:p>
      <w:pPr>
        <w:spacing w:after="160"/>
      </w:pPr>
      <w:r>
        <w:t xml:space="preserve">§6.3.1 曾針對 IPLC Pay/Accept With Discount 的 Cr AccountType 標註「Credit_Fields() 的無條件 INTERNAL 賦值,會覆寫一段先跑的 STL_FLG 條件式賦值,實際結果需要執行期追蹤」的不確定性。情境 1、2 剛好都是 DISCNT_FLG=YES 的案例,且兩者的 FSD 記載結果都是 Cr=INTERNAL——這與原始碼中 PaymentCredit_InitValues() 的 STL_FLG 條件式區塊「只在 DISCNT_FLG=='NO' 時才適用於 PayAcceptWithDiscount」的判斷式一致:換言之,當 DISCNT_FLG=YES 時,該條件式區塊根本不會執行,只剩 Credit_Fields() 的無條件 INTERNAL 生效。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部分解開先前的不確定性:對 IPLC_PayAcceptWithDiscount 而言,只要 DISCNT_FLG=YES,Cr=INTERNAL 可視為確定(不論 STL_FLG 為何)——情境 1(By Loan)與情境 2(非 By Loan)的 Cr 皆為 INTERNAL,結果一致,證實 STL_FLG 在 DISCNT_FLG=YES 時對 Cr AccountType 沒有影響力。仍未解開的是 DISCNT_FLG='NO' 的分支(6 個情境皆未涵蓋),那裡 STL_FLG 條件式區塊才會真正執行,兩段賦值邏輯的先後順序才有意義——維持 §12.1 之外的既有待確認狀態。</w:t>
      </w:r>
    </w:p>
    <w:p>
      <w:pPr>
        <w:pStyle w:val="Heading2"/>
        <w:spacing w:after="120" w:before="240"/>
      </w:pPr>
      <w:r>
        <w:t xml:space="preserve">13.5 跨文件觀察(非本文件缺陷,但一併記錄)</w:t>
      </w:r>
    </w:p>
    <w:p>
      <w:pPr>
        <w:spacing w:after="160"/>
      </w:pPr>
      <w:r>
        <w:t xml:space="preserve">情境 3(IPLC_PaymentAtMaturity,STL_FLG≠By Loan 預設值)FSD 記載 Cr=CUSTOMER,引用 Credit.js:1367 與 1849 兩處。若單純依「後執行覆寫先執行」的順序理解(Credit_Fields() 於 PaymentCredit_InitValues() 之後呼叫),1367 行的 INTERNAL 理應覆寫 1849 行的 CUSTOMER——但 FSD verified 結果卻是 CUSTOMER。一個合理的解釋是:畫面初始載入當下 DISCNT_FLG 尚為空值,Credit_Fields() 內「if (DISCNT_FLG=='NO')」與「if (DISCNT_FLG=='YES')」兩個分支因此都不成立、不執行,使得先前設定的 CUSTOMER 得以保留;之後使用者才會賦值 DISCNT_FLG。這需要執行期追蹤才能百分之百確認,不在本文件範圍內解決——僅記錄以避免與其他文件(例如 Payment_Mapping_Functions.docx 對同一組函式的逐行推論)產生誤解。本文件 §4/§6.3 本身並未對此函式的 Cr AccountType 做出具體斷言,因此不構成本文件的錯誤。</w:t>
      </w:r>
    </w:p>
    <w:p>
      <w:pPr>
        <w:pStyle w:val="Heading2"/>
        <w:spacing w:after="120" w:before="240"/>
      </w:pPr>
      <w:r>
        <w:t xml:space="preserve">13.6 測試結論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§4 分類公式:6/6 通過,含多腿貸方情境。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§3 配平驗證與建議新增之 V8:以 FSD 真實金額(情境 6)驗證通過,且該真實案例本身即獨立佐證了 V8 的必要性。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§5 傳票描述碼公式:套用於情境 2、4 皆可正確算出,無未定義字元。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§6.3.1 或有負債公式:與情境 1、2 交叉核對後結果一致,並藉此部分解開一項既有的待確認項目。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本次測試未在 Payment_Component_Calculation_Validation-zh.docx 本身的公式中發現任何與 FSD 已驗證情境矛盾之處;§12 所列待確認項目(尤其是 §12.1 的 Dr/Cr 精確相等要求)在本次測試後獲得更具體的真實數據佐證,建議維持原本「建議新增 V8」的立場不變。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支付組件 — 計算與驗證參考文件 v1.0(中文版)— 對照 payment-instructions-post.yaml v1.2.0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Microsoft JhengHei" w:cs="Microsoft JhengHei" w:eastAsia="Microsoft JhengHei" w:hAnsi="Microsoft JhengHe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Microsoft JhengHei" w:cs="Microsoft JhengHei" w:eastAsia="Microsoft JhengHei" w:hAnsi="Microsoft Jheng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Microsoft JhengHei" w:cs="Microsoft JhengHei" w:eastAsia="Microsoft JhengHei" w:hAnsi="Microsoft JhengHei"/>
      <w:b/>
      <w:bCs/>
      <w:color w:val="2E75B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支付組件 — 計算與驗證參考文件(中文版)</dc:title>
  <dc:creator>貿易融資 BA / 技術分析</dc:creator>
  <dc:description>POST /payment-instructions 必須實作之計算公式與驗證規則內嵌參考文件中文版,逐條對照原始碼(SSSS_PaymentDebit.js、SSSS_PaymentCredit.js、TrxSys.js)。</dc:description>
  <cp:lastModifiedBy>Un-named</cp:lastModifiedBy>
  <cp:revision>1</cp:revision>
  <dcterms:created xsi:type="dcterms:W3CDTF">2026-08-06T12:31:03.965Z</dcterms:created>
  <dcterms:modified xsi:type="dcterms:W3CDTF">2026-08-06T12:31:03.968Z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