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JhengHei" w:ascii="Calibri" w:hAnsi="Calibri"/>
        </w:rPr>
        <w:t>RPFM — Payment Component 缺口分析（Gap Analysis）</w:t>
      </w:r>
    </w:p>
    <w:p>
      <w:pPr>
        <w:spacing w:after="200"/>
        <w:ind w:left="340"/>
      </w:pPr>
      <w:r>
        <w:rPr>
          <w:b/>
          <w:rFonts w:eastAsia="Microsoft JhengHei" w:ascii="Calibri" w:hAnsi="Calibri"/>
          <w:i/>
        </w:rPr>
        <w:t>文件目的：</w:t>
      </w:r>
      <w:r>
        <w:rPr>
          <w:b w:val="0"/>
          <w:i/>
          <w:sz w:val="22"/>
          <w:rFonts w:eastAsia="Microsoft JhengHei" w:ascii="Calibri" w:hAnsi="Calibri"/>
        </w:rPr>
        <w:t>說明 RPFM（風險參貸，Risk Participation Finance）與 Payment Component 共用層（</w:t>
      </w:r>
      <w:r>
        <w:rPr>
          <w:rFonts w:ascii="Consolas" w:hAnsi="Consolas" w:eastAsia="Consolas"/>
          <w:i/>
          <w:sz w:val="21"/>
          <w:shd w:val="clear" w:color="auto" w:fill="F0F0F0"/>
        </w:rPr>
        <w:t>Y/SYS_JS/Payment/*</w:t>
      </w:r>
      <w:r>
        <w:rPr>
          <w:b w:val="0"/>
          <w:i/>
          <w:sz w:val="22"/>
          <w:rFonts w:eastAsia="Microsoft JhengHei" w:ascii="Calibri" w:hAnsi="Calibri"/>
        </w:rPr>
        <w:t>、</w:t>
      </w:r>
      <w:r>
        <w:rPr>
          <w:rFonts w:ascii="Consolas" w:hAnsi="Consolas" w:eastAsia="Consolas"/>
          <w:i/>
          <w:sz w:val="21"/>
          <w:shd w:val="clear" w:color="auto" w:fill="F0F0F0"/>
        </w:rPr>
        <w:t>SSSS_PaymentDebit.js</w:t>
      </w:r>
      <w:r>
        <w:rPr>
          <w:b w:val="0"/>
          <w:i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i/>
          <w:sz w:val="21"/>
          <w:shd w:val="clear" w:color="auto" w:fill="F0F0F0"/>
        </w:rPr>
        <w:t>SSSS_PaymentCredit.js</w:t>
      </w:r>
      <w:r>
        <w:rPr>
          <w:b w:val="0"/>
          <w:i/>
          <w:sz w:val="22"/>
          <w:rFonts w:eastAsia="Microsoft JhengHei" w:ascii="Calibri" w:hAnsi="Calibri"/>
        </w:rPr>
        <w:t xml:space="preserve">）之間的關係——其 4 個 Confirm 功能所代表的真實借貸（Dr/Cr）業務事件、為何 4 個功能的判定結果均為 </w:t>
      </w:r>
      <w:r>
        <w:rPr>
          <w:b/>
          <w:i/>
          <w:sz w:val="22"/>
          <w:rFonts w:eastAsia="Microsoft JhengHei" w:ascii="Calibri" w:hAnsi="Calibri"/>
        </w:rPr>
        <w:t>GAP</w:t>
      </w:r>
      <w:r>
        <w:rPr>
          <w:b w:val="0"/>
          <w:i/>
          <w:sz w:val="22"/>
          <w:rFonts w:eastAsia="Microsoft JhengHei" w:ascii="Calibri" w:hAnsi="Calibri"/>
        </w:rPr>
        <w:t>（未呼叫 Payment Component 的傳票組裝程式）、以及——超越 GAP 判定本身——每個功能背後對應的會計分錄是否確實有在基礎系統（baseline）中的任何地方入帳。</w:t>
      </w:r>
    </w:p>
    <w:p>
      <w:pPr>
        <w:spacing w:after="280"/>
      </w:pPr>
      <w:r>
        <w:rPr>
          <w:b/>
          <w:sz w:val="20"/>
          <w:rFonts w:eastAsia="Microsoft JhengHei" w:ascii="Calibri" w:hAnsi="Calibri"/>
        </w:rPr>
        <w:t>最後更新：</w:t>
      </w:r>
      <w:r>
        <w:rPr>
          <w:b w:val="0"/>
          <w:sz w:val="20"/>
          <w:rFonts w:eastAsia="Microsoft JhengHei" w:ascii="Calibri" w:hAnsi="Calibri"/>
        </w:rPr>
        <w:t xml:space="preserve"> 2026-08-07</w:t>
      </w:r>
    </w:p>
    <w:p>
      <w:pPr>
        <w:pStyle w:val="Heading2"/>
      </w:pPr>
      <w:r>
        <w:t>1. 範圍及與 COMMON-PaymentComponent-Cross-Reference.md 的關係</w:t>
      </w:r>
    </w:p>
    <w:p>
      <w:pPr>
        <w:spacing w:after="160"/>
      </w:pPr>
      <w:r>
        <w:rPr>
          <w:rFonts w:ascii="Consolas" w:hAnsi="Consolas" w:eastAsia="Consolas"/>
          <w:sz w:val="21"/>
          <w:shd w:val="clear" w:color="auto" w:fill="F0F0F0"/>
        </w:rPr>
        <w:t>COMMON-PaymentComponent-Cross-Reference.md</w:t>
      </w:r>
      <w:r>
        <w:rPr>
          <w:b w:val="0"/>
          <w:sz w:val="22"/>
          <w:rFonts w:eastAsia="Microsoft JhengHei" w:ascii="Calibri" w:hAnsi="Calibri"/>
        </w:rPr>
        <w:t xml:space="preserve"> 記錄了 4 個已確認使用 Payment Component 的模組（IPLC/EPLC/IMCO/EXCO）。RPFM 則屬於不同的情況——</w:t>
      </w:r>
      <w:r>
        <w:rPr>
          <w:b/>
          <w:sz w:val="22"/>
          <w:rFonts w:eastAsia="Microsoft JhengHei" w:ascii="Calibri" w:hAnsi="Calibri"/>
        </w:rPr>
        <w:t>部分整合（partial integration）</w:t>
      </w:r>
      <w:r>
        <w:rPr>
          <w:b w:val="0"/>
          <w:sz w:val="22"/>
          <w:rFonts w:eastAsia="Microsoft JhengHei" w:ascii="Calibri" w:hAnsi="Calibri"/>
        </w:rPr>
        <w:t xml:space="preserve">：其會在畫面生命週期（screen-lifecycle）階段填入型別化的 </w:t>
      </w:r>
      <w:r>
        <w:rPr>
          <w:rFonts w:ascii="Consolas" w:hAnsi="Consolas" w:eastAsia="Consolas"/>
          <w:sz w:val="21"/>
          <w:shd w:val="clear" w:color="auto" w:fill="F0F0F0"/>
        </w:rPr>
        <w:t>PaymentDebit</w:t>
      </w:r>
      <w:r>
        <w:rPr>
          <w:b w:val="0"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sz w:val="21"/>
          <w:shd w:val="clear" w:color="auto" w:fill="F0F0F0"/>
        </w:rPr>
        <w:t>PaymentCredit</w:t>
      </w:r>
      <w:r>
        <w:rPr>
          <w:b w:val="0"/>
          <w:sz w:val="22"/>
          <w:rFonts w:eastAsia="Microsoft JhengHei" w:ascii="Calibri" w:hAnsi="Calibri"/>
        </w:rPr>
        <w:t xml:space="preserve"> 借貸分錄（包含僅 RPFM 使用的 RTGS 結算旗標——參見 </w:t>
      </w:r>
      <w:r>
        <w:rPr>
          <w:rFonts w:ascii="Consolas" w:hAnsi="Consolas" w:eastAsia="Consolas"/>
          <w:sz w:val="21"/>
          <w:shd w:val="clear" w:color="auto" w:fill="F0F0F0"/>
        </w:rPr>
        <w:t>payment-instructions-post.yaml</w:t>
      </w:r>
      <w:r>
        <w:rPr>
          <w:b w:val="0"/>
          <w:sz w:val="22"/>
          <w:rFonts w:eastAsia="Microsoft JhengHei" w:ascii="Calibri" w:hAnsi="Calibri"/>
        </w:rPr>
        <w:t xml:space="preserve"> 中 </w:t>
      </w:r>
      <w:r>
        <w:rPr>
          <w:rFonts w:ascii="Consolas" w:hAnsi="Consolas" w:eastAsia="Consolas"/>
          <w:sz w:val="21"/>
          <w:shd w:val="clear" w:color="auto" w:fill="F0F0F0"/>
        </w:rPr>
        <w:t>AccountType</w:t>
      </w:r>
      <w:r>
        <w:rPr>
          <w:b w:val="0"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sz w:val="21"/>
          <w:shd w:val="clear" w:color="auto" w:fill="F0F0F0"/>
        </w:rPr>
        <w:t>rtgsIndicator</w:t>
      </w:r>
      <w:r>
        <w:rPr>
          <w:b w:val="0"/>
          <w:sz w:val="22"/>
          <w:rFonts w:eastAsia="Microsoft JhengHei" w:ascii="Calibri" w:hAnsi="Calibri"/>
        </w:rPr>
        <w:t xml:space="preserve"> 的 v1.3.0 說明），但其 4 個 Confirm 功能沒有任何一個會呼叫 Payment Component 的傳票組裝程式。因此它不屬於該文件僅列 PASS 案例的表格範圍，故另立本文件說明。</w:t>
      </w:r>
    </w:p>
    <w:p>
      <w:pPr>
        <w:pStyle w:val="Heading2"/>
      </w:pPr>
      <w:r>
        <w:t>2. 業務事件（業務專家釐清，2026-08-07）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GAP 功能</w:t>
            </w:r>
          </w:p>
        </w:tc>
        <w:tc>
          <w:tcPr>
            <w:tcW w:type="dxa" w:w="3402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業務事件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借方 (Debit)</w:t>
            </w:r>
          </w:p>
        </w:tc>
        <w:tc>
          <w:tcPr>
            <w:tcW w:type="dxa" w:w="1984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貸方 (Credit)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Process Grantor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Grantor 收取 Participant 資金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Repay Grantor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Grantor 收取 Borrower 還款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Repay Grantor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Grantor 支付 Participant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Process Participant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Participant 匯出資金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Settle Participant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Participant 收取本金＋利息（掛帳法 advance）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Settle Participant</w:t>
            </w:r>
          </w:p>
        </w:tc>
        <w:tc>
          <w:tcPr>
            <w:tcW w:type="dxa" w:w="3402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Participant 僅收取利息（後付法 arrears）</w:t>
            </w:r>
          </w:p>
        </w:tc>
        <w:tc>
          <w:tcPr>
            <w:tcW w:type="dxa" w:w="1701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Nostro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Suspense or Internal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sz w:val="22"/>
          <w:rFonts w:eastAsia="Microsoft JhengHei" w:ascii="Calibri" w:hAnsi="Calibri"/>
        </w:rPr>
        <w:t>採用之分類規則：</w:t>
      </w:r>
      <w:r>
        <w:rPr>
          <w:b w:val="0"/>
          <w:sz w:val="22"/>
          <w:rFonts w:eastAsia="Microsoft JhengHei" w:ascii="Calibri" w:hAnsi="Calibri"/>
        </w:rPr>
        <w:t xml:space="preserve"> 上述每一筆事件中非 Nostro 的那一分錄，均屬於在另一個業務元件（而非 Payment Component）入帳的子帳（貸款／參貸會計）——因此其分類為 </w:t>
      </w:r>
      <w:r>
        <w:rPr>
          <w:rFonts w:ascii="Consolas" w:hAnsi="Consolas" w:eastAsia="Consolas"/>
          <w:sz w:val="21"/>
          <w:shd w:val="clear" w:color="auto" w:fill="F0F0F0"/>
        </w:rPr>
        <w:t>SUSPENSE</w:t>
      </w:r>
      <w:r>
        <w:rPr>
          <w:b w:val="0"/>
          <w:sz w:val="22"/>
          <w:rFonts w:eastAsia="Microsoft JhengHei" w:ascii="Calibri" w:hAnsi="Calibri"/>
        </w:rPr>
        <w:t xml:space="preserve"> 或 </w:t>
      </w:r>
      <w:r>
        <w:rPr>
          <w:rFonts w:ascii="Consolas" w:hAnsi="Consolas" w:eastAsia="Consolas"/>
          <w:sz w:val="21"/>
          <w:shd w:val="clear" w:color="auto" w:fill="F0F0F0"/>
        </w:rPr>
        <w:t>INTERNAL</w:t>
      </w:r>
      <w:r>
        <w:rPr>
          <w:b w:val="0"/>
          <w:sz w:val="22"/>
          <w:rFonts w:eastAsia="Microsoft JhengHei" w:ascii="Calibri" w:hAnsi="Calibri"/>
        </w:rPr>
        <w:t xml:space="preserve">，絕不會是 </w:t>
      </w:r>
      <w:r>
        <w:rPr>
          <w:rFonts w:ascii="Consolas" w:hAnsi="Consolas" w:eastAsia="Consolas"/>
          <w:sz w:val="21"/>
          <w:shd w:val="clear" w:color="auto" w:fill="F0F0F0"/>
        </w:rPr>
        <w:t>CUSTOMER</w:t>
      </w:r>
      <w:r>
        <w:rPr>
          <w:b w:val="0"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sz w:val="21"/>
          <w:shd w:val="clear" w:color="auto" w:fill="F0F0F0"/>
        </w:rPr>
        <w:t>NOSTRO</w:t>
      </w:r>
      <w:r>
        <w:rPr>
          <w:b w:val="0"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sz w:val="21"/>
          <w:shd w:val="clear" w:color="auto" w:fill="F0F0F0"/>
        </w:rPr>
        <w:t>VOSTRO</w:t>
      </w:r>
      <w:r>
        <w:rPr>
          <w:b w:val="0"/>
          <w:sz w:val="22"/>
          <w:rFonts w:eastAsia="Microsoft JhengHei" w:ascii="Calibri" w:hAnsi="Calibri"/>
        </w:rPr>
        <w:t xml:space="preserve">。依據 </w:t>
      </w:r>
      <w:r>
        <w:rPr>
          <w:rFonts w:ascii="Consolas" w:hAnsi="Consolas" w:eastAsia="Consolas"/>
          <w:sz w:val="21"/>
          <w:shd w:val="clear" w:color="auto" w:fill="F0F0F0"/>
        </w:rPr>
        <w:t>docs/analysis-guidelines.md</w:t>
      </w:r>
      <w:r>
        <w:rPr>
          <w:b w:val="0"/>
          <w:sz w:val="22"/>
          <w:rFonts w:eastAsia="Microsoft JhengHei" w:ascii="Calibri" w:hAnsi="Calibri"/>
        </w:rPr>
        <w:t xml:space="preserve"> →「Payment Component 判別規則」（於 </w:t>
      </w:r>
      <w:r>
        <w:rPr>
          <w:rFonts w:ascii="Consolas" w:hAnsi="Consolas" w:eastAsia="Consolas"/>
          <w:sz w:val="21"/>
          <w:shd w:val="clear" w:color="auto" w:fill="F0F0F0"/>
        </w:rPr>
        <w:t>classification.ts</w:t>
      </w:r>
      <w:r>
        <w:rPr>
          <w:b w:val="0"/>
          <w:sz w:val="22"/>
          <w:rFonts w:eastAsia="Microsoft JhengHei" w:ascii="Calibri" w:hAnsi="Calibri"/>
        </w:rPr>
        <w:t xml:space="preserve"> 中重述），</w:t>
      </w:r>
      <w:r>
        <w:rPr>
          <w:rFonts w:ascii="Consolas" w:hAnsi="Consolas" w:eastAsia="Consolas"/>
          <w:sz w:val="21"/>
          <w:shd w:val="clear" w:color="auto" w:fill="F0F0F0"/>
        </w:rPr>
        <w:t>SUSPENSE</w:t>
      </w:r>
      <w:r>
        <w:rPr>
          <w:b w:val="0"/>
          <w:sz w:val="22"/>
          <w:rFonts w:eastAsia="Microsoft JhengHei" w:ascii="Calibri" w:hAnsi="Calibri"/>
        </w:rPr>
        <w:t xml:space="preserve"> 與 </w:t>
      </w:r>
      <w:r>
        <w:rPr>
          <w:rFonts w:ascii="Consolas" w:hAnsi="Consolas" w:eastAsia="Consolas"/>
          <w:sz w:val="21"/>
          <w:shd w:val="clear" w:color="auto" w:fill="F0F0F0"/>
        </w:rPr>
        <w:t>INTERNAL</w:t>
      </w:r>
      <w:r>
        <w:rPr>
          <w:b w:val="0"/>
          <w:sz w:val="22"/>
          <w:rFonts w:eastAsia="Microsoft JhengHei" w:ascii="Calibri" w:hAnsi="Calibri"/>
        </w:rPr>
        <w:t xml:space="preserve"> 皆不參與任何借貸 XOR 判斷項——因此選擇兩者中的哪一個並不影響 </w:t>
      </w:r>
      <w:r>
        <w:rPr>
          <w:rFonts w:ascii="Consolas" w:hAnsi="Consolas" w:eastAsia="Consolas"/>
          <w:sz w:val="21"/>
          <w:shd w:val="clear" w:color="auto" w:fill="F0F0F0"/>
        </w:rPr>
        <w:t>paymentComponentRelated</w:t>
      </w:r>
      <w:r>
        <w:rPr>
          <w:b w:val="0"/>
          <w:sz w:val="22"/>
          <w:rFonts w:eastAsia="Microsoft JhengHei" w:ascii="Calibri" w:hAnsi="Calibri"/>
        </w:rPr>
        <w:t>。模擬器（</w:t>
      </w:r>
      <w:r>
        <w:rPr>
          <w:rFonts w:ascii="Consolas" w:hAnsi="Consolas" w:eastAsia="Consolas"/>
          <w:sz w:val="21"/>
          <w:shd w:val="clear" w:color="auto" w:fill="F0F0F0"/>
        </w:rPr>
        <w:t>lc-payment-wc/src/app/payment-component/business-case-registry.ts</w:t>
      </w:r>
      <w:r>
        <w:rPr>
          <w:b w:val="0"/>
          <w:sz w:val="22"/>
          <w:rFonts w:eastAsia="Microsoft JhengHei" w:ascii="Calibri" w:hAnsi="Calibri"/>
        </w:rPr>
        <w:t xml:space="preserve">）預設採用 </w:t>
      </w:r>
      <w:r>
        <w:rPr>
          <w:rFonts w:ascii="Consolas" w:hAnsi="Consolas" w:eastAsia="Consolas"/>
          <w:sz w:val="21"/>
          <w:shd w:val="clear" w:color="auto" w:fill="F0F0F0"/>
        </w:rPr>
        <w:t>INTERNAL</w:t>
      </w:r>
      <w:r>
        <w:rPr>
          <w:b w:val="0"/>
          <w:sz w:val="22"/>
          <w:rFonts w:eastAsia="Microsoft JhengHei" w:ascii="Calibri" w:hAnsi="Calibri"/>
        </w:rPr>
        <w:t>（相較於暫時性清算帳戶，較符合永久性資產／負債／損益分類帳戶的性質）——此為建模上的判斷，並未經業務面確認。</w:t>
      </w:r>
    </w:p>
    <w:p>
      <w:pPr>
        <w:spacing w:after="160"/>
      </w:pPr>
      <w:r>
        <w:rPr>
          <w:b w:val="0"/>
          <w:sz w:val="22"/>
          <w:rFonts w:eastAsia="Microsoft JhengHei" w:ascii="Calibri" w:hAnsi="Calibri"/>
        </w:rPr>
        <w:t>Settle Participant 的兩筆事件（掛帳法 advance 與後付法 arrears 的利息計算方式）在經濟意義上不同，但結構上完全相同（借貸帳戶類型結構一致）——由於此差異不影響分類結果，模擬器對兩者均以同一組「借方 Nostro／貸方 Suspense-or-Internal」表示。</w:t>
      </w:r>
    </w:p>
    <w:p>
      <w:pPr>
        <w:pStyle w:val="Heading2"/>
      </w:pPr>
      <w:r>
        <w:t>3. 為何 4 個功能的判定結果均為 GAP（僅限 Payment Component 範疇）</w:t>
      </w:r>
    </w:p>
    <w:p>
      <w:pPr>
        <w:spacing w:after="160"/>
      </w:pPr>
      <w:r>
        <w:rPr>
          <w:b w:val="0"/>
          <w:sz w:val="22"/>
          <w:rFonts w:eastAsia="Microsoft JhengHei" w:ascii="Calibri" w:hAnsi="Calibri"/>
        </w:rPr>
        <w:t xml:space="preserve">已經過原始碼查證，且不受以下任何內容影響：整個程式碼庫中並不存在 </w:t>
      </w:r>
      <w:r>
        <w:rPr>
          <w:rFonts w:ascii="Consolas" w:hAnsi="Consolas" w:eastAsia="Consolas"/>
          <w:sz w:val="21"/>
          <w:shd w:val="clear" w:color="auto" w:fill="F0F0F0"/>
        </w:rPr>
        <w:t>RPFM##NULLNULLNULL</w:t>
      </w:r>
      <w:r>
        <w:rPr>
          <w:b w:val="0"/>
          <w:sz w:val="22"/>
          <w:rFonts w:eastAsia="Microsoft JhengHei" w:ascii="Calibri" w:hAnsi="Calibri"/>
        </w:rPr>
        <w:t xml:space="preserve"> 這種傳票代碼前綴樣式（此樣式是 15 個已確認 PASS 功能全數採用的模式——參見 </w:t>
      </w:r>
      <w:r>
        <w:rPr>
          <w:rFonts w:ascii="Consolas" w:hAnsi="Consolas" w:eastAsia="Consolas"/>
          <w:sz w:val="21"/>
          <w:shd w:val="clear" w:color="auto" w:fill="F0F0F0"/>
        </w:rPr>
        <w:t>voucherDescription.ts</w:t>
      </w:r>
      <w:r>
        <w:rPr>
          <w:b w:val="0"/>
          <w:sz w:val="22"/>
          <w:rFonts w:eastAsia="Microsoft JhengHei" w:ascii="Calibri" w:hAnsi="Calibri"/>
        </w:rPr>
        <w:t xml:space="preserve"> 中的 </w:t>
      </w:r>
      <w:r>
        <w:rPr>
          <w:rFonts w:ascii="Consolas" w:hAnsi="Consolas" w:eastAsia="Consolas"/>
          <w:sz w:val="21"/>
          <w:shd w:val="clear" w:color="auto" w:fill="F0F0F0"/>
        </w:rPr>
        <w:t>VOUCHER_CODE_PREFIXES</w:t>
      </w:r>
      <w:r>
        <w:rPr>
          <w:b w:val="0"/>
          <w:sz w:val="22"/>
          <w:rFonts w:eastAsia="Microsoft JhengHei" w:ascii="Calibri" w:hAnsi="Calibri"/>
        </w:rPr>
        <w:t xml:space="preserve">），且這 4 個 </w:t>
      </w:r>
      <w:r>
        <w:rPr>
          <w:rFonts w:ascii="Consolas" w:hAnsi="Consolas" w:eastAsia="Consolas"/>
          <w:sz w:val="21"/>
          <w:shd w:val="clear" w:color="auto" w:fill="F0F0F0"/>
        </w:rPr>
        <w:t>ConfirmBusinessCall</w:t>
      </w:r>
      <w:r>
        <w:rPr>
          <w:b w:val="0"/>
          <w:sz w:val="22"/>
          <w:rFonts w:eastAsia="Microsoft JhengHei" w:ascii="Calibri" w:hAnsi="Calibri"/>
        </w:rPr>
        <w:t xml:space="preserve"> 均未讀取 </w:t>
      </w:r>
      <w:r>
        <w:rPr>
          <w:rFonts w:ascii="Consolas" w:hAnsi="Consolas" w:eastAsia="Consolas"/>
          <w:sz w:val="21"/>
          <w:shd w:val="clear" w:color="auto" w:fill="F0F0F0"/>
        </w:rPr>
        <w:t>PaymentDebit</w:t>
      </w:r>
      <w:r>
        <w:rPr>
          <w:b w:val="0"/>
          <w:sz w:val="22"/>
          <w:rFonts w:eastAsia="Microsoft JhengHei" w:ascii="Calibri" w:hAnsi="Calibri"/>
        </w:rPr>
        <w:t>／</w:t>
      </w:r>
      <w:r>
        <w:rPr>
          <w:rFonts w:ascii="Consolas" w:hAnsi="Consolas" w:eastAsia="Consolas"/>
          <w:sz w:val="21"/>
          <w:shd w:val="clear" w:color="auto" w:fill="F0F0F0"/>
        </w:rPr>
        <w:t>PaymentCredit</w:t>
      </w:r>
      <w:r>
        <w:rPr>
          <w:b w:val="0"/>
          <w:sz w:val="22"/>
          <w:rFonts w:eastAsia="Microsoft JhengHei" w:ascii="Calibri" w:hAnsi="Calibri"/>
        </w:rPr>
        <w:t xml:space="preserve"> DO 以組裝傳票描述。這正是 Business Case Simulator 對這 4 個功能僅提供「僅分類（classify-only）」預覽（</w:t>
      </w:r>
      <w:r>
        <w:rPr>
          <w:rFonts w:ascii="Consolas" w:hAnsi="Consolas" w:eastAsia="Consolas"/>
          <w:sz w:val="21"/>
          <w:shd w:val="clear" w:color="auto" w:fill="F0F0F0"/>
        </w:rPr>
        <w:t>POST /payment-instructions/classify</w:t>
      </w:r>
      <w:r>
        <w:rPr>
          <w:b w:val="0"/>
          <w:sz w:val="22"/>
          <w:rFonts w:eastAsia="Microsoft JhengHei" w:ascii="Calibri" w:hAnsi="Calibri"/>
        </w:rPr>
        <w:t>）、而不提供 Confirm 動作的原因——因為若執行完整的 confirm 流程，勢必得捏造一個原始碼中並不存在的傳票前綴。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Process Grantor</w:t>
      </w:r>
      <w:r>
        <w:rPr>
          <w:b w:val="0"/>
          <w:sz w:val="22"/>
          <w:rFonts w:eastAsia="Microsoft JhengHei" w:ascii="Calibri" w:hAnsi="Calibri"/>
        </w:rPr>
        <w:t xml:space="preserve"> — </w:t>
      </w:r>
      <w:r>
        <w:rPr>
          <w:rFonts w:ascii="Consolas" w:hAnsi="Consolas" w:eastAsia="Consolas"/>
          <w:sz w:val="21"/>
          <w:shd w:val="clear" w:color="auto" w:fill="F0F0F0"/>
        </w:rPr>
        <w:t>SYF_RPFM_ProcessGrantor.js</w:t>
      </w:r>
      <w:r>
        <w:rPr>
          <w:b w:val="0"/>
          <w:sz w:val="22"/>
          <w:rFonts w:eastAsia="Microsoft JhengHei" w:ascii="Calibri" w:hAnsi="Calibri"/>
        </w:rPr>
        <w:t>，</w:t>
      </w:r>
      <w:r>
        <w:rPr>
          <w:rFonts w:ascii="Consolas" w:hAnsi="Consolas" w:eastAsia="Consolas"/>
          <w:sz w:val="21"/>
          <w:shd w:val="clear" w:color="auto" w:fill="F0F0F0"/>
        </w:rPr>
        <w:t>ConfirmBusinessCall:11-49</w:t>
      </w:r>
      <w:r>
        <w:rPr>
          <w:b w:val="0"/>
          <w:sz w:val="22"/>
          <w:rFonts w:eastAsia="Microsoft JhengHei" w:ascii="Calibri" w:hAnsi="Calibri"/>
        </w:rPr>
        <w:t xml:space="preserve"> 未呼叫任何 Payment／傳票相關程式。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Repay Grantor</w:t>
      </w:r>
      <w:r>
        <w:rPr>
          <w:b w:val="0"/>
          <w:sz w:val="22"/>
          <w:rFonts w:eastAsia="Microsoft JhengHei" w:ascii="Calibri" w:hAnsi="Calibri"/>
        </w:rPr>
        <w:t xml:space="preserve"> — </w:t>
      </w:r>
      <w:r>
        <w:rPr>
          <w:rFonts w:ascii="Consolas" w:hAnsi="Consolas" w:eastAsia="Consolas"/>
          <w:sz w:val="21"/>
          <w:shd w:val="clear" w:color="auto" w:fill="F0F0F0"/>
        </w:rPr>
        <w:t>SYF_RPFM_RepayGrantor.js</w:t>
      </w:r>
      <w:r>
        <w:rPr>
          <w:b w:val="0"/>
          <w:sz w:val="22"/>
          <w:rFonts w:eastAsia="Microsoft JhengHei" w:ascii="Calibri" w:hAnsi="Calibri"/>
        </w:rPr>
        <w:t>，</w:t>
      </w:r>
      <w:r>
        <w:rPr>
          <w:rFonts w:ascii="Consolas" w:hAnsi="Consolas" w:eastAsia="Consolas"/>
          <w:sz w:val="21"/>
          <w:shd w:val="clear" w:color="auto" w:fill="F0F0F0"/>
        </w:rPr>
        <w:t>ConfirmBusinessCall:19-50</w:t>
      </w:r>
      <w:r>
        <w:rPr>
          <w:b w:val="0"/>
          <w:sz w:val="22"/>
          <w:rFonts w:eastAsia="Microsoft JhengHei" w:ascii="Calibri" w:hAnsi="Calibri"/>
        </w:rPr>
        <w:t xml:space="preserve"> 未呼叫任何 Payment／傳票相關程式。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Process Participant</w:t>
      </w:r>
      <w:r>
        <w:rPr>
          <w:b w:val="0"/>
          <w:sz w:val="22"/>
          <w:rFonts w:eastAsia="Microsoft JhengHei" w:ascii="Calibri" w:hAnsi="Calibri"/>
        </w:rPr>
        <w:t xml:space="preserve"> — </w:t>
      </w:r>
      <w:r>
        <w:rPr>
          <w:rFonts w:ascii="Consolas" w:hAnsi="Consolas" w:eastAsia="Consolas"/>
          <w:sz w:val="21"/>
          <w:shd w:val="clear" w:color="auto" w:fill="F0F0F0"/>
        </w:rPr>
        <w:t>SYF_RPFM_ProcessParticipant.js:59</w:t>
      </w:r>
      <w:r>
        <w:rPr>
          <w:b w:val="0"/>
          <w:sz w:val="22"/>
          <w:rFonts w:eastAsia="Microsoft JhengHei" w:ascii="Calibri" w:hAnsi="Calibri"/>
        </w:rPr>
        <w:t>，</w:t>
      </w:r>
      <w:r>
        <w:rPr>
          <w:rFonts w:ascii="Consolas" w:hAnsi="Consolas" w:eastAsia="Consolas"/>
          <w:sz w:val="21"/>
          <w:shd w:val="clear" w:color="auto" w:fill="F0F0F0"/>
        </w:rPr>
        <w:t>ConfirmBusinessCall</w:t>
      </w:r>
      <w:r>
        <w:rPr>
          <w:b w:val="0"/>
          <w:sz w:val="22"/>
          <w:rFonts w:eastAsia="Microsoft JhengHei" w:ascii="Calibri" w:hAnsi="Calibri"/>
        </w:rPr>
        <w:t xml:space="preserve"> 呼叫通用的 </w:t>
      </w:r>
      <w:r>
        <w:rPr>
          <w:rFonts w:ascii="Consolas" w:hAnsi="Consolas" w:eastAsia="Consolas"/>
          <w:sz w:val="21"/>
          <w:shd w:val="clear" w:color="auto" w:fill="F0F0F0"/>
        </w:rPr>
        <w:t>SYT_CHG_VOUCHER()</w:t>
      </w:r>
      <w:r>
        <w:rPr>
          <w:b w:val="0"/>
          <w:sz w:val="22"/>
          <w:rFonts w:eastAsia="Microsoft JhengHei" w:ascii="Calibri" w:hAnsi="Calibri"/>
        </w:rPr>
        <w:t>（手續費傳票，非 Payment 專屬）。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Settle Participant</w:t>
      </w:r>
      <w:r>
        <w:rPr>
          <w:b w:val="0"/>
          <w:sz w:val="22"/>
          <w:rFonts w:eastAsia="Microsoft JhengHei" w:ascii="Calibri" w:hAnsi="Calibri"/>
        </w:rPr>
        <w:t xml:space="preserve"> — </w:t>
      </w:r>
      <w:r>
        <w:rPr>
          <w:rFonts w:ascii="Consolas" w:hAnsi="Consolas" w:eastAsia="Consolas"/>
          <w:sz w:val="21"/>
          <w:shd w:val="clear" w:color="auto" w:fill="F0F0F0"/>
        </w:rPr>
        <w:t>SYF_RPFM_SettleParticipant.js:583</w:t>
      </w:r>
      <w:r>
        <w:rPr>
          <w:b w:val="0"/>
          <w:sz w:val="22"/>
          <w:rFonts w:eastAsia="Microsoft JhengHei" w:ascii="Calibri" w:hAnsi="Calibri"/>
        </w:rPr>
        <w:t>，</w:t>
      </w:r>
      <w:r>
        <w:rPr>
          <w:rFonts w:ascii="Consolas" w:hAnsi="Consolas" w:eastAsia="Consolas"/>
          <w:sz w:val="21"/>
          <w:shd w:val="clear" w:color="auto" w:fill="F0F0F0"/>
        </w:rPr>
        <w:t>ConfirmBusinessCall</w:t>
      </w:r>
      <w:r>
        <w:rPr>
          <w:b w:val="0"/>
          <w:sz w:val="22"/>
          <w:rFonts w:eastAsia="Microsoft JhengHei" w:ascii="Calibri" w:hAnsi="Calibri"/>
        </w:rPr>
        <w:t xml:space="preserve"> 呼叫通用的 </w:t>
      </w:r>
      <w:r>
        <w:rPr>
          <w:rFonts w:ascii="Consolas" w:hAnsi="Consolas" w:eastAsia="Consolas"/>
          <w:sz w:val="21"/>
          <w:shd w:val="clear" w:color="auto" w:fill="F0F0F0"/>
        </w:rPr>
        <w:t>SYT_CHG_VOUCHER()</w:t>
      </w:r>
      <w:r>
        <w:rPr>
          <w:b w:val="0"/>
          <w:sz w:val="22"/>
          <w:rFonts w:eastAsia="Microsoft JhengHei" w:ascii="Calibri" w:hAnsi="Calibri"/>
        </w:rPr>
        <w:t>。</w:t>
      </w:r>
    </w:p>
    <w:p>
      <w:pPr>
        <w:pStyle w:val="Heading2"/>
      </w:pPr>
      <w:r>
        <w:t>4.「GAP」是否代表資金完全未被追蹤？——VCH 樣板完整性檢查（2026-08-07）</w:t>
      </w:r>
    </w:p>
    <w:p>
      <w:pPr>
        <w:spacing w:after="160"/>
      </w:pPr>
      <w:r>
        <w:rPr>
          <w:b w:val="0"/>
          <w:sz w:val="22"/>
          <w:rFonts w:eastAsia="Microsoft JhengHei" w:ascii="Calibri" w:hAnsi="Calibri"/>
        </w:rPr>
        <w:t>上述 GAP 判定僅代表「未呼叫 Payment Component」，</w:t>
      </w:r>
      <w:r>
        <w:rPr>
          <w:b/>
          <w:sz w:val="22"/>
          <w:rFonts w:eastAsia="Microsoft JhengHei" w:ascii="Calibri" w:hAnsi="Calibri"/>
        </w:rPr>
        <w:t>並不</w:t>
      </w:r>
      <w:r>
        <w:rPr>
          <w:b w:val="0"/>
          <w:sz w:val="22"/>
          <w:rFonts w:eastAsia="Microsoft JhengHei" w:ascii="Calibri" w:hAnsi="Calibri"/>
        </w:rPr>
        <w:t>代表底層的會計分錄完全沒有入帳機制——RPFM 有其自身、獨立且真實存在的入帳機制。本節將檢查該機制是否確實涵蓋每一筆業務事件。</w:t>
      </w:r>
    </w:p>
    <w:p>
      <w:pPr>
        <w:spacing w:after="160"/>
      </w:pPr>
      <w:r>
        <w:rPr>
          <w:rFonts w:ascii="Consolas" w:hAnsi="Consolas" w:eastAsia="Consolas"/>
          <w:sz w:val="21"/>
          <w:shd w:val="clear" w:color="auto" w:fill="F0F0F0"/>
        </w:rPr>
        <w:t>SYT_CHG_VOUCHER()</w:t>
      </w:r>
      <w:r>
        <w:rPr>
          <w:b/>
          <w:sz w:val="22"/>
          <w:rFonts w:eastAsia="Microsoft JhengHei" w:ascii="Calibri" w:hAnsi="Calibri"/>
        </w:rPr>
        <w:t xml:space="preserve"> 已排除作為候選機制。</w:t>
      </w:r>
      <w:r>
        <w:rPr>
          <w:b w:val="0"/>
          <w:sz w:val="22"/>
          <w:rFonts w:eastAsia="Microsoft JhengHei" w:ascii="Calibri" w:hAnsi="Calibri"/>
        </w:rPr>
        <w:t xml:space="preserve"> 定義位置：</w:t>
      </w:r>
      <w:r>
        <w:rPr>
          <w:rFonts w:ascii="Consolas" w:hAnsi="Consolas" w:eastAsia="Consolas"/>
          <w:sz w:val="21"/>
          <w:shd w:val="clear" w:color="auto" w:fill="F0F0F0"/>
        </w:rPr>
        <w:t>X/CALJS/COMMONLEVEL/TrxSys.js:1810-1896</w:t>
      </w:r>
      <w:r>
        <w:rPr>
          <w:b w:val="0"/>
          <w:sz w:val="22"/>
          <w:rFonts w:eastAsia="Microsoft JhengHei" w:ascii="Calibri" w:hAnsi="Calibri"/>
        </w:rPr>
        <w:t xml:space="preserve">。此函式不接受任何參數，僅讀寫寫死（hardcoded）的 </w:t>
      </w:r>
      <w:r>
        <w:rPr>
          <w:rFonts w:ascii="Consolas" w:hAnsi="Consolas" w:eastAsia="Consolas"/>
          <w:sz w:val="21"/>
          <w:shd w:val="clear" w:color="auto" w:fill="F0F0F0"/>
        </w:rPr>
        <w:t>document.MAINFORM.CHG_*</w:t>
      </w:r>
      <w:r>
        <w:rPr>
          <w:b w:val="0"/>
          <w:sz w:val="22"/>
          <w:rFonts w:eastAsia="Microsoft JhengHei" w:ascii="Calibri" w:hAnsi="Calibri"/>
        </w:rPr>
        <w:t xml:space="preserve"> 畫面欄位（如 </w:t>
      </w:r>
      <w:r>
        <w:rPr>
          <w:rFonts w:ascii="Consolas" w:hAnsi="Consolas" w:eastAsia="Consolas"/>
          <w:sz w:val="21"/>
          <w:shd w:val="clear" w:color="auto" w:fill="F0F0F0"/>
        </w:rPr>
        <w:t>Chg.Screen.getLocalChgCustPayTotalAmt()</w:t>
      </w:r>
      <w:r>
        <w:rPr>
          <w:b w:val="0"/>
          <w:sz w:val="22"/>
          <w:rFonts w:eastAsia="Microsoft JhengHei" w:ascii="Calibri" w:hAnsi="Calibri"/>
        </w:rPr>
        <w:t xml:space="preserve"> 等），並以呼叫 </w:t>
      </w:r>
      <w:r>
        <w:rPr>
          <w:rFonts w:ascii="Consolas" w:hAnsi="Consolas" w:eastAsia="Consolas"/>
          <w:sz w:val="21"/>
          <w:shd w:val="clear" w:color="auto" w:fill="F0F0F0"/>
        </w:rPr>
        <w:t>SYT_Cal_C_VOUCHER_DESC('charge')</w:t>
      </w:r>
      <w:r>
        <w:rPr>
          <w:b w:val="0"/>
          <w:sz w:val="22"/>
          <w:rFonts w:eastAsia="Microsoft JhengHei" w:ascii="Calibri" w:hAnsi="Calibri"/>
        </w:rPr>
        <w:t xml:space="preserve"> 結尾。它完全沒有任何 GL 科目參數——其範圍僅限於通用的銀行手續費／佣金傳票，無法表達上述任何 Nostro 或 Suspense-or-Internal 分錄。</w:t>
      </w:r>
    </w:p>
    <w:p>
      <w:pPr>
        <w:spacing w:after="160"/>
      </w:pPr>
      <w:r>
        <w:rPr>
          <w:b/>
          <w:sz w:val="22"/>
          <w:rFonts w:eastAsia="Microsoft JhengHei" w:ascii="Calibri" w:hAnsi="Calibri"/>
        </w:rPr>
        <w:t>真正的入帳機制是 VCH 自動產生機制。</w:t>
      </w:r>
      <w:r>
        <w:rPr>
          <w:b w:val="0"/>
          <w:sz w:val="22"/>
          <w:rFonts w:eastAsia="Microsoft JhengHei" w:ascii="Calibri" w:hAnsi="Calibri"/>
        </w:rPr>
        <w:t xml:space="preserve"> RPFM 的 4 個功能代碼（</w:t>
      </w:r>
      <w:r>
        <w:rPr>
          <w:rFonts w:ascii="Consolas" w:hAnsi="Consolas" w:eastAsia="Consolas"/>
          <w:sz w:val="21"/>
          <w:shd w:val="clear" w:color="auto" w:fill="F0F0F0"/>
        </w:rPr>
        <w:t>X/Default/FUNC/function_root.xml:1576-1582</w:t>
      </w:r>
      <w:r>
        <w:rPr>
          <w:b w:val="0"/>
          <w:sz w:val="22"/>
          <w:rFonts w:eastAsia="Microsoft JhengHei" w:ascii="Calibri" w:hAnsi="Calibri"/>
        </w:rPr>
        <w:t>，</w:t>
      </w:r>
      <w:r>
        <w:rPr>
          <w:rFonts w:ascii="Consolas" w:hAnsi="Consolas" w:eastAsia="Consolas"/>
          <w:sz w:val="21"/>
          <w:shd w:val="clear" w:color="auto" w:fill="F0F0F0"/>
        </w:rPr>
        <w:t>F05030704057/58/62/63</w:t>
      </w:r>
      <w:r>
        <w:rPr>
          <w:b w:val="0"/>
          <w:sz w:val="22"/>
          <w:rFonts w:eastAsia="Microsoft JhengHei" w:ascii="Calibri" w:hAnsi="Calibri"/>
        </w:rPr>
        <w:t xml:space="preserve">）分別對應到各自的觸發腳本 </w:t>
      </w:r>
      <w:r>
        <w:rPr>
          <w:rFonts w:ascii="Consolas" w:hAnsi="Consolas" w:eastAsia="Consolas"/>
          <w:sz w:val="21"/>
          <w:shd w:val="clear" w:color="auto" w:fill="F0F0F0"/>
        </w:rPr>
        <w:t>X/Default/VCH/vch_F0503070406{57,58,62,63}.js</w:t>
      </w:r>
      <w:r>
        <w:rPr>
          <w:b w:val="0"/>
          <w:sz w:val="22"/>
          <w:rFonts w:eastAsia="Microsoft JhengHei" w:ascii="Calibri" w:hAnsi="Calibri"/>
        </w:rPr>
        <w:t>，這些腳本會依條件觸發具名的傳票樣板（</w:t>
      </w:r>
      <w:r>
        <w:rPr>
          <w:rFonts w:ascii="Consolas" w:hAnsi="Consolas" w:eastAsia="Consolas"/>
          <w:sz w:val="21"/>
          <w:shd w:val="clear" w:color="auto" w:fill="F0F0F0"/>
        </w:rPr>
        <w:t>X/Default/VCH/vch_RPFM_*.xml</w:t>
      </w:r>
      <w:r>
        <w:rPr>
          <w:b w:val="0"/>
          <w:sz w:val="22"/>
          <w:rFonts w:eastAsia="Microsoft JhengHei" w:ascii="Calibri" w:hAnsi="Calibri"/>
        </w:rPr>
        <w:t>）。這些樣板確實支援任意的借貸 GL 入帳（</w:t>
      </w:r>
      <w:r>
        <w:rPr>
          <w:rFonts w:ascii="Consolas" w:hAnsi="Consolas" w:eastAsia="Consolas"/>
          <w:sz w:val="21"/>
          <w:shd w:val="clear" w:color="auto" w:fill="F0F0F0"/>
        </w:rPr>
        <w:t>&lt;C_GL FV_TYPE="F"&gt;</w:t>
      </w:r>
      <w:r>
        <w:rPr>
          <w:b w:val="0"/>
          <w:sz w:val="22"/>
          <w:rFonts w:eastAsia="Microsoft JhengHei" w:ascii="Calibri" w:hAnsi="Calibri"/>
        </w:rPr>
        <w:t>，由畫面欄位驅動）——這才是 RPFM 實際的會計入帳管道，與 Payment Component 相互獨立、平行存在。</w:t>
      </w:r>
    </w:p>
    <w:p>
      <w:pPr>
        <w:spacing w:after="4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功能</w:t>
            </w:r>
          </w:p>
        </w:tc>
        <w:tc>
          <w:tcPr>
            <w:tcW w:type="dxa" w:w="4819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VCH 涵蓋情形</w:t>
            </w:r>
          </w:p>
        </w:tc>
        <w:tc>
          <w:tcPr>
            <w:tcW w:type="dxa" w:w="2608"/>
            <w:vAlign w:val="center"/>
          </w:tcPr>
          <w:p>
            <w:r>
              <w:rPr>
                <w:b/>
                <w:sz w:val="21"/>
                <w:rFonts w:eastAsia="Microsoft JhengHei" w:ascii="Calibri" w:hAnsi="Calibri"/>
              </w:rPr>
              <w:t>判定結果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Process Grantor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/>
                <w:sz w:val="18"/>
                <w:shd w:val="clear" w:color="auto" w:fill="F0F0F0"/>
              </w:rPr>
              <w:t>vch_F05030704057.js:3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觸發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RPFM_ReceivingParticipationFund.xml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：以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RECV_AMT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借記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RPFM_DR_AC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（Nostro，GL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12011101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，於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ProcessGrantor.js:194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設定）／貸記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RPFM_CR_AC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（負債，GL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23611301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，於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ProcessGrantor.js:184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設定）——與業務事件完全吻合。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  <w:rFonts w:eastAsia="Microsoft JhengHei" w:ascii="Calibri" w:hAnsi="Calibri"/>
              </w:rPr>
              <w:t>完整</w:t>
            </w:r>
            <w:r>
              <w:rPr>
                <w:b w:val="0"/>
                <w:sz w:val="19"/>
                <w:rFonts w:eastAsia="Microsoft JhengHei" w:ascii="Calibri" w:hAnsi="Calibri"/>
              </w:rPr>
              <w:t>，透過真實存在、非 Payment Component 的機制入帳。GAP 僅限於 Payment Component 範疇；資金目前確實有被追蹤。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Repay Grantor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/>
                <w:sz w:val="18"/>
                <w:shd w:val="clear" w:color="auto" w:fill="F0F0F0"/>
              </w:rPr>
              <w:t>vch_F05030704058.js:1-4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僅在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FUND_FLAG=="Unfunded" &amp;&amp; RISK_FLAG=="No"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時觸發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RPFM_CashCollateepay.xml</w:t>
            </w:r>
            <w:r>
              <w:rPr>
                <w:b w:val="0"/>
                <w:sz w:val="19"/>
                <w:rFonts w:eastAsia="Microsoft JhengHei" w:ascii="Calibri" w:hAnsi="Calibri"/>
              </w:rPr>
              <w:t>——屬於不相關的擔保品情境。針對第 2 節所述「已撥貸（Funded）／貸款還款」情境，並無任何樣板被觸發。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  <w:rFonts w:eastAsia="Microsoft JhengHei" w:ascii="Calibri" w:hAnsi="Calibri"/>
              </w:rPr>
              <w:t>疑似缺口。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上述兩筆業務事件，在已撥貸情境下似乎都沒有在任何地方入帳。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Process Participant</w:t>
            </w:r>
          </w:p>
        </w:tc>
        <w:tc>
          <w:tcPr>
            <w:tcW w:type="dxa" w:w="4819"/>
          </w:tcPr>
          <w:p>
            <w:r>
              <w:rPr>
                <w:rFonts w:ascii="Consolas" w:hAnsi="Consolas" w:eastAsia="Consolas"/>
                <w:sz w:val="18"/>
                <w:shd w:val="clear" w:color="auto" w:fill="F0F0F0"/>
              </w:rPr>
              <w:t>vch_F05030704062.js:1-6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僅登錄固定 GL 科目的表外或有負債備忘分錄（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73013102</w:t>
            </w:r>
            <w:r>
              <w:rPr>
                <w:b w:val="0"/>
                <w:sz w:val="19"/>
                <w:rFonts w:eastAsia="Microsoft JhengHei" w:ascii="Calibri" w:hAnsi="Calibri"/>
              </w:rPr>
              <w:t>／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93013102</w:t>
            </w:r>
            <w:r>
              <w:rPr>
                <w:b w:val="0"/>
                <w:sz w:val="19"/>
                <w:rFonts w:eastAsia="Microsoft JhengHei" w:ascii="Calibri" w:hAnsi="Calibri"/>
              </w:rPr>
              <w:t>）以及手續費傳票。沒有任何樣板登錄「借方 Suspense-or-Internal／貸方 Nostro」。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  <w:rFonts w:eastAsia="Microsoft JhengHei" w:ascii="Calibri" w:hAnsi="Calibri"/>
              </w:rPr>
              <w:t>疑似缺口。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Settle Participant</w:t>
            </w:r>
          </w:p>
        </w:tc>
        <w:tc>
          <w:tcPr>
            <w:tcW w:type="dxa" w:w="4819"/>
          </w:tcPr>
          <w:p>
            <w:r>
              <w:rPr>
                <w:b w:val="0"/>
                <w:sz w:val="19"/>
                <w:rFonts w:eastAsia="Microsoft JhengHei" w:ascii="Calibri" w:hAnsi="Calibri"/>
              </w:rPr>
              <w:t>會觸發手續費傳票，以及（僅限 Unfunded 情境）或有負債迴轉分錄。唯一可能承載本金／利息的樣板——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RPFM_FincSinglePayment.xml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（GL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15611401</w:t>
            </w:r>
            <w:r>
              <w:rPr>
                <w:b w:val="0"/>
                <w:sz w:val="19"/>
                <w:rFonts w:eastAsia="Microsoft JhengHei" w:ascii="Calibri" w:hAnsi="Calibri"/>
              </w:rPr>
              <w:t>／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16571401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）——在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vch_F05030704063.js:11-14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中已被註解停用，且即使重新啟用亦有格式錯誤（兩筆分錄均被誤標為 Credit，且 DO 參照 </w:t>
            </w:r>
            <w:r>
              <w:rPr>
                <w:rFonts w:ascii="Consolas" w:hAnsi="Consolas" w:eastAsia="Consolas"/>
                <w:sz w:val="18"/>
                <w:shd w:val="clear" w:color="auto" w:fill="F0F0F0"/>
              </w:rPr>
              <w:t>FincSinglePayment</w:t>
            </w:r>
            <w:r>
              <w:rPr>
                <w:b w:val="0"/>
                <w:sz w:val="19"/>
                <w:rFonts w:eastAsia="Microsoft JhengHei" w:ascii="Calibri" w:hAnsi="Calibri"/>
              </w:rPr>
              <w:t xml:space="preserve"> 亦有誤）。</w:t>
            </w:r>
          </w:p>
        </w:tc>
        <w:tc>
          <w:tcPr>
            <w:tcW w:type="dxa" w:w="2608"/>
          </w:tcPr>
          <w:p>
            <w:r>
              <w:rPr>
                <w:b/>
                <w:sz w:val="19"/>
                <w:rFonts w:eastAsia="Microsoft JhengHei" w:ascii="Calibri" w:hAnsi="Calibri"/>
              </w:rPr>
              <w:t>疑似缺口</w:t>
            </w:r>
            <w:r>
              <w:rPr>
                <w:b w:val="0"/>
                <w:sz w:val="19"/>
                <w:rFonts w:eastAsia="Microsoft JhengHei" w:ascii="Calibri" w:hAnsi="Calibri"/>
              </w:rPr>
              <w:t>，掛帳法與後付法兩種事件皆然。</w:t>
            </w:r>
          </w:p>
        </w:tc>
      </w:tr>
    </w:tbl>
    <w:p>
      <w:pPr>
        <w:spacing w:after="80"/>
      </w:pPr>
    </w:p>
    <w:p>
      <w:pPr>
        <w:pStyle w:val="Heading2"/>
      </w:pPr>
      <w:r>
        <w:t>5. 結論與建議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Process Grantor 就「資金是否被追蹤」的意義而言，其實並非缺口</w:t>
      </w:r>
      <w:r>
        <w:rPr>
          <w:b w:val="0"/>
          <w:sz w:val="22"/>
          <w:rFonts w:eastAsia="Microsoft JhengHei" w:ascii="Calibri" w:hAnsi="Calibri"/>
        </w:rPr>
        <w:t>——僅在「未使用 Payment Component」此一狹義層面上屬於缺口。其真實的入帳機制（VCH 自動產生）目前運作正常。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Repay Grantor、Process Participant 及 Settle Participant 在基礎系統（baseline）中似乎存在真正的會計入帳缺口</w:t>
      </w:r>
      <w:r>
        <w:rPr>
          <w:b w:val="0"/>
          <w:sz w:val="22"/>
          <w:rFonts w:eastAsia="Microsoft JhengHei" w:ascii="Calibri" w:hAnsi="Calibri"/>
        </w:rPr>
        <w:t>，且與 Payment Component 無關——就實務上（已撥貸）情境而言，第 2 節所述之業務事件，在原始碼中找不到任何機制將其入帳。</w:t>
      </w:r>
    </w:p>
    <w:p>
      <w:pPr>
        <w:pStyle w:val="ListBullet"/>
        <w:spacing w:after="120"/>
      </w:pPr>
      <w:r>
        <w:rPr>
          <w:b/>
          <w:sz w:val="22"/>
          <w:rFonts w:eastAsia="Microsoft JhengHei" w:ascii="Calibri" w:hAnsi="Calibri"/>
        </w:rPr>
        <w:t>若真要修正，正確的做法並非將這些功能串接至 Payment Component。</w:t>
      </w:r>
      <w:r>
        <w:rPr>
          <w:b w:val="0"/>
          <w:sz w:val="22"/>
          <w:rFonts w:eastAsia="Microsoft JhengHei" w:ascii="Calibri" w:hAnsi="Calibri"/>
        </w:rPr>
        <w:t xml:space="preserve"> Payment Component 並非 RPFM 真正的入帳管道——VCH 樣板才是，而 Process Grantor 已證明該機制確實可行。若強行疊加 Payment Component，只會產生第二條、重複的入帳路徑，而非真正完成入帳。真正的修正方式，應是比照 Process Grantor 的做法，補齊／修復 VCH 樣板（例如：取消註解並修正 </w:t>
      </w:r>
      <w:r>
        <w:rPr>
          <w:rFonts w:ascii="Consolas" w:hAnsi="Consolas" w:eastAsia="Consolas"/>
          <w:sz w:val="21"/>
          <w:shd w:val="clear" w:color="auto" w:fill="F0F0F0"/>
        </w:rPr>
        <w:t>RPFM_FincSinglePayment.xml</w:t>
      </w:r>
      <w:r>
        <w:rPr>
          <w:b w:val="0"/>
          <w:sz w:val="22"/>
          <w:rFonts w:eastAsia="Microsoft JhengHei" w:ascii="Calibri" w:hAnsi="Calibri"/>
        </w:rPr>
        <w:t>，並為 Repay Grantor 的已撥貸情境及 Process Participant 補上對應樣板）。</w:t>
      </w:r>
    </w:p>
    <w:p>
      <w:pPr>
        <w:pStyle w:val="ListBullet"/>
        <w:spacing w:after="120"/>
      </w:pPr>
      <w:r>
        <w:rPr>
          <w:b w:val="0"/>
          <w:sz w:val="22"/>
          <w:rFonts w:eastAsia="Microsoft JhengHei" w:ascii="Calibri" w:hAnsi="Calibri"/>
        </w:rPr>
        <w:t>然而，這屬於實際模組的核心總帳邏輯（GL 科目編號、金額、DO 參照），需經 RPFM 模組負責人核准，因此本文件刻意</w:t>
      </w:r>
      <w:r>
        <w:rPr>
          <w:b/>
          <w:sz w:val="22"/>
          <w:rFonts w:eastAsia="Microsoft JhengHei" w:ascii="Calibri" w:hAnsi="Calibri"/>
        </w:rPr>
        <w:t>不</w:t>
      </w:r>
      <w:r>
        <w:rPr>
          <w:b w:val="0"/>
          <w:sz w:val="22"/>
          <w:rFonts w:eastAsia="Microsoft JhengHei" w:ascii="Calibri" w:hAnsi="Calibri"/>
        </w:rPr>
        <w:t xml:space="preserve">在此實作。Business Case Simulator 將持續如實地將此 4 個功能標示為 GAP（僅提供分類預覽、不提供 Confirm 動作），此作法與 </w:t>
      </w:r>
      <w:r>
        <w:rPr>
          <w:rFonts w:ascii="Consolas" w:hAnsi="Consolas" w:eastAsia="Consolas"/>
          <w:sz w:val="21"/>
          <w:shd w:val="clear" w:color="auto" w:fill="F0F0F0"/>
        </w:rPr>
        <w:t>classifyPreview.ts</w:t>
      </w:r>
      <w:r>
        <w:rPr>
          <w:b w:val="0"/>
          <w:sz w:val="22"/>
          <w:rFonts w:eastAsia="Microsoft JhengHei" w:ascii="Calibri" w:hAnsi="Calibri"/>
        </w:rPr>
        <w:t xml:space="preserve"> 設計說明中所述「捏造傳票組裝路徑將是不誠實的模擬」的原則一致。</w:t>
      </w:r>
    </w:p>
    <w:p>
      <w:pPr>
        <w:pStyle w:val="Heading2"/>
      </w:pPr>
      <w:r>
        <w:t>相關文件</w:t>
      </w:r>
    </w:p>
    <w:p>
      <w:pPr>
        <w:pStyle w:val="ListBullet"/>
        <w:spacing w:after="120"/>
      </w:pPr>
      <w:r>
        <w:rPr>
          <w:rFonts w:ascii="Consolas" w:hAnsi="Consolas" w:eastAsia="Consolas"/>
          <w:sz w:val="21"/>
          <w:shd w:val="clear" w:color="auto" w:fill="F0F0F0"/>
        </w:rPr>
        <w:t>docs/analysis-guidelines.md</w:t>
      </w:r>
      <w:r>
        <w:rPr>
          <w:b w:val="0"/>
          <w:sz w:val="22"/>
          <w:rFonts w:eastAsia="Microsoft JhengHei" w:ascii="Calibri" w:hAnsi="Calibri"/>
        </w:rPr>
        <w:t xml:space="preserve"> →「Payment Component 判別規則」——第 2 節所採用的分類規則。</w:t>
      </w:r>
    </w:p>
    <w:p>
      <w:pPr>
        <w:pStyle w:val="ListBullet"/>
        <w:spacing w:after="120"/>
      </w:pPr>
      <w:r>
        <w:rPr>
          <w:rFonts w:ascii="Consolas" w:hAnsi="Consolas" w:eastAsia="Consolas"/>
          <w:sz w:val="21"/>
          <w:shd w:val="clear" w:color="auto" w:fill="F0F0F0"/>
        </w:rPr>
        <w:t>COMMON-PaymentComponent-Cross-Reference.md</w:t>
      </w:r>
      <w:r>
        <w:rPr>
          <w:b w:val="0"/>
          <w:sz w:val="22"/>
          <w:rFonts w:eastAsia="Microsoft JhengHei" w:ascii="Calibri" w:hAnsi="Calibri"/>
        </w:rPr>
        <w:t>——涵蓋 4 個已確認 PASS 模組（IPLC/EPLC/IMCO/EXCO）的姊妹文件。</w:t>
      </w:r>
    </w:p>
    <w:p>
      <w:pPr>
        <w:pStyle w:val="ListBullet"/>
        <w:spacing w:after="120"/>
      </w:pPr>
      <w:r>
        <w:rPr>
          <w:rFonts w:ascii="Consolas" w:hAnsi="Consolas" w:eastAsia="Consolas"/>
          <w:sz w:val="21"/>
          <w:shd w:val="clear" w:color="auto" w:fill="F0F0F0"/>
        </w:rPr>
        <w:t>PaymentComponent-Microservice-FSD-zh.docx</w:t>
      </w:r>
      <w:r>
        <w:rPr>
          <w:b w:val="0"/>
          <w:sz w:val="22"/>
          <w:rFonts w:eastAsia="Microsoft JhengHei" w:ascii="Calibri" w:hAnsi="Calibri"/>
        </w:rPr>
        <w:t xml:space="preserve"> §8.4.2——記載 RPFM 尚未被確認為 Payment Component API 的呼叫方。</w:t>
      </w:r>
    </w:p>
    <w:p>
      <w:pPr>
        <w:pStyle w:val="ListBullet"/>
        <w:spacing w:after="120"/>
      </w:pPr>
      <w:r>
        <w:rPr>
          <w:rFonts w:ascii="Consolas" w:hAnsi="Consolas" w:eastAsia="Consolas"/>
          <w:sz w:val="21"/>
          <w:shd w:val="clear" w:color="auto" w:fill="F0F0F0"/>
        </w:rPr>
        <w:t>microservices/payment-component/src/domain/classifyPreview.ts</w:t>
      </w:r>
      <w:r>
        <w:rPr>
          <w:b w:val="0"/>
          <w:sz w:val="22"/>
          <w:rFonts w:eastAsia="Microsoft JhengHei" w:ascii="Calibri" w:hAnsi="Calibri"/>
        </w:rPr>
        <w:t>——驅動模擬器中 4 個 RPFM 案例之「僅分類」預覽端點。</w:t>
      </w:r>
    </w:p>
    <w:p>
      <w:pPr>
        <w:pStyle w:val="ListBullet"/>
        <w:spacing w:after="120"/>
      </w:pPr>
      <w:r>
        <w:rPr>
          <w:rFonts w:ascii="Consolas" w:hAnsi="Consolas" w:eastAsia="Consolas"/>
          <w:sz w:val="21"/>
          <w:shd w:val="clear" w:color="auto" w:fill="F0F0F0"/>
        </w:rPr>
        <w:t>lc-payment-wc/src/app/payment-component/business-case-registry.ts</w:t>
      </w:r>
      <w:r>
        <w:rPr>
          <w:b w:val="0"/>
          <w:sz w:val="22"/>
          <w:rFonts w:eastAsia="Microsoft JhengHei" w:ascii="Calibri" w:hAnsi="Calibri"/>
        </w:rPr>
        <w:t>——模擬器中 RPFM 案例的定義，已於 2026-08-07 更新以反映本文件第 2、4 節之內容。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