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Trade Finance Balance Component</w:t>
      </w:r>
    </w:p>
    <w:p>
      <w:pPr>
        <w:spacing w:after="200"/>
      </w:pPr>
      <w:r>
        <w:rPr>
          <w:color w:val="444444"/>
          <w:sz w:val="24"/>
          <w:szCs w:val="24"/>
        </w:rPr>
        <w:t xml:space="preserve">BA Expert Review — Contingent Liability &amp; Off-Balance-Sheet Tracking, Import LC and Confirmed LC</w:t>
      </w:r>
    </w:p>
    <w:p>
      <w:pPr>
        <w:pBdr>
          <w:bottom w:val="single" w:color="1F3864" w:sz="8" w:space="6"/>
        </w:pBdr>
        <w:spacing w:after="40"/>
      </w:pPr>
      <w:r>
        <w:rPr>
          <w:sz w:val="4"/>
          <w:szCs w:val="4"/>
        </w:rPr>
        <w:t xml:space="preserve"/>
      </w:r>
    </w:p>
    <w:p>
      <w:pPr>
        <w:spacing w:after="20"/>
      </w:pPr>
      <w:r>
        <w:rPr>
          <w:i/>
          <w:iCs/>
          <w:color w:val="666666"/>
          <w:sz w:val="19"/>
          <w:szCs w:val="19"/>
        </w:rPr>
        <w:t xml:space="preserve">Reviewed by: BA Expert (Trade Finance) · Date: 25 August 2026</w:t>
      </w:r>
    </w:p>
    <w:p>
      <w:pPr>
        <w:spacing w:after="300"/>
      </w:pPr>
      <w:r>
        <w:rPr>
          <w:i/>
          <w:iCs/>
          <w:color w:val="666666"/>
          <w:sz w:val="19"/>
          <w:szCs w:val="19"/>
        </w:rPr>
        <w:t xml:space="preserve">Scope reviewed: microservices/balance-component (source, API spec, decision tables), the balance-component knowledge base, business-rule decisions, test-case proposals, and quality/regression reports supplied in the connected project folder.</w:t>
      </w:r>
    </w:p>
    <w:p>
      <w:pPr>
        <w:pStyle w:val="Heading1"/>
        <w:pBdr>
          <w:bottom w:val="single" w:color="1F3864" w:sz="6" w:space="4"/>
        </w:pBdr>
        <w:spacing w:after="160" w:before="360"/>
      </w:pPr>
      <w:r>
        <w:rPr>
          <w:b/>
          <w:bCs/>
          <w:color w:val="1F3864"/>
          <w:sz w:val="28"/>
          <w:szCs w:val="28"/>
        </w:rPr>
        <w:t xml:space="preserve">1. Executive Summary</w:t>
      </w:r>
    </w:p>
    <w:p>
      <w:pPr>
        <w:spacing w:after="160" w:line="276"/>
      </w:pPr>
      <w:r>
        <w:rPr>
          <w:sz w:val="21"/>
          <w:szCs w:val="21"/>
        </w:rPr>
        <w:t xml:space="preserve">This is a well-bounded, correctly-scoped component for its stated purpose — tracking contingent liability and off-balance-sheet exposure for Import LC and Confirmed Export LC — built with an unusually strong level of documentation and self-review discipline for this stage of a project. The team's own quality report already rates it a "conditional pass," not production-ready, and I agree with that assessment.</w:t>
      </w:r>
    </w:p>
    <w:p>
      <w:pPr>
        <w:spacing w:after="160" w:line="276"/>
      </w:pPr>
      <w:r>
        <w:rPr>
          <w:sz w:val="21"/>
          <w:szCs w:val="21"/>
        </w:rPr>
        <w:t xml:space="preserve">From a business-analysis and accounting-correctness standpoint, two findings matter more than the rest and should be resolved before further build-out continues: the absence of any expiry / UCP 600 Art. 16(f) auto-release mechanism (F1), and a direct, self-documented contradiction between the decision tables and the taxonomy spec over whether Acceptances and DPUs sit on-balance-sheet or as a shadow memo (F2). Both are addressed in detail below. Everything else identified is either already correctly scoped out of the component, already flagged and gated by the engineering team, or a lower-severity maintainability item.</w:t>
      </w:r>
    </w:p>
    <w:p>
      <w:pPr>
        <w:spacing w:after="160" w:line="276"/>
      </w:pPr>
      <w:r>
        <w:rPr>
          <w:sz w:val="21"/>
          <w:szCs w:val="21"/>
        </w:rPr>
        <w:t xml:space="preserve">Sixteen findings are recorded: 4 High, 8 Medium, 4 Low. None are novel discoveries in the sense of catching the team unaware — the majority are already present in some form in the project's own open-issues register — but several (F2 and F3 especially) are BA-owned decisions that remain open and should not be allowed to default silently.</w:t>
      </w:r>
    </w:p>
    <w:p>
      <w:pPr>
        <w:pStyle w:val="Heading1"/>
        <w:pBdr>
          <w:bottom w:val="single" w:color="1F3864" w:sz="6" w:space="4"/>
        </w:pBdr>
        <w:spacing w:after="160" w:before="360"/>
      </w:pPr>
      <w:r>
        <w:rPr>
          <w:b/>
          <w:bCs/>
          <w:color w:val="1F3864"/>
          <w:sz w:val="28"/>
          <w:szCs w:val="28"/>
        </w:rPr>
        <w:t xml:space="preserve">2. Scope &amp; Boundary Assessment</w:t>
      </w:r>
    </w:p>
    <w:p>
      <w:pPr>
        <w:spacing w:after="160" w:line="276"/>
      </w:pPr>
      <w:r>
        <w:rPr>
          <w:sz w:val="21"/>
          <w:szCs w:val="21"/>
        </w:rPr>
        <w:t xml:space="preserve">The stated boundary — "a microservice for tracking Contingent Liability and off-balance-sheet liability for Import LC and Confirmed LC" — is met precisely. The codebase is a single deployable service (microservices/balance-component), cleanly layered into service, domain and store modules, exposing a generic, instrument-agnostic REST API (13 endpoints under /balance-contracts and /balance-movements) that 16 named business functions reuse without the service itself knowing which function called it.</w:t>
      </w:r>
    </w:p>
    <w:p>
      <w:pPr>
        <w:spacing w:after="160" w:line="276"/>
      </w:pPr>
      <w:r>
        <w:rPr>
          <w:sz w:val="21"/>
          <w:szCs w:val="21"/>
        </w:rPr>
        <w:t xml:space="preserve">The OpenAPI specification states its own out-of-scope list explicitly: actual funded/discounted exposure (IBL/EBL, the Loan Component's domain, fronting an external eLoan system), interest/accrual calculation (also Loan Component), and GL account mapping (this component only carries caller-supplied accountEntries through to a downstream accounting component, never interpreting them). No customer/CIF master data is modeled at all; natural keys are limited to lcNumber / ibNumber / sgNumber. A reserved InstrumentType for plain (unconfirmed) Export LC exists in the schema but is explicitly disclosed as dead — no function ever creates one — so it is not scope creep in practice.</w:t>
      </w:r>
    </w:p>
    <w:p>
      <w:pPr>
        <w:spacing w:after="160" w:line="276"/>
      </w:pPr>
      <w:r>
        <w:rPr>
          <w:sz w:val="21"/>
          <w:szCs w:val="21"/>
        </w:rPr>
        <w:t xml:space="preserve">The only structural note worth flagging is that the exposure-graph relationship that matters most for correctness — the link from an LC to its linked Shipping Guarantee and Acceptance — is application-layer only, with no database foreign key behind it (see F8). The boundary of what the component is responsible for is right; the boundary of what the schema enforces is slightly looser than the boundary of what the business rules assume.</w:t>
      </w:r>
    </w:p>
    <w:p>
      <w:pPr>
        <w:pStyle w:val="Heading1"/>
        <w:pBdr>
          <w:bottom w:val="single" w:color="1F3864" w:sz="6" w:space="4"/>
        </w:pBdr>
        <w:spacing w:after="160" w:before="360"/>
      </w:pPr>
      <w:r>
        <w:rPr>
          <w:b/>
          <w:bCs/>
          <w:color w:val="1F3864"/>
          <w:sz w:val="28"/>
          <w:szCs w:val="28"/>
        </w:rPr>
        <w:t xml:space="preserve">3. Strengths</w:t>
      </w:r>
    </w:p>
    <w:p>
      <w:pPr>
        <w:pStyle w:val="ListParagraph"/>
        <w:numPr>
          <w:ilvl w:val="0"/>
          <w:numId w:val="2"/>
        </w:numPr>
        <w:spacing w:after="100" w:line="270"/>
      </w:pPr>
      <w:r>
        <w:rPr>
          <w:sz w:val="21"/>
          <w:szCs w:val="21"/>
        </w:rPr>
        <w:t xml:space="preserve">Scope matches the mandate precisely: the component covers Import LC (functions A1–A10) and Confirmed Export LC (EPLC_CONFIRMATION, functions B1–B6) only. GL posting, funded/discounted exposure and interest/accrual (all explicitly assigned to a separate Loan Component), and any CIF/customer master data are correctly and explicitly excluded — confirmed both in the OpenAPI spec's own scope statement and by the absence of any such logic in the code.</w:t>
      </w:r>
    </w:p>
    <w:p>
      <w:pPr>
        <w:pStyle w:val="ListParagraph"/>
        <w:numPr>
          <w:ilvl w:val="0"/>
          <w:numId w:val="2"/>
        </w:numPr>
        <w:spacing w:after="100" w:line="270"/>
      </w:pPr>
      <w:r>
        <w:rPr>
          <w:sz w:val="21"/>
          <w:szCs w:val="21"/>
        </w:rPr>
        <w:t xml:space="preserve">LC + SG exposure is correctly netted, not summed — offBalanceExposure.ts reduces available balance rather than adding SG exposure on top of LC exposure, so no double counting occurs on that path today.</w:t>
      </w:r>
    </w:p>
    <w:p>
      <w:pPr>
        <w:pStyle w:val="ListParagraph"/>
        <w:numPr>
          <w:ilvl w:val="0"/>
          <w:numId w:val="2"/>
        </w:numPr>
        <w:spacing w:after="100" w:line="270"/>
      </w:pPr>
      <w:r>
        <w:rPr>
          <w:sz w:val="21"/>
          <w:szCs w:val="21"/>
        </w:rPr>
        <w:t xml:space="preserve">The sequential exposure transform (LC → Acceptance at UTILIZE, SG → LC at document match) is implemented as a genuine subtract-then-add transform and is self-documented as such — a correct application of "exposure transforms, it does not accumulate."</w:t>
      </w:r>
    </w:p>
    <w:p>
      <w:pPr>
        <w:pStyle w:val="ListParagraph"/>
        <w:numPr>
          <w:ilvl w:val="0"/>
          <w:numId w:val="2"/>
        </w:numPr>
        <w:spacing w:after="100" w:line="270"/>
      </w:pPr>
      <w:r>
        <w:rPr>
          <w:sz w:val="21"/>
          <w:szCs w:val="21"/>
        </w:rPr>
        <w:t xml:space="preserve">The ledger itself is a clean, append-only design: every balance is derived at query time from movement history rather than cached, with a DB-enforced single-active-version constraint and a real (balanceContractId, eventSeq) idempotency key. Money is stored as decimal text, avoiding floating-point rounding risk.</w:t>
      </w:r>
    </w:p>
    <w:p>
      <w:pPr>
        <w:pStyle w:val="ListParagraph"/>
        <w:numPr>
          <w:ilvl w:val="0"/>
          <w:numId w:val="2"/>
        </w:numPr>
        <w:spacing w:after="100" w:line="270"/>
      </w:pPr>
      <w:r>
        <w:rPr>
          <w:sz w:val="21"/>
          <w:szCs w:val="21"/>
        </w:rPr>
        <w:t xml:space="preserve">Maker-checker is real and broadly enforced, including on the Close and SG-redemption functions, with same-user release explicitly rejected — not just a UI-level control.</w:t>
      </w:r>
    </w:p>
    <w:p>
      <w:pPr>
        <w:pStyle w:val="ListParagraph"/>
        <w:numPr>
          <w:ilvl w:val="0"/>
          <w:numId w:val="2"/>
        </w:numPr>
        <w:spacing w:after="100" w:line="270"/>
      </w:pPr>
      <w:r>
        <w:rPr>
          <w:sz w:val="21"/>
          <w:szCs w:val="21"/>
        </w:rPr>
        <w:t xml:space="preserve">Unusually mature self-review discipline for this stage of a project: a documented OOD/SOLID design critique with most High/Medium findings tracked to resolution; a live, end-to-end business-case test registry that grew from 14 to 23 cases run against the actual running stack (not mocks); a passing SonarQube quality gate (0 bugs, 0 vulnerabilities, ~98% coverage); and a 703-note bilingual knowledge base with its own quality scoring and a maintained, 79-item open-conflicts register.</w:t>
      </w:r>
    </w:p>
    <w:p>
      <w:pPr>
        <w:pStyle w:val="ListParagraph"/>
        <w:numPr>
          <w:ilvl w:val="0"/>
          <w:numId w:val="2"/>
        </w:numPr>
        <w:spacing w:after="100" w:line="270"/>
      </w:pPr>
      <w:r>
        <w:rPr>
          <w:sz w:val="21"/>
          <w:szCs w:val="21"/>
        </w:rPr>
        <w:t xml:space="preserve">Known production blockers (no authentication, Angular CVEs, SQLite whole-file locking) are explicit, named, and gated — the team has not silently shipped around them.</w:t>
      </w:r>
    </w:p>
    <w:p>
      <w:pPr>
        <w:pStyle w:val="Heading1"/>
        <w:pBdr>
          <w:bottom w:val="single" w:color="1F3864" w:sz="6" w:space="4"/>
        </w:pBdr>
        <w:spacing w:after="160" w:before="360"/>
      </w:pPr>
      <w:r>
        <w:rPr>
          <w:b/>
          <w:bCs/>
          <w:color w:val="1F3864"/>
          <w:sz w:val="28"/>
          <w:szCs w:val="28"/>
        </w:rPr>
        <w:t xml:space="preserve">4. Findings</w:t>
      </w:r>
    </w:p>
    <w:p>
      <w:pPr>
        <w:spacing w:after="160" w:line="276"/>
      </w:pPr>
      <w:r>
        <w:rPr>
          <w:sz w:val="21"/>
          <w:szCs w:val="21"/>
        </w:rPr>
        <w:t xml:space="preserve">Ordered by severity. Each finding cites the evidence found in the project's own documentation or source, the business impact, and a recommendation.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864" w:val="clear"/>
            <w:tcMar>
              <w:top w:type="dxa" w:w="80"/>
              <w:left w:type="dxa" w:w="100"/>
              <w:bottom w:type="dxa" w:w="80"/>
              <w:right w:type="dxa" w:w="100"/>
            </w:tcMar>
            <w:vAlign w:val="top"/>
          </w:tcPr>
          <w:p>
            <w:r>
              <w:rPr>
                <w:b/>
                <w:bCs/>
                <w:color w:val="FFFFFF"/>
                <w:sz w:val="19"/>
                <w:szCs w:val="19"/>
              </w:rPr>
              <w:t xml:space="preserve">Sev / ID</w:t>
            </w:r>
          </w:p>
        </w:tc>
        <w:tc>
          <w:tcPr>
            <w:tcW w:type="dxa" w:w="2600"/>
            <w:shd w:fill="1F3864" w:val="clear"/>
            <w:tcMar>
              <w:top w:type="dxa" w:w="80"/>
              <w:left w:type="dxa" w:w="100"/>
              <w:bottom w:type="dxa" w:w="80"/>
              <w:right w:type="dxa" w:w="100"/>
            </w:tcMar>
            <w:vAlign w:val="top"/>
          </w:tcPr>
          <w:p>
            <w:r>
              <w:rPr>
                <w:b/>
                <w:bCs/>
                <w:color w:val="FFFFFF"/>
                <w:sz w:val="19"/>
                <w:szCs w:val="19"/>
              </w:rPr>
              <w:t xml:space="preserve">Finding</w:t>
            </w:r>
          </w:p>
        </w:tc>
        <w:tc>
          <w:tcPr>
            <w:tcW w:type="dxa" w:w="3200"/>
            <w:shd w:fill="1F3864" w:val="clear"/>
            <w:tcMar>
              <w:top w:type="dxa" w:w="80"/>
              <w:left w:type="dxa" w:w="100"/>
              <w:bottom w:type="dxa" w:w="80"/>
              <w:right w:type="dxa" w:w="100"/>
            </w:tcMar>
            <w:vAlign w:val="top"/>
          </w:tcPr>
          <w:p>
            <w:r>
              <w:rPr>
                <w:b/>
                <w:bCs/>
                <w:color w:val="FFFFFF"/>
                <w:sz w:val="19"/>
                <w:szCs w:val="19"/>
              </w:rPr>
              <w:t xml:space="preserve">Evidence &amp; impact</w:t>
            </w:r>
          </w:p>
        </w:tc>
        <w:tc>
          <w:tcPr>
            <w:tcW w:type="dxa" w:w="2900"/>
            <w:shd w:fill="1F3864" w:val="clear"/>
            <w:tcMar>
              <w:top w:type="dxa" w:w="80"/>
              <w:left w:type="dxa" w:w="100"/>
              <w:bottom w:type="dxa" w:w="80"/>
              <w:right w:type="dxa" w:w="100"/>
            </w:tcMar>
            <w:vAlign w:val="top"/>
          </w:tcPr>
          <w:p>
            <w:r>
              <w:rPr>
                <w:b/>
                <w:bCs/>
                <w:color w:val="FFFFFF"/>
                <w:sz w:val="19"/>
                <w:szCs w:val="19"/>
              </w:rPr>
              <w:t xml:space="preserve">Recommendation</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F1</w:t>
            </w:r>
          </w:p>
        </w:tc>
        <w:tc>
          <w:tcPr>
            <w:tcW w:type="dxa" w:w="2600"/>
            <w:tcMar>
              <w:top w:type="dxa" w:w="80"/>
              <w:left w:type="dxa" w:w="100"/>
              <w:bottom w:type="dxa" w:w="80"/>
              <w:right w:type="dxa" w:w="100"/>
            </w:tcMar>
            <w:vAlign w:val="top"/>
          </w:tcPr>
          <w:p>
            <w:pPr>
              <w:spacing w:line="260"/>
            </w:pPr>
            <w:r>
              <w:rPr>
                <w:b/>
                <w:bCs/>
                <w:sz w:val="18"/>
                <w:szCs w:val="18"/>
              </w:rPr>
              <w:t xml:space="preserve">No expiry / UCP 600 Art. 16(f) auto-release trigger</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GAP-005/GAP-006 — source-level check found no timer/cron job and no Art.16(f) preclusion logic anywhere; only a single CLOSE movement type, driven exclusively by manual Maker/Checker action.</w:t>
            </w:r>
          </w:p>
          <w:p>
            <w:pPr>
              <w:spacing w:line="250"/>
            </w:pPr>
            <w:r>
              <w:rPr>
                <w:i/>
                <w:iCs/>
                <w:color w:val="555555"/>
                <w:sz w:val="17"/>
                <w:szCs w:val="17"/>
              </w:rPr>
              <w:t xml:space="preserve">A contingent liability that is never legally released stays on the off-balance-sheet book indefinitely unless someone remembers to close it manually. This is precisely the "commonest cause of an overstated off-BS book" pattern, and it also blurs voluntary closure together with date-triggered expiry, which are legally different events.</w:t>
            </w:r>
          </w:p>
        </w:tc>
        <w:tc>
          <w:tcPr>
            <w:tcW w:type="dxa" w:w="2900"/>
            <w:tcMar>
              <w:top w:type="dxa" w:w="80"/>
              <w:left w:type="dxa" w:w="100"/>
              <w:bottom w:type="dxa" w:w="80"/>
              <w:right w:type="dxa" w:w="100"/>
            </w:tcMar>
            <w:vAlign w:val="top"/>
          </w:tcPr>
          <w:p>
            <w:pPr>
              <w:spacing w:line="260"/>
            </w:pPr>
            <w:r>
              <w:rPr>
                <w:sz w:val="18"/>
                <w:szCs w:val="18"/>
              </w:rPr>
              <w:t xml:space="preserve">Add a distinct EXPIRE movement type, self-triggered at expiry_date + mail_float_grace (never a flat +21 days), independent of the manual CLOSE path, before this ledger is relied on for real contingent-liability reporting.</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F2</w:t>
            </w:r>
          </w:p>
        </w:tc>
        <w:tc>
          <w:tcPr>
            <w:tcW w:type="dxa" w:w="2600"/>
            <w:tcMar>
              <w:top w:type="dxa" w:w="80"/>
              <w:left w:type="dxa" w:w="100"/>
              <w:bottom w:type="dxa" w:w="80"/>
              <w:right w:type="dxa" w:w="100"/>
            </w:tcMar>
            <w:vAlign w:val="top"/>
          </w:tcPr>
          <w:p>
            <w:pPr>
              <w:spacing w:line="260"/>
            </w:pPr>
            <w:r>
              <w:rPr>
                <w:b/>
                <w:bCs/>
                <w:sz w:val="18"/>
                <w:szCs w:val="18"/>
              </w:rPr>
              <w:t xml:space="preserve">Acceptance / DPU shown as shadow-memo, contradicting the taxonomy spec</w:t>
            </w:r>
          </w:p>
        </w:tc>
        <w:tc>
          <w:tcPr>
            <w:tcW w:type="dxa" w:w="3200"/>
            <w:tcMar>
              <w:top w:type="dxa" w:w="80"/>
              <w:left w:type="dxa" w:w="100"/>
              <w:bottom w:type="dxa" w:w="80"/>
              <w:right w:type="dxa" w:w="100"/>
            </w:tcMar>
            <w:vAlign w:val="top"/>
          </w:tcPr>
          <w:p>
            <w:pPr>
              <w:spacing w:after="60" w:line="250"/>
            </w:pPr>
            <w:r>
              <w:rPr>
                <w:sz w:val="17"/>
                <w:szCs w:val="17"/>
              </w:rPr>
              <w:t xml:space="preserve">11-Decision-Tables Folio 3 and Folio 5 label every Acceptance/DPU GL effect "shadow memo only," while the design workbook's own balance-taxonomy classifies ACCEPTANCE_DPU_OUTSTANDING as ON_BALANCE_LIABILITY. Neither rule set has a corresponding test citation in the traceability matrix.</w:t>
            </w:r>
          </w:p>
          <w:p>
            <w:pPr>
              <w:spacing w:line="250"/>
            </w:pPr>
            <w:r>
              <w:rPr>
                <w:i/>
                <w:iCs/>
                <w:color w:val="555555"/>
                <w:sz w:val="17"/>
                <w:szCs w:val="17"/>
              </w:rPr>
              <w:t xml:space="preserve">Acceptances and incurred DPUs are a present, unconditional obligation under IAS 32.11 / IFRS 9 3.1.1 and must sit on-balance-sheet, gross both sides. If the shadow-memo version is what actually gets built, the liability is understated exactly where accounting standards are strictest.</w:t>
            </w:r>
          </w:p>
        </w:tc>
        <w:tc>
          <w:tcPr>
            <w:tcW w:type="dxa" w:w="2900"/>
            <w:tcMar>
              <w:top w:type="dxa" w:w="80"/>
              <w:left w:type="dxa" w:w="100"/>
              <w:bottom w:type="dxa" w:w="80"/>
              <w:right w:type="dxa" w:w="100"/>
            </w:tcMar>
            <w:vAlign w:val="top"/>
          </w:tcPr>
          <w:p>
            <w:pPr>
              <w:spacing w:line="260"/>
            </w:pPr>
            <w:r>
              <w:rPr>
                <w:sz w:val="18"/>
                <w:szCs w:val="18"/>
              </w:rPr>
              <w:t xml:space="preserve">This is a contradiction inside the specification itself, not a coding bug — resolve which document is authoritative with explicit accounting sign-off, then add the missing test coverage on whichever path is confirmed.</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F3</w:t>
            </w:r>
          </w:p>
        </w:tc>
        <w:tc>
          <w:tcPr>
            <w:tcW w:type="dxa" w:w="2600"/>
            <w:tcMar>
              <w:top w:type="dxa" w:w="80"/>
              <w:left w:type="dxa" w:w="100"/>
              <w:bottom w:type="dxa" w:w="80"/>
              <w:right w:type="dxa" w:w="100"/>
            </w:tcMar>
            <w:vAlign w:val="top"/>
          </w:tcPr>
          <w:p>
            <w:pPr>
              <w:spacing w:line="260"/>
            </w:pPr>
            <w:r>
              <w:rPr>
                <w:b/>
                <w:bCs/>
                <w:sz w:val="18"/>
                <w:szCs w:val="18"/>
              </w:rPr>
              <w:t xml:space="preserve">Export Buyer's Usance still not rejected or normalized</w:t>
            </w:r>
          </w:p>
        </w:tc>
        <w:tc>
          <w:tcPr>
            <w:tcW w:type="dxa" w:w="3200"/>
            <w:tcMar>
              <w:top w:type="dxa" w:w="80"/>
              <w:left w:type="dxa" w:w="100"/>
              <w:bottom w:type="dxa" w:w="80"/>
              <w:right w:type="dxa" w:w="100"/>
            </w:tcMar>
            <w:vAlign w:val="top"/>
          </w:tcPr>
          <w:p>
            <w:pPr>
              <w:spacing w:after="60" w:line="250"/>
            </w:pPr>
            <w:r>
              <w:rPr>
                <w:sz w:val="17"/>
                <w:szCs w:val="17"/>
              </w:rPr>
              <w:t xml:space="preserve">Business-Rule-Decisions memo (2026-08-21), Action Item 3, still marked not done in the 2026-08-24 addendum. The TenorType enum carries no undertakingAvailability / financingStructure / fundingParty / availableWith / bankRole fields, and a code comment states Sellers'- and Buyers'-Usance "drive identical Balance mechanics."</w:t>
            </w:r>
          </w:p>
          <w:p>
            <w:pPr>
              <w:spacing w:line="250"/>
            </w:pPr>
            <w:r>
              <w:rPr>
                <w:i/>
                <w:iCs/>
                <w:color w:val="555555"/>
                <w:sz w:val="17"/>
                <w:szCs w:val="17"/>
              </w:rPr>
              <w:t xml:space="preserve">Accounting is being routed off tenorType alone, which is exactly the pattern that hides the BU-B (REFINANCING_BANK) interbank leg behind what looks like an ordinary BU-A (self-funded) usance.</w:t>
            </w:r>
          </w:p>
        </w:tc>
        <w:tc>
          <w:tcPr>
            <w:tcW w:type="dxa" w:w="2900"/>
            <w:tcMar>
              <w:top w:type="dxa" w:w="80"/>
              <w:left w:type="dxa" w:w="100"/>
              <w:bottom w:type="dxa" w:w="80"/>
              <w:right w:type="dxa" w:w="100"/>
            </w:tcMar>
            <w:vAlign w:val="top"/>
          </w:tcPr>
          <w:p>
            <w:pPr>
              <w:spacing w:line="260"/>
            </w:pPr>
            <w:r>
              <w:rPr>
                <w:sz w:val="18"/>
                <w:szCs w:val="18"/>
              </w:rPr>
              <w:t xml:space="preserve">Close this out — either implement the reject/normalize rule the BA decision called for, or formally document a scope change. It is currently an open action item owned by the business side, not engineering.</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F4</w:t>
            </w:r>
          </w:p>
        </w:tc>
        <w:tc>
          <w:tcPr>
            <w:tcW w:type="dxa" w:w="2600"/>
            <w:tcMar>
              <w:top w:type="dxa" w:w="80"/>
              <w:left w:type="dxa" w:w="100"/>
              <w:bottom w:type="dxa" w:w="80"/>
              <w:right w:type="dxa" w:w="100"/>
            </w:tcMar>
            <w:vAlign w:val="top"/>
          </w:tcPr>
          <w:p>
            <w:pPr>
              <w:spacing w:line="260"/>
            </w:pPr>
            <w:r>
              <w:rPr>
                <w:b/>
                <w:bCs/>
                <w:sz w:val="18"/>
                <w:szCs w:val="18"/>
              </w:rPr>
              <w:t xml:space="preserve">No production-grade authentication or authorization</w:t>
            </w:r>
          </w:p>
        </w:tc>
        <w:tc>
          <w:tcPr>
            <w:tcW w:type="dxa" w:w="3200"/>
            <w:tcMar>
              <w:top w:type="dxa" w:w="80"/>
              <w:left w:type="dxa" w:w="100"/>
              <w:bottom w:type="dxa" w:w="80"/>
              <w:right w:type="dxa" w:w="100"/>
            </w:tcMar>
            <w:vAlign w:val="top"/>
          </w:tcPr>
          <w:p>
            <w:pPr>
              <w:spacing w:after="60" w:line="250"/>
            </w:pPr>
            <w:r>
              <w:rPr>
                <w:sz w:val="17"/>
                <w:szCs w:val="17"/>
              </w:rPr>
              <w:t xml:space="preserve">Tracked by engineering as BAL-001 (blocker). createdBy / releasedBy / checkerId are client-supplied free text and are trusted as-is; maker/checker identity is currently demo values.</w:t>
            </w:r>
          </w:p>
          <w:p>
            <w:pPr>
              <w:spacing w:line="250"/>
            </w:pPr>
            <w:r>
              <w:rPr>
                <w:i/>
                <w:iCs/>
                <w:color w:val="555555"/>
                <w:sz w:val="17"/>
                <w:szCs w:val="17"/>
              </w:rPr>
              <w:t xml:space="preserve">Every entry in the audit trail — who submitted, who released — is currently unverifiable. This alone should block any pilot involving real counterparties or amounts.</w:t>
            </w:r>
          </w:p>
        </w:tc>
        <w:tc>
          <w:tcPr>
            <w:tcW w:type="dxa" w:w="2900"/>
            <w:tcMar>
              <w:top w:type="dxa" w:w="80"/>
              <w:left w:type="dxa" w:w="100"/>
              <w:bottom w:type="dxa" w:w="80"/>
              <w:right w:type="dxa" w:w="100"/>
            </w:tcMar>
            <w:vAlign w:val="top"/>
          </w:tcPr>
          <w:p>
            <w:pPr>
              <w:spacing w:line="260"/>
            </w:pPr>
            <w:r>
              <w:rPr>
                <w:sz w:val="18"/>
                <w:szCs w:val="18"/>
              </w:rPr>
              <w:t xml:space="preserve">Confirm this is on the critical path before go-live planning; not a BA-domain fix, but a hard sign-off gate.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F5</w:t>
            </w:r>
          </w:p>
        </w:tc>
        <w:tc>
          <w:tcPr>
            <w:tcW w:type="dxa" w:w="2600"/>
            <w:tcMar>
              <w:top w:type="dxa" w:w="80"/>
              <w:left w:type="dxa" w:w="100"/>
              <w:bottom w:type="dxa" w:w="80"/>
              <w:right w:type="dxa" w:w="100"/>
            </w:tcMar>
            <w:vAlign w:val="top"/>
          </w:tcPr>
          <w:p>
            <w:pPr>
              <w:spacing w:line="260"/>
            </w:pPr>
            <w:r>
              <w:rPr>
                <w:b/>
                <w:bCs/>
                <w:sz w:val="18"/>
                <w:szCs w:val="18"/>
              </w:rPr>
              <w:t xml:space="preserve">No beneficiary-consent gate before AMEND_DECREASE</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GAP-004 — a Checker can release an amount decrease with zero consent evidence captured.</w:t>
            </w:r>
          </w:p>
          <w:p>
            <w:pPr>
              <w:spacing w:line="250"/>
            </w:pPr>
            <w:r>
              <w:rPr>
                <w:i/>
                <w:iCs/>
                <w:color w:val="555555"/>
                <w:sz w:val="17"/>
                <w:szCs w:val="17"/>
              </w:rPr>
              <w:t xml:space="preserve">UCP 600 Art. 10(a)/(c) requires beneficiary consent to a decrease; without a captured reference, the ledger cannot demonstrate that consent existed if challenged.</w:t>
            </w:r>
          </w:p>
        </w:tc>
        <w:tc>
          <w:tcPr>
            <w:tcW w:type="dxa" w:w="2900"/>
            <w:tcMar>
              <w:top w:type="dxa" w:w="80"/>
              <w:left w:type="dxa" w:w="100"/>
              <w:bottom w:type="dxa" w:w="80"/>
              <w:right w:type="dxa" w:w="100"/>
            </w:tcMar>
            <w:vAlign w:val="top"/>
          </w:tcPr>
          <w:p>
            <w:pPr>
              <w:spacing w:line="260"/>
            </w:pPr>
            <w:r>
              <w:rPr>
                <w:sz w:val="18"/>
                <w:szCs w:val="18"/>
              </w:rPr>
              <w:t xml:space="preserve">Add a consent-reference or waiver-capture field as a precondition to releasing AMEND_DECREASE.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F6</w:t>
            </w:r>
          </w:p>
        </w:tc>
        <w:tc>
          <w:tcPr>
            <w:tcW w:type="dxa" w:w="2600"/>
            <w:tcMar>
              <w:top w:type="dxa" w:w="80"/>
              <w:left w:type="dxa" w:w="100"/>
              <w:bottom w:type="dxa" w:w="80"/>
              <w:right w:type="dxa" w:w="100"/>
            </w:tcMar>
            <w:vAlign w:val="top"/>
          </w:tcPr>
          <w:p>
            <w:pPr>
              <w:spacing w:line="260"/>
            </w:pPr>
            <w:r>
              <w:rPr>
                <w:b/>
                <w:bCs/>
                <w:sz w:val="18"/>
                <w:szCs w:val="18"/>
              </w:rPr>
              <w:t xml:space="preserve">Shipping Guarantee compound-leg redemption still uses MIN(Document, SG)</w:t>
            </w:r>
          </w:p>
        </w:tc>
        <w:tc>
          <w:tcPr>
            <w:tcW w:type="dxa" w:w="3200"/>
            <w:tcMar>
              <w:top w:type="dxa" w:w="80"/>
              <w:left w:type="dxa" w:w="100"/>
              <w:bottom w:type="dxa" w:w="80"/>
              <w:right w:type="dxa" w:w="100"/>
            </w:tcMar>
            <w:vAlign w:val="top"/>
          </w:tcPr>
          <w:p>
            <w:pPr>
              <w:spacing w:after="60" w:line="250"/>
            </w:pPr>
            <w:r>
              <w:rPr>
                <w:sz w:val="17"/>
                <w:szCs w:val="17"/>
              </w:rPr>
              <w:t xml:space="preserve">The standalone SG path (A9) was fixed to full, instrument-based redemption; the document-matched compound path (A3S) still computes sgRedeemAmount = MIN(Document Amount, SG Outstanding), framed in the Business-Rule-Decisions memo as a narrow, BA-approved exception.</w:t>
            </w:r>
          </w:p>
          <w:p>
            <w:pPr>
              <w:spacing w:line="250"/>
            </w:pPr>
            <w:r>
              <w:rPr>
                <w:i/>
                <w:iCs/>
                <w:color w:val="555555"/>
                <w:sz w:val="17"/>
                <w:szCs w:val="17"/>
              </w:rPr>
              <w:t xml:space="preserve">SG discharge should be instrument-triggered (the carrier returning the original SG, a written release, or B/L surrender), never amount-derived — MIN() leaves an unclearable residual whenever the LC carries the usual ~110% SG uplift.</w:t>
            </w:r>
          </w:p>
        </w:tc>
        <w:tc>
          <w:tcPr>
            <w:tcW w:type="dxa" w:w="2900"/>
            <w:tcMar>
              <w:top w:type="dxa" w:w="80"/>
              <w:left w:type="dxa" w:w="100"/>
              <w:bottom w:type="dxa" w:w="80"/>
              <w:right w:type="dxa" w:w="100"/>
            </w:tcMar>
            <w:vAlign w:val="top"/>
          </w:tcPr>
          <w:p>
            <w:pPr>
              <w:spacing w:line="260"/>
            </w:pPr>
            <w:r>
              <w:rPr>
                <w:sz w:val="18"/>
                <w:szCs w:val="18"/>
              </w:rPr>
              <w:t xml:space="preserve">Revisit once a genuine "carrier release" event source exists for the compound path; until then, document the residual-balance risk explicitly rather than leaving it implicit.</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F7</w:t>
            </w:r>
          </w:p>
        </w:tc>
        <w:tc>
          <w:tcPr>
            <w:tcW w:type="dxa" w:w="2600"/>
            <w:tcMar>
              <w:top w:type="dxa" w:w="80"/>
              <w:left w:type="dxa" w:w="100"/>
              <w:bottom w:type="dxa" w:w="80"/>
              <w:right w:type="dxa" w:w="100"/>
            </w:tcMar>
            <w:vAlign w:val="top"/>
          </w:tcPr>
          <w:p>
            <w:pPr>
              <w:spacing w:line="260"/>
            </w:pPr>
            <w:r>
              <w:rPr>
                <w:b/>
                <w:bCs/>
                <w:sz w:val="18"/>
                <w:szCs w:val="18"/>
              </w:rPr>
              <w:t xml:space="preserve">No cross-currency / FX handling</w:t>
            </w:r>
          </w:p>
        </w:tc>
        <w:tc>
          <w:tcPr>
            <w:tcW w:type="dxa" w:w="3200"/>
            <w:tcMar>
              <w:top w:type="dxa" w:w="80"/>
              <w:left w:type="dxa" w:w="100"/>
              <w:bottom w:type="dxa" w:w="80"/>
              <w:right w:type="dxa" w:w="100"/>
            </w:tcMar>
            <w:vAlign w:val="top"/>
          </w:tcPr>
          <w:p>
            <w:pPr>
              <w:spacing w:after="60" w:line="250"/>
            </w:pPr>
            <w:r>
              <w:rPr>
                <w:sz w:val="17"/>
                <w:szCs w:val="17"/>
              </w:rPr>
              <w:t xml:space="preserve">05-Tolerance-FX notes self-disclose that tolerance and balance logic are single-currency only — no revaluation trigger, no rate table, no consolidated or base-currency exposure view.</w:t>
            </w:r>
          </w:p>
          <w:p>
            <w:pPr>
              <w:spacing w:line="250"/>
            </w:pPr>
            <w:r>
              <w:rPr>
                <w:i/>
                <w:iCs/>
                <w:color w:val="555555"/>
                <w:sz w:val="17"/>
                <w:szCs w:val="17"/>
              </w:rPr>
              <w:t xml:space="preserve">Import/export LC books are inherently multi-currency; without this, any consolidated exposure or limit-utilisation figure has to be assembled entirely outside the component.</w:t>
            </w:r>
          </w:p>
        </w:tc>
        <w:tc>
          <w:tcPr>
            <w:tcW w:type="dxa" w:w="2900"/>
            <w:tcMar>
              <w:top w:type="dxa" w:w="80"/>
              <w:left w:type="dxa" w:w="100"/>
              <w:bottom w:type="dxa" w:w="80"/>
              <w:right w:type="dxa" w:w="100"/>
            </w:tcMar>
            <w:vAlign w:val="top"/>
          </w:tcPr>
          <w:p>
            <w:pPr>
              <w:spacing w:line="260"/>
            </w:pPr>
            <w:r>
              <w:rPr>
                <w:sz w:val="18"/>
                <w:szCs w:val="18"/>
              </w:rPr>
              <w:t xml:space="preserve">Confirm in writing whether FX consolidation is intentionally a downstream responsibility. If not, scope it in before go-live.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F8</w:t>
            </w:r>
          </w:p>
        </w:tc>
        <w:tc>
          <w:tcPr>
            <w:tcW w:type="dxa" w:w="2600"/>
            <w:tcMar>
              <w:top w:type="dxa" w:w="80"/>
              <w:left w:type="dxa" w:w="100"/>
              <w:bottom w:type="dxa" w:w="80"/>
              <w:right w:type="dxa" w:w="100"/>
            </w:tcMar>
            <w:vAlign w:val="top"/>
          </w:tcPr>
          <w:p>
            <w:pPr>
              <w:spacing w:line="260"/>
            </w:pPr>
            <w:r>
              <w:rPr>
                <w:b/>
                <w:bCs/>
                <w:sz w:val="18"/>
                <w:szCs w:val="18"/>
              </w:rPr>
              <w:t xml:space="preserve">Cross-instrument exposure aggregation has no general safeguard</w:t>
            </w:r>
          </w:p>
        </w:tc>
        <w:tc>
          <w:tcPr>
            <w:tcW w:type="dxa" w:w="3200"/>
            <w:tcMar>
              <w:top w:type="dxa" w:w="80"/>
              <w:left w:type="dxa" w:w="100"/>
              <w:bottom w:type="dxa" w:w="80"/>
              <w:right w:type="dxa" w:w="100"/>
            </w:tcMar>
            <w:vAlign w:val="top"/>
          </w:tcPr>
          <w:p>
            <w:pPr>
              <w:spacing w:after="60" w:line="250"/>
            </w:pPr>
            <w:r>
              <w:rPr>
                <w:sz w:val="17"/>
                <w:szCs w:val="17"/>
              </w:rPr>
              <w:t xml:space="preserve">Each function hardcodes its own netting sequence (subtract-then-add) rather than calling a shared MAX-based aggregator; parent_logical_contract_id (the LC ↔ SG/Acceptance link) is an application-layer relationship only, with no foreign key enforcing it.</w:t>
            </w:r>
          </w:p>
          <w:p>
            <w:pPr>
              <w:spacing w:line="250"/>
            </w:pPr>
            <w:r>
              <w:rPr>
                <w:i/>
                <w:iCs/>
                <w:color w:val="555555"/>
                <w:sz w:val="17"/>
                <w:szCs w:val="17"/>
              </w:rPr>
              <w:t xml:space="preserve">The LC+SG+Acceptance exposure is correctly netted today, but only because the sequencing lives in scattered, per-function logic. Nothing in the schema stops a future report or consumer from naively summing raw balances across a linked contract family and double-counting.</w:t>
            </w:r>
          </w:p>
        </w:tc>
        <w:tc>
          <w:tcPr>
            <w:tcW w:type="dxa" w:w="2900"/>
            <w:tcMar>
              <w:top w:type="dxa" w:w="80"/>
              <w:left w:type="dxa" w:w="100"/>
              <w:bottom w:type="dxa" w:w="80"/>
              <w:right w:type="dxa" w:w="100"/>
            </w:tcMar>
            <w:vAlign w:val="top"/>
          </w:tcPr>
          <w:p>
            <w:pPr>
              <w:spacing w:line="260"/>
            </w:pPr>
            <w:r>
              <w:rPr>
                <w:sz w:val="18"/>
                <w:szCs w:val="18"/>
              </w:rPr>
              <w:t xml:space="preserve">Add either a DB-level FK on parent_logical_contract_id or an explicit "never SUM across a linked-contract tree" helper/guardrail before any new consumer is built on this data.</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F9</w:t>
            </w:r>
          </w:p>
        </w:tc>
        <w:tc>
          <w:tcPr>
            <w:tcW w:type="dxa" w:w="2600"/>
            <w:tcMar>
              <w:top w:type="dxa" w:w="80"/>
              <w:left w:type="dxa" w:w="100"/>
              <w:bottom w:type="dxa" w:w="80"/>
              <w:right w:type="dxa" w:w="100"/>
            </w:tcMar>
            <w:vAlign w:val="top"/>
          </w:tcPr>
          <w:p>
            <w:pPr>
              <w:spacing w:line="260"/>
            </w:pPr>
            <w:r>
              <w:rPr>
                <w:b/>
                <w:bCs/>
                <w:sz w:val="18"/>
                <w:szCs w:val="18"/>
              </w:rPr>
              <w:t xml:space="preserve">Direction is encoded two different ways</w:t>
            </w:r>
          </w:p>
        </w:tc>
        <w:tc>
          <w:tcPr>
            <w:tcW w:type="dxa" w:w="3200"/>
            <w:tcMar>
              <w:top w:type="dxa" w:w="80"/>
              <w:left w:type="dxa" w:w="100"/>
              <w:bottom w:type="dxa" w:w="80"/>
              <w:right w:type="dxa" w:w="100"/>
            </w:tcMar>
            <w:vAlign w:val="top"/>
          </w:tcPr>
          <w:p>
            <w:pPr>
              <w:spacing w:after="60" w:line="250"/>
            </w:pPr>
            <w:r>
              <w:rPr>
                <w:sz w:val="17"/>
                <w:szCs w:val="17"/>
              </w:rPr>
              <w:t xml:space="preserve">Most instruments derive direction from movementType via a static lookup table; B2 (EPLC_CONFIRMATION / AMEND) instead derives direction from the sign of the amount field itself — already a documented source of one real bug (a sign-negation patch that mutated the shared model object).</w:t>
            </w:r>
          </w:p>
          <w:p>
            <w:pPr>
              <w:spacing w:line="250"/>
            </w:pPr>
            <w:r>
              <w:rPr>
                <w:i/>
                <w:iCs/>
                <w:color w:val="555555"/>
                <w:sz w:val="17"/>
                <w:szCs w:val="17"/>
              </w:rPr>
              <w:t xml:space="preserve">Two mechanisms for the same concept increase the risk of the direction and the magnitude drifting out of sync, and make the rule harder to audit.</w:t>
            </w:r>
          </w:p>
        </w:tc>
        <w:tc>
          <w:tcPr>
            <w:tcW w:type="dxa" w:w="2900"/>
            <w:tcMar>
              <w:top w:type="dxa" w:w="80"/>
              <w:left w:type="dxa" w:w="100"/>
              <w:bottom w:type="dxa" w:w="80"/>
              <w:right w:type="dxa" w:w="100"/>
            </w:tcMar>
            <w:vAlign w:val="top"/>
          </w:tcPr>
          <w:p>
            <w:pPr>
              <w:spacing w:line="260"/>
            </w:pPr>
            <w:r>
              <w:rPr>
                <w:sz w:val="18"/>
                <w:szCs w:val="18"/>
              </w:rPr>
              <w:t xml:space="preserve">Standardize on one direction mechanism, or document the B2 exception prominently at the API-contract level.</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F10</w:t>
            </w:r>
          </w:p>
        </w:tc>
        <w:tc>
          <w:tcPr>
            <w:tcW w:type="dxa" w:w="2600"/>
            <w:tcMar>
              <w:top w:type="dxa" w:w="80"/>
              <w:left w:type="dxa" w:w="100"/>
              <w:bottom w:type="dxa" w:w="80"/>
              <w:right w:type="dxa" w:w="100"/>
            </w:tcMar>
            <w:vAlign w:val="top"/>
          </w:tcPr>
          <w:p>
            <w:pPr>
              <w:spacing w:line="260"/>
            </w:pPr>
            <w:r>
              <w:rPr>
                <w:b/>
                <w:bCs/>
                <w:sz w:val="18"/>
                <w:szCs w:val="18"/>
              </w:rPr>
              <w:t xml:space="preserve">The "five exposure numbers" are not modeled</w:t>
            </w:r>
          </w:p>
        </w:tc>
        <w:tc>
          <w:tcPr>
            <w:tcW w:type="dxa" w:w="3200"/>
            <w:tcMar>
              <w:top w:type="dxa" w:w="80"/>
              <w:left w:type="dxa" w:w="100"/>
              <w:bottom w:type="dxa" w:w="80"/>
              <w:right w:type="dxa" w:w="100"/>
            </w:tcMar>
            <w:vAlign w:val="top"/>
          </w:tcPr>
          <w:p>
            <w:pPr>
              <w:spacing w:after="60" w:line="250"/>
            </w:pPr>
            <w:r>
              <w:rPr>
                <w:sz w:val="17"/>
                <w:szCs w:val="17"/>
              </w:rPr>
              <w:t xml:space="preserve">No trace of accounting_balance / ead_economic / ecl_ead / ead_regulatory / limit_utilisation as distinct figures anywhere in the component; it only produces accounting-balance-family figures (confirmedBalance, availableBalance, offBalanceExposure, tightAvailableBalance).</w:t>
            </w:r>
          </w:p>
          <w:p>
            <w:pPr>
              <w:spacing w:line="250"/>
            </w:pPr>
            <w:r>
              <w:rPr>
                <w:i/>
                <w:iCs/>
                <w:color w:val="555555"/>
                <w:sz w:val="17"/>
                <w:szCs w:val="17"/>
              </w:rPr>
              <w:t xml:space="preserve">Reasonable if this is a deliberate boundary decision (ECL and regulatory EAD genuinely belong to a risk engine), but right now it reads as an implicit gap rather than a recorded scope decision.</w:t>
            </w:r>
          </w:p>
        </w:tc>
        <w:tc>
          <w:tcPr>
            <w:tcW w:type="dxa" w:w="2900"/>
            <w:tcMar>
              <w:top w:type="dxa" w:w="80"/>
              <w:left w:type="dxa" w:w="100"/>
              <w:bottom w:type="dxa" w:w="80"/>
              <w:right w:type="dxa" w:w="100"/>
            </w:tcMar>
            <w:vAlign w:val="top"/>
          </w:tcPr>
          <w:p>
            <w:pPr>
              <w:spacing w:line="260"/>
            </w:pPr>
            <w:r>
              <w:rPr>
                <w:sz w:val="18"/>
                <w:szCs w:val="18"/>
              </w:rPr>
              <w:t xml:space="preserve">Record explicitly, in the scope documentation, that ECL/regulatory-EAD derivation is entirely a downstream consumer's responsibility.</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F11</w:t>
            </w:r>
          </w:p>
        </w:tc>
        <w:tc>
          <w:tcPr>
            <w:tcW w:type="dxa" w:w="2600"/>
            <w:tcMar>
              <w:top w:type="dxa" w:w="80"/>
              <w:left w:type="dxa" w:w="100"/>
              <w:bottom w:type="dxa" w:w="80"/>
              <w:right w:type="dxa" w:w="100"/>
            </w:tcMar>
            <w:vAlign w:val="top"/>
          </w:tcPr>
          <w:p>
            <w:pPr>
              <w:spacing w:line="260"/>
            </w:pPr>
            <w:r>
              <w:rPr>
                <w:b/>
                <w:bCs/>
                <w:sz w:val="18"/>
                <w:szCs w:val="18"/>
              </w:rPr>
              <w:t xml:space="preserve">Test matrix has no expiry, Art. 16(f), or double-count scenarios</w:t>
            </w:r>
          </w:p>
        </w:tc>
        <w:tc>
          <w:tcPr>
            <w:tcW w:type="dxa" w:w="3200"/>
            <w:tcMar>
              <w:top w:type="dxa" w:w="80"/>
              <w:left w:type="dxa" w:w="100"/>
              <w:bottom w:type="dxa" w:w="80"/>
              <w:right w:type="dxa" w:w="100"/>
            </w:tcMar>
            <w:vAlign w:val="top"/>
          </w:tcPr>
          <w:p>
            <w:pPr>
              <w:spacing w:after="60" w:line="250"/>
            </w:pPr>
            <w:r>
              <w:rPr>
                <w:sz w:val="17"/>
                <w:szCs w:val="17"/>
              </w:rPr>
              <w:t xml:space="preserve">The 23-case live business-case registry (grown from 14) does not exercise expiry release, Art. 16(f) preclusion, or exposure double-counting — consistent with F1 not existing yet, but a distinct gap once it is built.</w:t>
            </w:r>
          </w:p>
          <w:p>
            <w:pPr>
              <w:spacing w:line="250"/>
            </w:pPr>
            <w:r>
              <w:rPr>
                <w:i/>
                <w:iCs/>
                <w:color w:val="555555"/>
                <w:sz w:val="17"/>
                <w:szCs w:val="17"/>
              </w:rPr>
              <w:t xml:space="preserve">The domain rules with the highest historical defect rate elsewhere in trade finance ledgers are exactly the ones currently untested here.</w:t>
            </w:r>
          </w:p>
        </w:tc>
        <w:tc>
          <w:tcPr>
            <w:tcW w:type="dxa" w:w="2900"/>
            <w:tcMar>
              <w:top w:type="dxa" w:w="80"/>
              <w:left w:type="dxa" w:w="100"/>
              <w:bottom w:type="dxa" w:w="80"/>
              <w:right w:type="dxa" w:w="100"/>
            </w:tcMar>
            <w:vAlign w:val="top"/>
          </w:tcPr>
          <w:p>
            <w:pPr>
              <w:spacing w:line="260"/>
            </w:pPr>
            <w:r>
              <w:rPr>
                <w:sz w:val="18"/>
                <w:szCs w:val="18"/>
              </w:rPr>
              <w:t xml:space="preserve">Add these scenarios to the Test-Case-Proposal as soon as F1 lands.</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F12</w:t>
            </w:r>
          </w:p>
        </w:tc>
        <w:tc>
          <w:tcPr>
            <w:tcW w:type="dxa" w:w="2600"/>
            <w:tcMar>
              <w:top w:type="dxa" w:w="80"/>
              <w:left w:type="dxa" w:w="100"/>
              <w:bottom w:type="dxa" w:w="80"/>
              <w:right w:type="dxa" w:w="100"/>
            </w:tcMar>
            <w:vAlign w:val="top"/>
          </w:tcPr>
          <w:p>
            <w:pPr>
              <w:spacing w:line="260"/>
            </w:pPr>
            <w:r>
              <w:rPr>
                <w:b/>
                <w:bCs/>
                <w:sz w:val="18"/>
                <w:szCs w:val="18"/>
              </w:rPr>
              <w:t xml:space="preserve">balance_movements has grown to 47 sparse columns</w:t>
            </w:r>
          </w:p>
        </w:tc>
        <w:tc>
          <w:tcPr>
            <w:tcW w:type="dxa" w:w="3200"/>
            <w:tcMar>
              <w:top w:type="dxa" w:w="80"/>
              <w:left w:type="dxa" w:w="100"/>
              <w:bottom w:type="dxa" w:w="80"/>
              <w:right w:type="dxa" w:w="100"/>
            </w:tcMar>
            <w:vAlign w:val="top"/>
          </w:tcPr>
          <w:p>
            <w:pPr>
              <w:spacing w:after="60" w:line="250"/>
            </w:pPr>
            <w:r>
              <w:rPr>
                <w:sz w:val="17"/>
                <w:szCs w:val="17"/>
              </w:rPr>
              <w:t xml:space="preserve">Repeated ALTER TABLE additions (one actor/timestamp column pair per new operation) rather than a normalized event table; a backdated-correction decision table already exists in the design spec with no corresponding effective_date / booking_date / period-close columns implemented.</w:t>
            </w:r>
          </w:p>
          <w:p>
            <w:pPr>
              <w:spacing w:line="250"/>
            </w:pPr>
            <w:r>
              <w:rPr>
                <w:i/>
                <w:iCs/>
                <w:color w:val="555555"/>
                <w:sz w:val="17"/>
                <w:szCs w:val="17"/>
              </w:rPr>
              <w:t xml:space="preserve">Flagged by the project's own DB-optimization review as technical debt; makes the ledger harder to extend cleanly and defers period-versioning indefinitely.</w:t>
            </w:r>
          </w:p>
        </w:tc>
        <w:tc>
          <w:tcPr>
            <w:tcW w:type="dxa" w:w="2900"/>
            <w:tcMar>
              <w:top w:type="dxa" w:w="80"/>
              <w:left w:type="dxa" w:w="100"/>
              <w:bottom w:type="dxa" w:w="80"/>
              <w:right w:type="dxa" w:w="100"/>
            </w:tcMar>
            <w:vAlign w:val="top"/>
          </w:tcPr>
          <w:p>
            <w:pPr>
              <w:spacing w:line="260"/>
            </w:pPr>
            <w:r>
              <w:rPr>
                <w:sz w:val="18"/>
                <w:szCs w:val="18"/>
              </w:rPr>
              <w:t xml:space="preserve">Normalize into movement_actions / movement_snapshots per the project's own recommendation, ideally alongside the already-planned Postgres migration.</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F13</w:t>
            </w:r>
          </w:p>
        </w:tc>
        <w:tc>
          <w:tcPr>
            <w:tcW w:type="dxa" w:w="2600"/>
            <w:tcMar>
              <w:top w:type="dxa" w:w="80"/>
              <w:left w:type="dxa" w:w="100"/>
              <w:bottom w:type="dxa" w:w="80"/>
              <w:right w:type="dxa" w:w="100"/>
            </w:tcMar>
            <w:vAlign w:val="top"/>
          </w:tcPr>
          <w:p>
            <w:pPr>
              <w:spacing w:line="260"/>
            </w:pPr>
            <w:r>
              <w:rPr>
                <w:b/>
                <w:bCs/>
                <w:sz w:val="18"/>
                <w:szCs w:val="18"/>
              </w:rPr>
              <w:t xml:space="preserve">Re-ISSUE path may bypass the duplicate-ISSUE guard</w:t>
            </w:r>
          </w:p>
        </w:tc>
        <w:tc>
          <w:tcPr>
            <w:tcW w:type="dxa" w:w="3200"/>
            <w:tcMar>
              <w:top w:type="dxa" w:w="80"/>
              <w:left w:type="dxa" w:w="100"/>
              <w:bottom w:type="dxa" w:w="80"/>
              <w:right w:type="dxa" w:w="100"/>
            </w:tcMar>
            <w:vAlign w:val="top"/>
          </w:tcPr>
          <w:p>
            <w:pPr>
              <w:spacing w:after="60" w:line="250"/>
            </w:pPr>
            <w:r>
              <w:rPr>
                <w:sz w:val="17"/>
                <w:szCs w:val="17"/>
              </w:rPr>
              <w:t xml:space="preserve">A balanceContractId-keyed re-ISSUE path does not obviously call the same duplicate-ISSUE guard and assertRootIssueReleased check the natural-key path uses; flagged untested by the project's own adversarial review.</w:t>
            </w:r>
          </w:p>
          <w:p>
            <w:pPr>
              <w:spacing w:line="250"/>
            </w:pPr>
            <w:r>
              <w:rPr>
                <w:i/>
                <w:iCs/>
                <w:color w:val="555555"/>
                <w:sz w:val="17"/>
                <w:szCs w:val="17"/>
              </w:rPr>
              <w:t xml:space="preserve">Plausible, low-probability double-count vector.</w:t>
            </w:r>
          </w:p>
        </w:tc>
        <w:tc>
          <w:tcPr>
            <w:tcW w:type="dxa" w:w="2900"/>
            <w:tcMar>
              <w:top w:type="dxa" w:w="80"/>
              <w:left w:type="dxa" w:w="100"/>
              <w:bottom w:type="dxa" w:w="80"/>
              <w:right w:type="dxa" w:w="100"/>
            </w:tcMar>
            <w:vAlign w:val="top"/>
          </w:tcPr>
          <w:p>
            <w:pPr>
              <w:spacing w:line="260"/>
            </w:pPr>
            <w:r>
              <w:rPr>
                <w:sz w:val="18"/>
                <w:szCs w:val="18"/>
              </w:rPr>
              <w:t xml:space="preserve">Add a regression test, or retire the second path if it is not actually needed.</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F14</w:t>
            </w:r>
          </w:p>
        </w:tc>
        <w:tc>
          <w:tcPr>
            <w:tcW w:type="dxa" w:w="2600"/>
            <w:tcMar>
              <w:top w:type="dxa" w:w="80"/>
              <w:left w:type="dxa" w:w="100"/>
              <w:bottom w:type="dxa" w:w="80"/>
              <w:right w:type="dxa" w:w="100"/>
            </w:tcMar>
            <w:vAlign w:val="top"/>
          </w:tcPr>
          <w:p>
            <w:pPr>
              <w:spacing w:line="260"/>
            </w:pPr>
            <w:r>
              <w:rPr>
                <w:b/>
                <w:bCs/>
                <w:sz w:val="18"/>
                <w:szCs w:val="18"/>
              </w:rPr>
              <w:t xml:space="preserve">Designed contract-version chain is unused</w:t>
            </w:r>
          </w:p>
        </w:tc>
        <w:tc>
          <w:tcPr>
            <w:tcW w:type="dxa" w:w="3200"/>
            <w:tcMar>
              <w:top w:type="dxa" w:w="80"/>
              <w:left w:type="dxa" w:w="100"/>
              <w:bottom w:type="dxa" w:w="80"/>
              <w:right w:type="dxa" w:w="100"/>
            </w:tcMar>
            <w:vAlign w:val="top"/>
          </w:tcPr>
          <w:p>
            <w:pPr>
              <w:spacing w:after="60" w:line="250"/>
            </w:pPr>
            <w:r>
              <w:rPr>
                <w:sz w:val="17"/>
                <w:szCs w:val="17"/>
              </w:rPr>
              <w:t xml:space="preserve">DB design doc describes markSuperseded / contractVersion; balanceService.ts hardcodes contractVersion: 1 and never calls it.</w:t>
            </w:r>
          </w:p>
          <w:p>
            <w:pPr>
              <w:spacing w:line="250"/>
            </w:pPr>
            <w:r>
              <w:rPr>
                <w:i/>
                <w:iCs/>
                <w:color w:val="555555"/>
                <w:sz w:val="17"/>
                <w:szCs w:val="17"/>
              </w:rPr>
              <w:t xml:space="preserve">Dead schema vs. an unfinished feature — ambiguous which, but low risk either way.</w:t>
            </w:r>
          </w:p>
        </w:tc>
        <w:tc>
          <w:tcPr>
            <w:tcW w:type="dxa" w:w="2900"/>
            <w:tcMar>
              <w:top w:type="dxa" w:w="80"/>
              <w:left w:type="dxa" w:w="100"/>
              <w:bottom w:type="dxa" w:w="80"/>
              <w:right w:type="dxa" w:w="100"/>
            </w:tcMar>
            <w:vAlign w:val="top"/>
          </w:tcPr>
          <w:p>
            <w:pPr>
              <w:spacing w:line="260"/>
            </w:pPr>
            <w:r>
              <w:rPr>
                <w:sz w:val="18"/>
                <w:szCs w:val="18"/>
              </w:rPr>
              <w:t xml:space="preserve">Record a documentation decision: implement it, or remove it from the design doc.</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F15</w:t>
            </w:r>
          </w:p>
        </w:tc>
        <w:tc>
          <w:tcPr>
            <w:tcW w:type="dxa" w:w="2600"/>
            <w:tcMar>
              <w:top w:type="dxa" w:w="80"/>
              <w:left w:type="dxa" w:w="100"/>
              <w:bottom w:type="dxa" w:w="80"/>
              <w:right w:type="dxa" w:w="100"/>
            </w:tcMar>
            <w:vAlign w:val="top"/>
          </w:tcPr>
          <w:p>
            <w:pPr>
              <w:spacing w:line="260"/>
            </w:pPr>
            <w:r>
              <w:rPr>
                <w:b/>
                <w:bCs/>
                <w:sz w:val="18"/>
                <w:szCs w:val="18"/>
              </w:rPr>
              <w:t xml:space="preserve">reject() derives checkerId differently from release()</w:t>
            </w:r>
          </w:p>
        </w:tc>
        <w:tc>
          <w:tcPr>
            <w:tcW w:type="dxa" w:w="3200"/>
            <w:tcMar>
              <w:top w:type="dxa" w:w="80"/>
              <w:left w:type="dxa" w:w="100"/>
              <w:bottom w:type="dxa" w:w="80"/>
              <w:right w:type="dxa" w:w="100"/>
            </w:tcMar>
            <w:vAlign w:val="top"/>
          </w:tcPr>
          <w:p>
            <w:pPr>
              <w:spacing w:after="60" w:line="250"/>
            </w:pPr>
            <w:r>
              <w:rPr>
                <w:sz w:val="17"/>
                <w:szCs w:val="17"/>
              </w:rPr>
              <w:t xml:space="preserve">reject() uses a hardcoded checkerId; release() derives it through the normal mechanism.</w:t>
            </w:r>
          </w:p>
          <w:p>
            <w:pPr>
              <w:spacing w:line="250"/>
            </w:pPr>
            <w:r>
              <w:rPr>
                <w:i/>
                <w:iCs/>
                <w:color w:val="555555"/>
                <w:sz w:val="17"/>
                <w:szCs w:val="17"/>
              </w:rPr>
              <w:t xml:space="preserve">Minor audit-trail inconsistency between the two Checker actions.</w:t>
            </w:r>
          </w:p>
        </w:tc>
        <w:tc>
          <w:tcPr>
            <w:tcW w:type="dxa" w:w="2900"/>
            <w:tcMar>
              <w:top w:type="dxa" w:w="80"/>
              <w:left w:type="dxa" w:w="100"/>
              <w:bottom w:type="dxa" w:w="80"/>
              <w:right w:type="dxa" w:w="100"/>
            </w:tcMar>
            <w:vAlign w:val="top"/>
          </w:tcPr>
          <w:p>
            <w:pPr>
              <w:spacing w:line="260"/>
            </w:pPr>
            <w:r>
              <w:rPr>
                <w:sz w:val="18"/>
                <w:szCs w:val="18"/>
              </w:rPr>
              <w:t xml:space="preserve">Align the two code paths.</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F16</w:t>
            </w:r>
          </w:p>
        </w:tc>
        <w:tc>
          <w:tcPr>
            <w:tcW w:type="dxa" w:w="2600"/>
            <w:tcMar>
              <w:top w:type="dxa" w:w="80"/>
              <w:left w:type="dxa" w:w="100"/>
              <w:bottom w:type="dxa" w:w="80"/>
              <w:right w:type="dxa" w:w="100"/>
            </w:tcMar>
            <w:vAlign w:val="top"/>
          </w:tcPr>
          <w:p>
            <w:pPr>
              <w:spacing w:line="260"/>
            </w:pPr>
            <w:r>
              <w:rPr>
                <w:b/>
                <w:bCs/>
                <w:sz w:val="18"/>
                <w:szCs w:val="18"/>
              </w:rPr>
              <w:t xml:space="preserve">~33% of Chinese decision-table headers remain untranslated</w:t>
            </w:r>
          </w:p>
        </w:tc>
        <w:tc>
          <w:tcPr>
            <w:tcW w:type="dxa" w:w="3200"/>
            <w:tcMar>
              <w:top w:type="dxa" w:w="80"/>
              <w:left w:type="dxa" w:w="100"/>
              <w:bottom w:type="dxa" w:w="80"/>
              <w:right w:type="dxa" w:w="100"/>
            </w:tcMar>
            <w:vAlign w:val="top"/>
          </w:tcPr>
          <w:p>
            <w:pPr>
              <w:spacing w:after="60" w:line="250"/>
            </w:pPr>
            <w:r>
              <w:rPr>
                <w:sz w:val="17"/>
                <w:szCs w:val="17"/>
              </w:rPr>
              <w:t xml:space="preserve">Noted in the Decision-Table-Index review of the 98 decision tables in the knowledge base.</w:t>
            </w:r>
          </w:p>
          <w:p>
            <w:pPr>
              <w:spacing w:line="250"/>
            </w:pPr>
            <w:r>
              <w:rPr>
                <w:i/>
                <w:iCs/>
                <w:color w:val="555555"/>
                <w:sz w:val="17"/>
                <w:szCs w:val="17"/>
              </w:rPr>
              <w:t xml:space="preserve">A delivery-completeness gap for a bilingual audience, not a functional risk.</w:t>
            </w:r>
          </w:p>
        </w:tc>
        <w:tc>
          <w:tcPr>
            <w:tcW w:type="dxa" w:w="2900"/>
            <w:tcMar>
              <w:top w:type="dxa" w:w="80"/>
              <w:left w:type="dxa" w:w="100"/>
              <w:bottom w:type="dxa" w:w="80"/>
              <w:right w:type="dxa" w:w="100"/>
            </w:tcMar>
            <w:vAlign w:val="top"/>
          </w:tcPr>
          <w:p>
            <w:pPr>
              <w:spacing w:line="260"/>
            </w:pPr>
            <w:r>
              <w:rPr>
                <w:sz w:val="18"/>
                <w:szCs w:val="18"/>
              </w:rPr>
              <w:t xml:space="preserve">Complete the translation pass before the KB is circulated to Chinese-reading stakeholders.</w:t>
            </w:r>
          </w:p>
        </w:tc>
      </w:tr>
    </w:tbl>
    <w:p>
      <w:pPr>
        <w:pStyle w:val="Heading1"/>
        <w:pBdr>
          <w:bottom w:val="single" w:color="1F3864" w:sz="6" w:space="4"/>
        </w:pBdr>
        <w:spacing w:after="160" w:before="360"/>
      </w:pPr>
      <w:r>
        <w:rPr>
          <w:b/>
          <w:bCs/>
          <w:color w:val="1F3864"/>
          <w:sz w:val="28"/>
          <w:szCs w:val="28"/>
        </w:rPr>
        <w:t xml:space="preserve">5. Test Coverage &amp; Quality Snapshot</w:t>
      </w:r>
    </w:p>
    <w:p>
      <w:pPr>
        <w:spacing w:after="120" w:line="270"/>
      </w:pPr>
      <w:r>
        <w:rPr>
          <w:b/>
          <w:bCs/>
          <w:sz w:val="20"/>
          <w:szCs w:val="20"/>
        </w:rPr>
        <w:t xml:space="preserve">Functional test coverage:  </w:t>
      </w:r>
      <w:r>
        <w:rPr>
          <w:sz w:val="20"/>
          <w:szCs w:val="20"/>
        </w:rPr>
        <w:t xml:space="preserve">23 live, end-to-end business cases (grown from a 14-case baseline), executed against the running stack rather than mocked, including negative/gate-condition paths. Coverage of the Close functions (A10 Import, B6 Export) and SG redemption (A9) is thorough and includes intentional rejection cases. As noted in F11, expiry release, Art. 16(f) preclusion, and exposure double-counting are not yet represented — largely because the underlying feature (F1) does not exist yet.</w:t>
      </w:r>
    </w:p>
    <w:p>
      <w:pPr>
        <w:spacing w:after="120" w:line="270"/>
      </w:pPr>
      <w:r>
        <w:rPr>
          <w:b/>
          <w:bCs/>
          <w:sz w:val="20"/>
          <w:szCs w:val="20"/>
        </w:rPr>
        <w:t xml:space="preserve">Static code quality:  </w:t>
      </w:r>
      <w:r>
        <w:rPr>
          <w:sz w:val="20"/>
          <w:szCs w:val="20"/>
        </w:rPr>
        <w:t xml:space="preserve">SonarQube quality gate passes on both recorded scans — 0 bugs, 0 vulnerabilities, 0 unreviewed hotspots, coverage held near 98% through a 45% growth in codebase size. The main standing issue is cognitive complexity in the core createMovement() function, which the team's own change log records as later decomposed.</w:t>
      </w:r>
    </w:p>
    <w:p>
      <w:pPr>
        <w:spacing w:after="120" w:line="270"/>
      </w:pPr>
      <w:r>
        <w:rPr>
          <w:b/>
          <w:bCs/>
          <w:sz w:val="20"/>
          <w:szCs w:val="20"/>
        </w:rPr>
        <w:t xml:space="preserve">Design review:  </w:t>
      </w:r>
      <w:r>
        <w:rPr>
          <w:sz w:val="20"/>
          <w:szCs w:val="20"/>
        </w:rPr>
        <w:t xml:space="preserve">A prior OOD/SOLID critique recorded 3 High, 6 Medium and 4 Low findings plus 7 confirmed strengths. Most High/Medium items are tracked to resolution in the project's decision log; one (a Strategy-pattern equivalent for the orchestration server) and one (root-cause testability retrofit) remain explicitly unaddressed, by the team's own account.</w:t>
      </w:r>
    </w:p>
    <w:p>
      <w:pPr>
        <w:spacing w:after="120" w:line="270"/>
      </w:pPr>
      <w:r>
        <w:rPr>
          <w:b/>
          <w:bCs/>
          <w:sz w:val="20"/>
          <w:szCs w:val="20"/>
        </w:rPr>
        <w:t xml:space="preserve">Production-readiness gate:  </w:t>
      </w:r>
      <w:r>
        <w:rPr>
          <w:sz w:val="20"/>
          <w:szCs w:val="20"/>
        </w:rPr>
        <w:t xml:space="preserve">The project's own tracker records three deliberately deferred, explicit blockers: no authentication/authorization (F4), Angular pinned to a version carrying 8 high-severity CVEs, and SQLite's whole-file locking model, which needs to move to a row-level-concurrent database before production. None of the three have been started. This is a case of the team correctly knowing and stating what is not done, rather than a silent gap.</w:t>
      </w:r>
    </w:p>
    <w:p>
      <w:pPr>
        <w:pStyle w:val="Heading1"/>
        <w:pBdr>
          <w:bottom w:val="single" w:color="1F3864" w:sz="6" w:space="4"/>
        </w:pBdr>
        <w:spacing w:after="160" w:before="360"/>
      </w:pPr>
      <w:r>
        <w:rPr>
          <w:b/>
          <w:bCs/>
          <w:color w:val="1F3864"/>
          <w:sz w:val="28"/>
          <w:szCs w:val="28"/>
        </w:rPr>
        <w:t xml:space="preserve">6. Open Questions for Engineering / Business</w:t>
      </w:r>
    </w:p>
    <w:p>
      <w:pPr>
        <w:pStyle w:val="ListParagraph"/>
        <w:numPr>
          <w:ilvl w:val="0"/>
          <w:numId w:val="2"/>
        </w:numPr>
        <w:spacing w:after="100" w:line="270"/>
      </w:pPr>
      <w:r>
        <w:rPr>
          <w:sz w:val="21"/>
          <w:szCs w:val="21"/>
        </w:rPr>
        <w:t xml:space="preserve">Which document is authoritative on Acceptance/DPU treatment — the Folio 3/5 decision tables (shadow memo) or the balance-taxonomy workbook (on-balance-sheet)? (See F2.)</w:t>
      </w:r>
    </w:p>
    <w:p>
      <w:pPr>
        <w:pStyle w:val="ListParagraph"/>
        <w:numPr>
          <w:ilvl w:val="0"/>
          <w:numId w:val="2"/>
        </w:numPr>
        <w:spacing w:after="100" w:line="270"/>
      </w:pPr>
      <w:r>
        <w:rPr>
          <w:sz w:val="21"/>
          <w:szCs w:val="21"/>
        </w:rPr>
        <w:t xml:space="preserve">Is Export Buyer's Usance rejection/normalization still planned as originally decided on 2026-08-21, or has the business scope changed since? (See F3.)</w:t>
      </w:r>
    </w:p>
    <w:p>
      <w:pPr>
        <w:pStyle w:val="ListParagraph"/>
        <w:numPr>
          <w:ilvl w:val="0"/>
          <w:numId w:val="2"/>
        </w:numPr>
        <w:spacing w:after="100" w:line="270"/>
      </w:pPr>
      <w:r>
        <w:rPr>
          <w:sz w:val="21"/>
          <w:szCs w:val="21"/>
        </w:rPr>
        <w:t xml:space="preserve">Is ECL / regulatory-EAD derivation intentionally entirely a downstream consumer's responsibility, and if so, where should that be recorded? (See F10.)</w:t>
      </w:r>
    </w:p>
    <w:p>
      <w:pPr>
        <w:pStyle w:val="ListParagraph"/>
        <w:numPr>
          <w:ilvl w:val="0"/>
          <w:numId w:val="2"/>
        </w:numPr>
        <w:spacing w:after="100" w:line="270"/>
      </w:pPr>
      <w:r>
        <w:rPr>
          <w:sz w:val="21"/>
          <w:szCs w:val="21"/>
        </w:rPr>
        <w:t xml:space="preserve">Is multi-currency/FX consolidation intentionally a future phase, or should it be pulled into this component's scope? (See F7.)</w:t>
      </w:r>
    </w:p>
    <w:p>
      <w:pPr>
        <w:pStyle w:val="ListParagraph"/>
        <w:numPr>
          <w:ilvl w:val="0"/>
          <w:numId w:val="2"/>
        </w:numPr>
        <w:spacing w:after="100" w:line="270"/>
      </w:pPr>
      <w:r>
        <w:rPr>
          <w:sz w:val="21"/>
          <w:szCs w:val="21"/>
        </w:rPr>
        <w:t xml:space="preserve">The A6 calculation-logic note states that "SHGT-style double-counting is out of scope" for the Off-Balance Exposure figure — does this mean a known SG double-counting risk exists and is being deliberately deferred, or is it just clarifying that this particular table doesn't need to re-derive SG logic? Worth a direct answer from whoever wrote that note.</w:t>
      </w:r>
    </w:p>
    <w:p>
      <w:pPr>
        <w:pStyle w:val="Heading1"/>
        <w:pBdr>
          <w:bottom w:val="single" w:color="1F3864" w:sz="6" w:space="4"/>
        </w:pBdr>
        <w:spacing w:after="160" w:before="360"/>
      </w:pPr>
      <w:r>
        <w:rPr>
          <w:b/>
          <w:bCs/>
          <w:color w:val="1F3864"/>
          <w:sz w:val="28"/>
          <w:szCs w:val="28"/>
        </w:rPr>
        <w:t xml:space="preserve">7. Overall Recommendation</w:t>
      </w:r>
    </w:p>
    <w:p>
      <w:pPr>
        <w:spacing w:after="160" w:line="276"/>
      </w:pPr>
      <w:r>
        <w:rPr>
          <w:sz w:val="21"/>
          <w:szCs w:val="21"/>
        </w:rPr>
        <w:t xml:space="preserve">Do not sign this off as production-ready — the project does not claim to be, and the three gated infrastructure blockers alone (F4, plus the Angular CVEs and SQLite locking) are sufficient reason on their own. As a design and business-rule foundation for continued build-out, however, this is in good shape: the boundary is correct, the core ledger mechanics (append-only, derived balances, real idempotency, enforced maker-checker) are sound, and the team's own documentation trail makes this an unusually easy component to review.</w:t>
      </w:r>
    </w:p>
    <w:p>
      <w:pPr>
        <w:spacing w:after="160" w:line="276"/>
      </w:pPr>
      <w:r>
        <w:rPr>
          <w:sz w:val="21"/>
          <w:szCs w:val="21"/>
        </w:rPr>
        <w:t xml:space="preserve">Before the next phase of work, I would prioritize F1 (expiry/Art. 16(f) auto-release) and F2 (Acceptance/DPU on-balance-sheet vs. shadow-memo contradiction) above all else — both are accounting-correctness questions, not engineering-effort questions, and both compound the longer they stay open. F3 (Export Buyer's Usance) is a BA action item from three weeks ago that simply needs to be closed one way or the other. The Medium and Low findings are worth a backlog entry each but do not block continued development.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2026-08-25T02:14:10.521Z</dcterms:created>
  <dcterms:modified xsi:type="dcterms:W3CDTF">2026-08-25T02:14:10.534Z</dcterms:modified>
</cp:coreProperties>
</file>

<file path=docProps/custom.xml><?xml version="1.0" encoding="utf-8"?>
<Properties xmlns="http://schemas.openxmlformats.org/officeDocument/2006/custom-properties" xmlns:vt="http://schemas.openxmlformats.org/officeDocument/2006/docPropsVTypes"/>
</file>