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Trade Finance Balance Component</w:t>
      </w:r>
    </w:p>
    <w:p>
      <w:pPr>
        <w:spacing w:after="200"/>
      </w:pPr>
      <w:r>
        <w:rPr>
          <w:color w:val="444444"/>
          <w:sz w:val="24"/>
          <w:szCs w:val="24"/>
        </w:rPr>
        <w:t xml:space="preserve">BA Expert Review — Contingent Liability &amp; Off-Balance-Sheet Tracking, Import LC and Confirmed LC</w:t>
      </w:r>
    </w:p>
    <w:p>
      <w:pPr>
        <w:pBdr>
          <w:bottom w:val="single" w:color="1F3864" w:sz="8" w:space="6"/>
        </w:pBdr>
        <w:spacing w:after="40"/>
      </w:pPr>
      <w:r>
        <w:rPr>
          <w:sz w:val="4"/>
          <w:szCs w:val="4"/>
        </w:rPr>
        <w:t xml:space="preserve"/>
      </w:r>
    </w:p>
    <w:p>
      <w:pPr>
        <w:spacing w:after="20"/>
      </w:pPr>
      <w:r>
        <w:rPr>
          <w:i/>
          <w:iCs/>
          <w:color w:val="666666"/>
          <w:sz w:val="19"/>
          <w:szCs w:val="19"/>
        </w:rPr>
        <w:t xml:space="preserve">Reviewed by: BA Expert (Trade Finance) · Date: 25 August 2026</w:t>
      </w:r>
    </w:p>
    <w:p>
      <w:pPr>
        <w:spacing w:after="300"/>
      </w:pPr>
      <w:r>
        <w:rPr>
          <w:i/>
          <w:iCs/>
          <w:color w:val="666666"/>
          <w:sz w:val="19"/>
          <w:szCs w:val="19"/>
        </w:rPr>
        <w:t xml:space="preserve">Scope reviewed: microservices/balance-component (source, API spec, decision tables), the balance-component knowledge base, business-rule decisions, test-case proposals, and quality/regression reports supplied in the connected project folder.</w:t>
      </w:r>
    </w:p>
    <w:p>
      <w:pPr>
        <w:pBdr>
          <w:left w:val="single" w:color="C0793A" w:sz="18" w:space="8"/>
        </w:pBdr>
        <w:shd w:fill="F2E9DC" w:val="clear"/>
        <w:spacing w:after="260" w:before="60"/>
        <w:ind w:left="120"/>
      </w:pPr>
      <w:r>
        <w:rPr>
          <w:b/>
          <w:bCs/>
          <w:color w:val="7A4A18"/>
          <w:sz w:val="19"/>
          <w:szCs w:val="19"/>
        </w:rPr>
        <w:t xml:space="preserve">Revision note (25 August 2026)  </w:t>
      </w:r>
      <w:r>
        <w:rPr>
          <w:color w:val="5A3A14"/>
          <w:sz w:val="19"/>
          <w:szCs w:val="19"/>
        </w:rPr>
        <w:t xml:space="preserve">An earlier draft of this review flagged the Folio 3/5 "shadow memo" labeling of Acceptance/DPU GL effects as contradicting the taxonomy's ON_BALANCE_LIABILITY classification (originally finding F2). On further verification against the source knowledge base — ifrs-9-contingent-to-actual-reclassification-boundary.md, exposurenature-actual-tagging-for-acceptance-dpu.md, and on-balance-sheet-asset-instruments-are-out-of-balance-component-s-cont.md — this is confirmed not to be a defect: the component's own domain model already tags an Acceptance/DPU exposure exposureNature = ACTUAL once a draft is accepted, and the actual on-balance-sheet booking is intentionally excluded from this component's scope, the same way EBL/IBL financing is. See the added strength in Section 3 for the corrected explanation. This finding has been withdrawn and the remaining findings renumbered accordingly (16 findings → 15).</w:t>
      </w:r>
    </w:p>
    <w:p>
      <w:pPr>
        <w:pStyle w:val="Heading1"/>
        <w:pBdr>
          <w:bottom w:val="single" w:color="1F3864" w:sz="6" w:space="4"/>
        </w:pBdr>
        <w:spacing w:after="160" w:before="360"/>
      </w:pPr>
      <w:r>
        <w:rPr>
          <w:b/>
          <w:bCs/>
          <w:color w:val="1F3864"/>
          <w:sz w:val="28"/>
          <w:szCs w:val="28"/>
        </w:rPr>
        <w:t xml:space="preserve">1. Executive Summary</w:t>
      </w:r>
    </w:p>
    <w:p>
      <w:pPr>
        <w:spacing w:after="160" w:line="276"/>
      </w:pPr>
      <w:r>
        <w:rPr>
          <w:sz w:val="21"/>
          <w:szCs w:val="21"/>
        </w:rPr>
        <w:t xml:space="preserve">This is a well-bounded, correctly-scoped component for its stated purpose — tracking contingent liability and off-balance-sheet exposure for Import LC and Confirmed Export LC — built with an unusually strong level of documentation and self-review discipline for this stage of a project. The team's own quality report already rates it a "conditional pass," not production-ready, and I agree with that assessment.</w:t>
      </w:r>
    </w:p>
    <w:p>
      <w:pPr>
        <w:spacing w:after="160" w:line="276"/>
      </w:pPr>
      <w:r>
        <w:rPr>
          <w:sz w:val="21"/>
          <w:szCs w:val="21"/>
        </w:rPr>
        <w:t xml:space="preserve">From a business-analysis and accounting-correctness standpoint, one finding stands above the rest and should be resolved before further build-out continues: the absence of any expiry / UCP 600 Art. 16(f) auto-release mechanism (F1) — addressed in detail below. A concern raised in an earlier draft about Acceptance/DPU treatment was investigated further at the request of the engineering team and confirmed to be correctly designed rather than a defect; see the Revision Note above and the corresponding strength in Section 3. Aside from F1, the remaining findings are either already correctly scoped out of the component, already flagged and gated by the engineering team, or lower-severity items — with F2 (Export Buyer's Usance) standing out as a business-owned action item that has simply been left open rather than closed.</w:t>
      </w:r>
    </w:p>
    <w:p>
      <w:pPr>
        <w:spacing w:after="160" w:line="276"/>
      </w:pPr>
      <w:r>
        <w:rPr>
          <w:sz w:val="21"/>
          <w:szCs w:val="21"/>
        </w:rPr>
        <w:t xml:space="preserve">Fifteen findings are recorded: 3 High, 8 Medium, 4 Low. None are novel discoveries in the sense of catching the team unaware — the majority are already present in some form in the project's own open-issues register — but F2 especially is a BA-owned decision that remains open and should not be allowed to default silently.</w:t>
      </w:r>
    </w:p>
    <w:p>
      <w:pPr>
        <w:pStyle w:val="Heading1"/>
        <w:pBdr>
          <w:bottom w:val="single" w:color="1F3864" w:sz="6" w:space="4"/>
        </w:pBdr>
        <w:spacing w:after="160" w:before="360"/>
      </w:pPr>
      <w:r>
        <w:rPr>
          <w:b/>
          <w:bCs/>
          <w:color w:val="1F3864"/>
          <w:sz w:val="28"/>
          <w:szCs w:val="28"/>
        </w:rPr>
        <w:t xml:space="preserve">2. Scope &amp; Boundary Assessment</w:t>
      </w:r>
    </w:p>
    <w:p>
      <w:pPr>
        <w:spacing w:after="160" w:line="276"/>
      </w:pPr>
      <w:r>
        <w:rPr>
          <w:sz w:val="21"/>
          <w:szCs w:val="21"/>
        </w:rPr>
        <w:t xml:space="preserve">The stated boundary — "a microservice for tracking Contingent Liability and off-balance-sheet liability for Import LC and Confirmed LC" — is met precisely. The codebase is a single deployable service (microservices/balance-component), cleanly layered into service, domain and store modules, exposing a generic, instrument-agnostic REST API (13 endpoints under /balance-contracts and /balance-movements) that 16 named business functions reuse without the service itself knowing which function called it.</w:t>
      </w:r>
    </w:p>
    <w:p>
      <w:pPr>
        <w:spacing w:after="160" w:line="276"/>
      </w:pPr>
      <w:r>
        <w:rPr>
          <w:sz w:val="21"/>
          <w:szCs w:val="21"/>
        </w:rPr>
        <w:t xml:space="preserve">The OpenAPI specification states its own out-of-scope list explicitly: actual funded/discounted exposure (IBL/EBL, the Loan Component's domain, fronting an external eLoan system), interest/accrual calculation (also Loan Component), and GL account mapping (this component only carries caller-supplied accountEntries through to a downstream accounting component, never interpreting them). No customer/CIF master data is modeled at all; natural keys are limited to lcNumber / ibNumber / sgNumber. A reserved InstrumentType for plain (unconfirmed) Export LC exists in the schema but is explicitly disclosed as dead — no function ever creates one — so it is not scope creep in practice.</w:t>
      </w:r>
    </w:p>
    <w:p>
      <w:pPr>
        <w:spacing w:after="160" w:line="276"/>
      </w:pPr>
      <w:r>
        <w:rPr>
          <w:sz w:val="21"/>
          <w:szCs w:val="21"/>
        </w:rPr>
        <w:t xml:space="preserve">The only structural note worth flagging is that the exposure-graph relationship that matters most for correctness — the link from an LC to its linked Shipping Guarantee and Acceptance — is application-layer only, with no database foreign key behind it (see F7). The boundary of what the component is responsible for is right; the boundary of what the schema enforces is slightly looser than the boundary of what the business rules assume.</w:t>
      </w:r>
    </w:p>
    <w:p>
      <w:pPr>
        <w:pStyle w:val="Heading1"/>
        <w:pBdr>
          <w:bottom w:val="single" w:color="1F3864" w:sz="6" w:space="4"/>
        </w:pBdr>
        <w:spacing w:after="160" w:before="360"/>
      </w:pPr>
      <w:r>
        <w:rPr>
          <w:b/>
          <w:bCs/>
          <w:color w:val="1F3864"/>
          <w:sz w:val="28"/>
          <w:szCs w:val="28"/>
        </w:rPr>
        <w:t xml:space="preserve">3. Strengths</w:t>
      </w:r>
    </w:p>
    <w:p>
      <w:pPr>
        <w:pStyle w:val="ListParagraph"/>
        <w:numPr>
          <w:ilvl w:val="0"/>
          <w:numId w:val="2"/>
        </w:numPr>
        <w:spacing w:after="100" w:line="270"/>
      </w:pPr>
      <w:r>
        <w:rPr>
          <w:sz w:val="21"/>
          <w:szCs w:val="21"/>
        </w:rPr>
        <w:t xml:space="preserve">Scope matches the mandate precisely: the component covers Import LC (functions A1–A10) and Confirmed Export LC (EPLC_CONFIRMATION, functions B1–B6) only. GL posting, funded/discounted exposure and interest/accrual (all explicitly assigned to a separate Loan Component), and any CIF/customer master data are correctly and explicitly excluded — confirmed both in the OpenAPI spec's own scope statement and by the absence of any such logic in the code.</w:t>
      </w:r>
    </w:p>
    <w:p>
      <w:pPr>
        <w:pStyle w:val="ListParagraph"/>
        <w:numPr>
          <w:ilvl w:val="0"/>
          <w:numId w:val="2"/>
        </w:numPr>
        <w:spacing w:after="100" w:line="270"/>
      </w:pPr>
      <w:r>
        <w:rPr>
          <w:sz w:val="21"/>
          <w:szCs w:val="21"/>
        </w:rPr>
        <w:t xml:space="preserve">LC + SG exposure is correctly netted, not summed — offBalanceExposure.ts reduces available balance rather than adding SG exposure on top of LC exposure, so no double counting occurs on that path today.</w:t>
      </w:r>
    </w:p>
    <w:p>
      <w:pPr>
        <w:pStyle w:val="ListParagraph"/>
        <w:numPr>
          <w:ilvl w:val="0"/>
          <w:numId w:val="2"/>
        </w:numPr>
        <w:spacing w:after="100" w:line="270"/>
      </w:pPr>
      <w:r>
        <w:rPr>
          <w:sz w:val="21"/>
          <w:szCs w:val="21"/>
        </w:rPr>
        <w:t xml:space="preserve">The sequential exposure transform (LC → Acceptance at UTILIZE, SG → LC at document match) is implemented as a genuine subtract-then-add transform and is self-documented as such — a correct application of "exposure transforms, it does not accumulate."</w:t>
      </w:r>
    </w:p>
    <w:p>
      <w:pPr>
        <w:pStyle w:val="ListParagraph"/>
        <w:numPr>
          <w:ilvl w:val="0"/>
          <w:numId w:val="2"/>
        </w:numPr>
        <w:spacing w:after="100" w:line="270"/>
      </w:pPr>
      <w:r>
        <w:rPr>
          <w:sz w:val="21"/>
          <w:szCs w:val="21"/>
        </w:rPr>
        <w:t xml:space="preserve">The ledger itself is a clean, append-only design: every balance is derived at query time from movement history rather than cached, with a DB-enforced single-active-version constraint and a real (balanceContractId, eventSeq) idempotency key. Money is stored as decimal text, avoiding floating-point rounding risk.</w:t>
      </w:r>
    </w:p>
    <w:p>
      <w:pPr>
        <w:pStyle w:val="ListParagraph"/>
        <w:numPr>
          <w:ilvl w:val="0"/>
          <w:numId w:val="2"/>
        </w:numPr>
        <w:spacing w:after="100" w:line="270"/>
      </w:pPr>
      <w:r>
        <w:rPr>
          <w:sz w:val="21"/>
          <w:szCs w:val="21"/>
        </w:rPr>
        <w:t xml:space="preserve">Maker-checker is real and broadly enforced, including on the Close and SG-redemption functions, with same-user release explicitly rejected — not just a UI-level control.</w:t>
      </w:r>
    </w:p>
    <w:p>
      <w:pPr>
        <w:pStyle w:val="ListParagraph"/>
        <w:numPr>
          <w:ilvl w:val="0"/>
          <w:numId w:val="2"/>
        </w:numPr>
        <w:spacing w:after="100" w:line="270"/>
      </w:pPr>
      <w:r>
        <w:rPr>
          <w:sz w:val="21"/>
          <w:szCs w:val="21"/>
        </w:rPr>
        <w:t xml:space="preserve">Acceptance/DPU handling is correctly scoped: once a draft is accepted, the component's own domain model tags the resulting exposure exposureNature = ACTUAL (not CONTINGENT), correctly reflecting the shift from a contingent to a present, unconditional liability under IFRS 9. The actual on-balance-sheet booking of that liability and its matching receivable is — by design — excluded from this component (deriveContingentAccountEntry() returns null for the resulting on-balance-sheet asset instruments), mirroring the same boundary used for EBL/IBL discounted exposure, which sits with the Loan Component downstream. The Folio 3/5 "shadow memo" Dr/Cr pair is a reference-only MIS reconciliation display, not the accounting record, and nothing in the implementation mistakes it for one.</w:t>
      </w:r>
    </w:p>
    <w:p>
      <w:pPr>
        <w:pStyle w:val="ListParagraph"/>
        <w:numPr>
          <w:ilvl w:val="0"/>
          <w:numId w:val="2"/>
        </w:numPr>
        <w:spacing w:after="100" w:line="270"/>
      </w:pPr>
      <w:r>
        <w:rPr>
          <w:sz w:val="21"/>
          <w:szCs w:val="21"/>
        </w:rPr>
        <w:t xml:space="preserve">Unusually mature self-review discipline for this stage of a project: a documented OOD/SOLID design critique with most High/Medium findings tracked to resolution; a live, end-to-end business-case test registry that grew from 14 to 23 cases run against the actual running stack (not mocks); a passing SonarQube quality gate (0 bugs, 0 vulnerabilities, ~98% coverage); and a 703-note bilingual knowledge base with its own quality scoring and a maintained, 79-item open-conflicts register.</w:t>
      </w:r>
    </w:p>
    <w:p>
      <w:pPr>
        <w:pStyle w:val="ListParagraph"/>
        <w:numPr>
          <w:ilvl w:val="0"/>
          <w:numId w:val="2"/>
        </w:numPr>
        <w:spacing w:after="100" w:line="270"/>
      </w:pPr>
      <w:r>
        <w:rPr>
          <w:sz w:val="21"/>
          <w:szCs w:val="21"/>
        </w:rPr>
        <w:t xml:space="preserve">Known production blockers (no authentication, Angular CVEs, SQLite whole-file locking) are explicit, named, and gated — the team has not silently shipped around them.</w:t>
      </w:r>
    </w:p>
    <w:p>
      <w:pPr>
        <w:pStyle w:val="Heading1"/>
        <w:pBdr>
          <w:bottom w:val="single" w:color="1F3864" w:sz="6" w:space="4"/>
        </w:pBdr>
        <w:spacing w:after="160" w:before="360"/>
      </w:pPr>
      <w:r>
        <w:rPr>
          <w:b/>
          <w:bCs/>
          <w:color w:val="1F3864"/>
          <w:sz w:val="28"/>
          <w:szCs w:val="28"/>
        </w:rPr>
        <w:t xml:space="preserve">4. Findings</w:t>
      </w:r>
    </w:p>
    <w:p>
      <w:pPr>
        <w:spacing w:after="160" w:line="276"/>
      </w:pPr>
      <w:r>
        <w:rPr>
          <w:sz w:val="21"/>
          <w:szCs w:val="21"/>
        </w:rPr>
        <w:t xml:space="preserve">Ordered by severity. Each finding cites the evidence found in the project's own documentation or source, the business impact, and a recommendation.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864" w:val="clear"/>
            <w:tcMar>
              <w:top w:type="dxa" w:w="80"/>
              <w:left w:type="dxa" w:w="100"/>
              <w:bottom w:type="dxa" w:w="80"/>
              <w:right w:type="dxa" w:w="100"/>
            </w:tcMar>
            <w:vAlign w:val="top"/>
          </w:tcPr>
          <w:p>
            <w:r>
              <w:rPr>
                <w:b/>
                <w:bCs/>
                <w:color w:val="FFFFFF"/>
                <w:sz w:val="19"/>
                <w:szCs w:val="19"/>
              </w:rPr>
              <w:t xml:space="preserve">Sev / ID</w:t>
            </w:r>
          </w:p>
        </w:tc>
        <w:tc>
          <w:tcPr>
            <w:tcW w:type="dxa" w:w="2600"/>
            <w:shd w:fill="1F3864" w:val="clear"/>
            <w:tcMar>
              <w:top w:type="dxa" w:w="80"/>
              <w:left w:type="dxa" w:w="100"/>
              <w:bottom w:type="dxa" w:w="80"/>
              <w:right w:type="dxa" w:w="100"/>
            </w:tcMar>
            <w:vAlign w:val="top"/>
          </w:tcPr>
          <w:p>
            <w:r>
              <w:rPr>
                <w:b/>
                <w:bCs/>
                <w:color w:val="FFFFFF"/>
                <w:sz w:val="19"/>
                <w:szCs w:val="19"/>
              </w:rPr>
              <w:t xml:space="preserve">Finding</w:t>
            </w:r>
          </w:p>
        </w:tc>
        <w:tc>
          <w:tcPr>
            <w:tcW w:type="dxa" w:w="3200"/>
            <w:shd w:fill="1F3864" w:val="clear"/>
            <w:tcMar>
              <w:top w:type="dxa" w:w="80"/>
              <w:left w:type="dxa" w:w="100"/>
              <w:bottom w:type="dxa" w:w="80"/>
              <w:right w:type="dxa" w:w="100"/>
            </w:tcMar>
            <w:vAlign w:val="top"/>
          </w:tcPr>
          <w:p>
            <w:r>
              <w:rPr>
                <w:b/>
                <w:bCs/>
                <w:color w:val="FFFFFF"/>
                <w:sz w:val="19"/>
                <w:szCs w:val="19"/>
              </w:rPr>
              <w:t xml:space="preserve">Evidence &amp; impact</w:t>
            </w:r>
          </w:p>
        </w:tc>
        <w:tc>
          <w:tcPr>
            <w:tcW w:type="dxa" w:w="2900"/>
            <w:shd w:fill="1F3864" w:val="clear"/>
            <w:tcMar>
              <w:top w:type="dxa" w:w="80"/>
              <w:left w:type="dxa" w:w="100"/>
              <w:bottom w:type="dxa" w:w="80"/>
              <w:right w:type="dxa" w:w="100"/>
            </w:tcMar>
            <w:vAlign w:val="top"/>
          </w:tcPr>
          <w:p>
            <w:r>
              <w:rPr>
                <w:b/>
                <w:bCs/>
                <w:color w:val="FFFFFF"/>
                <w:sz w:val="19"/>
                <w:szCs w:val="19"/>
              </w:rPr>
              <w:t xml:space="preserve">Recommendation</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F1</w:t>
            </w:r>
          </w:p>
        </w:tc>
        <w:tc>
          <w:tcPr>
            <w:tcW w:type="dxa" w:w="2600"/>
            <w:tcMar>
              <w:top w:type="dxa" w:w="80"/>
              <w:left w:type="dxa" w:w="100"/>
              <w:bottom w:type="dxa" w:w="80"/>
              <w:right w:type="dxa" w:w="100"/>
            </w:tcMar>
            <w:vAlign w:val="top"/>
          </w:tcPr>
          <w:p>
            <w:pPr>
              <w:spacing w:line="260"/>
            </w:pPr>
            <w:r>
              <w:rPr>
                <w:b/>
                <w:bCs/>
                <w:sz w:val="18"/>
                <w:szCs w:val="18"/>
              </w:rPr>
              <w:t xml:space="preserve">No expiry / UCP 600 Art. 16(f) auto-release trigger</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GAP-005/GAP-006 — source-level check found no timer/cron job and no Art.16(f) preclusion logic anywhere; only a single CLOSE movement type, driven exclusively by manual Maker/Checker action.</w:t>
            </w:r>
          </w:p>
          <w:p>
            <w:pPr>
              <w:spacing w:line="250"/>
            </w:pPr>
            <w:r>
              <w:rPr>
                <w:i/>
                <w:iCs/>
                <w:color w:val="555555"/>
                <w:sz w:val="17"/>
                <w:szCs w:val="17"/>
              </w:rPr>
              <w:t xml:space="preserve">A contingent liability that is never legally released stays on the off-balance-sheet book indefinitely unless someone remembers to close it manually. This is precisely the "commonest cause of an overstated off-BS book" pattern, and it also blurs voluntary closure together with date-triggered expiry, which are legally different events.</w:t>
            </w:r>
          </w:p>
        </w:tc>
        <w:tc>
          <w:tcPr>
            <w:tcW w:type="dxa" w:w="2900"/>
            <w:tcMar>
              <w:top w:type="dxa" w:w="80"/>
              <w:left w:type="dxa" w:w="100"/>
              <w:bottom w:type="dxa" w:w="80"/>
              <w:right w:type="dxa" w:w="100"/>
            </w:tcMar>
            <w:vAlign w:val="top"/>
          </w:tcPr>
          <w:p>
            <w:pPr>
              <w:spacing w:line="260"/>
            </w:pPr>
            <w:r>
              <w:rPr>
                <w:sz w:val="18"/>
                <w:szCs w:val="18"/>
              </w:rPr>
              <w:t xml:space="preserve">Add a distinct EXPIRE movement type, self-triggered at expiry_date + mail_float_grace (never a flat +21 days), independent of the manual CLOSE path, before this ledger is relied on for real contingent-liability reporting.</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F2</w:t>
            </w:r>
          </w:p>
        </w:tc>
        <w:tc>
          <w:tcPr>
            <w:tcW w:type="dxa" w:w="2600"/>
            <w:tcMar>
              <w:top w:type="dxa" w:w="80"/>
              <w:left w:type="dxa" w:w="100"/>
              <w:bottom w:type="dxa" w:w="80"/>
              <w:right w:type="dxa" w:w="100"/>
            </w:tcMar>
            <w:vAlign w:val="top"/>
          </w:tcPr>
          <w:p>
            <w:pPr>
              <w:spacing w:line="260"/>
            </w:pPr>
            <w:r>
              <w:rPr>
                <w:b/>
                <w:bCs/>
                <w:sz w:val="18"/>
                <w:szCs w:val="18"/>
              </w:rPr>
              <w:t xml:space="preserve">Export Buyer's Usance still not rejected or normalized</w:t>
            </w:r>
          </w:p>
        </w:tc>
        <w:tc>
          <w:tcPr>
            <w:tcW w:type="dxa" w:w="3200"/>
            <w:tcMar>
              <w:top w:type="dxa" w:w="80"/>
              <w:left w:type="dxa" w:w="100"/>
              <w:bottom w:type="dxa" w:w="80"/>
              <w:right w:type="dxa" w:w="100"/>
            </w:tcMar>
            <w:vAlign w:val="top"/>
          </w:tcPr>
          <w:p>
            <w:pPr>
              <w:spacing w:after="60" w:line="250"/>
            </w:pPr>
            <w:r>
              <w:rPr>
                <w:sz w:val="17"/>
                <w:szCs w:val="17"/>
              </w:rPr>
              <w:t xml:space="preserve">Business-Rule-Decisions memo (2026-08-21), Action Item 3, still marked not done in the 2026-08-24 addendum. The TenorType enum carries no undertakingAvailability / financingStructure / fundingParty / availableWith / bankRole fields, and a code comment states Sellers'- and Buyers'-Usance "drive identical Balance mechanics."</w:t>
            </w:r>
          </w:p>
          <w:p>
            <w:pPr>
              <w:spacing w:line="250"/>
            </w:pPr>
            <w:r>
              <w:rPr>
                <w:i/>
                <w:iCs/>
                <w:color w:val="555555"/>
                <w:sz w:val="17"/>
                <w:szCs w:val="17"/>
              </w:rPr>
              <w:t xml:space="preserve">Accounting is being routed off tenorType alone, which is exactly the pattern that hides the BU-B (REFINANCING_BANK) interbank leg behind what looks like an ordinary BU-A (self-funded) usance.</w:t>
            </w:r>
          </w:p>
        </w:tc>
        <w:tc>
          <w:tcPr>
            <w:tcW w:type="dxa" w:w="2900"/>
            <w:tcMar>
              <w:top w:type="dxa" w:w="80"/>
              <w:left w:type="dxa" w:w="100"/>
              <w:bottom w:type="dxa" w:w="80"/>
              <w:right w:type="dxa" w:w="100"/>
            </w:tcMar>
            <w:vAlign w:val="top"/>
          </w:tcPr>
          <w:p>
            <w:pPr>
              <w:spacing w:line="260"/>
            </w:pPr>
            <w:r>
              <w:rPr>
                <w:sz w:val="18"/>
                <w:szCs w:val="18"/>
              </w:rPr>
              <w:t xml:space="preserve">Close this out — either implement the reject/normalize rule the BA decision called for, or formally document a scope change. It is currently an open action item owned by the business side, not engineering.</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F3</w:t>
            </w:r>
          </w:p>
        </w:tc>
        <w:tc>
          <w:tcPr>
            <w:tcW w:type="dxa" w:w="2600"/>
            <w:tcMar>
              <w:top w:type="dxa" w:w="80"/>
              <w:left w:type="dxa" w:w="100"/>
              <w:bottom w:type="dxa" w:w="80"/>
              <w:right w:type="dxa" w:w="100"/>
            </w:tcMar>
            <w:vAlign w:val="top"/>
          </w:tcPr>
          <w:p>
            <w:pPr>
              <w:spacing w:line="260"/>
            </w:pPr>
            <w:r>
              <w:rPr>
                <w:b/>
                <w:bCs/>
                <w:sz w:val="18"/>
                <w:szCs w:val="18"/>
              </w:rPr>
              <w:t xml:space="preserve">No production-grade authentication or authorization</w:t>
            </w:r>
          </w:p>
        </w:tc>
        <w:tc>
          <w:tcPr>
            <w:tcW w:type="dxa" w:w="3200"/>
            <w:tcMar>
              <w:top w:type="dxa" w:w="80"/>
              <w:left w:type="dxa" w:w="100"/>
              <w:bottom w:type="dxa" w:w="80"/>
              <w:right w:type="dxa" w:w="100"/>
            </w:tcMar>
            <w:vAlign w:val="top"/>
          </w:tcPr>
          <w:p>
            <w:pPr>
              <w:spacing w:after="60" w:line="250"/>
            </w:pPr>
            <w:r>
              <w:rPr>
                <w:sz w:val="17"/>
                <w:szCs w:val="17"/>
              </w:rPr>
              <w:t xml:space="preserve">Tracked by engineering as BAL-001 (blocker). createdBy / releasedBy / checkerId are client-supplied free text and are trusted as-is; maker/checker identity is currently demo values.</w:t>
            </w:r>
          </w:p>
          <w:p>
            <w:pPr>
              <w:spacing w:line="250"/>
            </w:pPr>
            <w:r>
              <w:rPr>
                <w:i/>
                <w:iCs/>
                <w:color w:val="555555"/>
                <w:sz w:val="17"/>
                <w:szCs w:val="17"/>
              </w:rPr>
              <w:t xml:space="preserve">Every entry in the audit trail — who submitted, who released — is currently unverifiable. This alone should block any pilot involving real counterparties or amounts.</w:t>
            </w:r>
          </w:p>
        </w:tc>
        <w:tc>
          <w:tcPr>
            <w:tcW w:type="dxa" w:w="2900"/>
            <w:tcMar>
              <w:top w:type="dxa" w:w="80"/>
              <w:left w:type="dxa" w:w="100"/>
              <w:bottom w:type="dxa" w:w="80"/>
              <w:right w:type="dxa" w:w="100"/>
            </w:tcMar>
            <w:vAlign w:val="top"/>
          </w:tcPr>
          <w:p>
            <w:pPr>
              <w:spacing w:line="260"/>
            </w:pPr>
            <w:r>
              <w:rPr>
                <w:sz w:val="18"/>
                <w:szCs w:val="18"/>
              </w:rPr>
              <w:t xml:space="preserve">Confirm this is on the critical path before go-live planning; not a BA-domain fix, but a hard sign-off gate.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F4</w:t>
            </w:r>
          </w:p>
        </w:tc>
        <w:tc>
          <w:tcPr>
            <w:tcW w:type="dxa" w:w="2600"/>
            <w:tcMar>
              <w:top w:type="dxa" w:w="80"/>
              <w:left w:type="dxa" w:w="100"/>
              <w:bottom w:type="dxa" w:w="80"/>
              <w:right w:type="dxa" w:w="100"/>
            </w:tcMar>
            <w:vAlign w:val="top"/>
          </w:tcPr>
          <w:p>
            <w:pPr>
              <w:spacing w:line="260"/>
            </w:pPr>
            <w:r>
              <w:rPr>
                <w:b/>
                <w:bCs/>
                <w:sz w:val="18"/>
                <w:szCs w:val="18"/>
              </w:rPr>
              <w:t xml:space="preserve">No beneficiary-consent gate before AMEND_DECREASE</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GAP-004 — a Checker can release an amount decrease with zero consent evidence captured.</w:t>
            </w:r>
          </w:p>
          <w:p>
            <w:pPr>
              <w:spacing w:line="250"/>
            </w:pPr>
            <w:r>
              <w:rPr>
                <w:i/>
                <w:iCs/>
                <w:color w:val="555555"/>
                <w:sz w:val="17"/>
                <w:szCs w:val="17"/>
              </w:rPr>
              <w:t xml:space="preserve">UCP 600 Art. 10(a)/(c) requires beneficiary consent to a decrease; without a captured reference, the ledger cannot demonstrate that consent existed if challenged.</w:t>
            </w:r>
          </w:p>
        </w:tc>
        <w:tc>
          <w:tcPr>
            <w:tcW w:type="dxa" w:w="2900"/>
            <w:tcMar>
              <w:top w:type="dxa" w:w="80"/>
              <w:left w:type="dxa" w:w="100"/>
              <w:bottom w:type="dxa" w:w="80"/>
              <w:right w:type="dxa" w:w="100"/>
            </w:tcMar>
            <w:vAlign w:val="top"/>
          </w:tcPr>
          <w:p>
            <w:pPr>
              <w:spacing w:line="260"/>
            </w:pPr>
            <w:r>
              <w:rPr>
                <w:sz w:val="18"/>
                <w:szCs w:val="18"/>
              </w:rPr>
              <w:t xml:space="preserve">Add a consent-reference or waiver-capture field as a precondition to releasing AMEND_DECREASE.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F5</w:t>
            </w:r>
          </w:p>
        </w:tc>
        <w:tc>
          <w:tcPr>
            <w:tcW w:type="dxa" w:w="2600"/>
            <w:tcMar>
              <w:top w:type="dxa" w:w="80"/>
              <w:left w:type="dxa" w:w="100"/>
              <w:bottom w:type="dxa" w:w="80"/>
              <w:right w:type="dxa" w:w="100"/>
            </w:tcMar>
            <w:vAlign w:val="top"/>
          </w:tcPr>
          <w:p>
            <w:pPr>
              <w:spacing w:line="260"/>
            </w:pPr>
            <w:r>
              <w:rPr>
                <w:b/>
                <w:bCs/>
                <w:sz w:val="18"/>
                <w:szCs w:val="18"/>
              </w:rPr>
              <w:t xml:space="preserve">Shipping Guarantee compound-leg redemption still uses MIN(Document, SG)</w:t>
            </w:r>
          </w:p>
        </w:tc>
        <w:tc>
          <w:tcPr>
            <w:tcW w:type="dxa" w:w="3200"/>
            <w:tcMar>
              <w:top w:type="dxa" w:w="80"/>
              <w:left w:type="dxa" w:w="100"/>
              <w:bottom w:type="dxa" w:w="80"/>
              <w:right w:type="dxa" w:w="100"/>
            </w:tcMar>
            <w:vAlign w:val="top"/>
          </w:tcPr>
          <w:p>
            <w:pPr>
              <w:spacing w:after="60" w:line="250"/>
            </w:pPr>
            <w:r>
              <w:rPr>
                <w:sz w:val="17"/>
                <w:szCs w:val="17"/>
              </w:rPr>
              <w:t xml:space="preserve">The standalone SG path (A9) was fixed to full, instrument-based redemption; the document-matched compound path (A3S) still computes sgRedeemAmount = MIN(Document Amount, SG Outstanding), framed in the Business-Rule-Decisions memo as a narrow, BA-approved exception.</w:t>
            </w:r>
          </w:p>
          <w:p>
            <w:pPr>
              <w:spacing w:line="250"/>
            </w:pPr>
            <w:r>
              <w:rPr>
                <w:i/>
                <w:iCs/>
                <w:color w:val="555555"/>
                <w:sz w:val="17"/>
                <w:szCs w:val="17"/>
              </w:rPr>
              <w:t xml:space="preserve">SG discharge should be instrument-triggered (the carrier returning the original SG, a written release, or B/L surrender), never amount-derived — MIN() leaves an unclearable residual whenever the LC carries the usual ~110% SG uplift.</w:t>
            </w:r>
          </w:p>
        </w:tc>
        <w:tc>
          <w:tcPr>
            <w:tcW w:type="dxa" w:w="2900"/>
            <w:tcMar>
              <w:top w:type="dxa" w:w="80"/>
              <w:left w:type="dxa" w:w="100"/>
              <w:bottom w:type="dxa" w:w="80"/>
              <w:right w:type="dxa" w:w="100"/>
            </w:tcMar>
            <w:vAlign w:val="top"/>
          </w:tcPr>
          <w:p>
            <w:pPr>
              <w:spacing w:line="260"/>
            </w:pPr>
            <w:r>
              <w:rPr>
                <w:sz w:val="18"/>
                <w:szCs w:val="18"/>
              </w:rPr>
              <w:t xml:space="preserve">Revisit once a genuine "carrier release" event source exists for the compound path; until then, document the residual-balance risk explicitly rather than leaving it implicit.</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F6</w:t>
            </w:r>
          </w:p>
        </w:tc>
        <w:tc>
          <w:tcPr>
            <w:tcW w:type="dxa" w:w="2600"/>
            <w:tcMar>
              <w:top w:type="dxa" w:w="80"/>
              <w:left w:type="dxa" w:w="100"/>
              <w:bottom w:type="dxa" w:w="80"/>
              <w:right w:type="dxa" w:w="100"/>
            </w:tcMar>
            <w:vAlign w:val="top"/>
          </w:tcPr>
          <w:p>
            <w:pPr>
              <w:spacing w:line="260"/>
            </w:pPr>
            <w:r>
              <w:rPr>
                <w:b/>
                <w:bCs/>
                <w:sz w:val="18"/>
                <w:szCs w:val="18"/>
              </w:rPr>
              <w:t xml:space="preserve">No cross-currency / FX handling</w:t>
            </w:r>
          </w:p>
        </w:tc>
        <w:tc>
          <w:tcPr>
            <w:tcW w:type="dxa" w:w="3200"/>
            <w:tcMar>
              <w:top w:type="dxa" w:w="80"/>
              <w:left w:type="dxa" w:w="100"/>
              <w:bottom w:type="dxa" w:w="80"/>
              <w:right w:type="dxa" w:w="100"/>
            </w:tcMar>
            <w:vAlign w:val="top"/>
          </w:tcPr>
          <w:p>
            <w:pPr>
              <w:spacing w:after="60" w:line="250"/>
            </w:pPr>
            <w:r>
              <w:rPr>
                <w:sz w:val="17"/>
                <w:szCs w:val="17"/>
              </w:rPr>
              <w:t xml:space="preserve">05-Tolerance-FX notes self-disclose that tolerance and balance logic are single-currency only — no revaluation trigger, no rate table, no consolidated or base-currency exposure view.</w:t>
            </w:r>
          </w:p>
          <w:p>
            <w:pPr>
              <w:spacing w:line="250"/>
            </w:pPr>
            <w:r>
              <w:rPr>
                <w:i/>
                <w:iCs/>
                <w:color w:val="555555"/>
                <w:sz w:val="17"/>
                <w:szCs w:val="17"/>
              </w:rPr>
              <w:t xml:space="preserve">Import/export LC books are inherently multi-currency; without this, any consolidated exposure or limit-utilisation figure has to be assembled entirely outside the component.</w:t>
            </w:r>
          </w:p>
        </w:tc>
        <w:tc>
          <w:tcPr>
            <w:tcW w:type="dxa" w:w="2900"/>
            <w:tcMar>
              <w:top w:type="dxa" w:w="80"/>
              <w:left w:type="dxa" w:w="100"/>
              <w:bottom w:type="dxa" w:w="80"/>
              <w:right w:type="dxa" w:w="100"/>
            </w:tcMar>
            <w:vAlign w:val="top"/>
          </w:tcPr>
          <w:p>
            <w:pPr>
              <w:spacing w:line="260"/>
            </w:pPr>
            <w:r>
              <w:rPr>
                <w:sz w:val="18"/>
                <w:szCs w:val="18"/>
              </w:rPr>
              <w:t xml:space="preserve">Confirm in writing whether FX consolidation is intentionally a downstream responsibility. If not, scope it in before go-live.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F7</w:t>
            </w:r>
          </w:p>
        </w:tc>
        <w:tc>
          <w:tcPr>
            <w:tcW w:type="dxa" w:w="2600"/>
            <w:tcMar>
              <w:top w:type="dxa" w:w="80"/>
              <w:left w:type="dxa" w:w="100"/>
              <w:bottom w:type="dxa" w:w="80"/>
              <w:right w:type="dxa" w:w="100"/>
            </w:tcMar>
            <w:vAlign w:val="top"/>
          </w:tcPr>
          <w:p>
            <w:pPr>
              <w:spacing w:line="260"/>
            </w:pPr>
            <w:r>
              <w:rPr>
                <w:b/>
                <w:bCs/>
                <w:sz w:val="18"/>
                <w:szCs w:val="18"/>
              </w:rPr>
              <w:t xml:space="preserve">Cross-instrument exposure aggregation has no general safeguard</w:t>
            </w:r>
          </w:p>
        </w:tc>
        <w:tc>
          <w:tcPr>
            <w:tcW w:type="dxa" w:w="3200"/>
            <w:tcMar>
              <w:top w:type="dxa" w:w="80"/>
              <w:left w:type="dxa" w:w="100"/>
              <w:bottom w:type="dxa" w:w="80"/>
              <w:right w:type="dxa" w:w="100"/>
            </w:tcMar>
            <w:vAlign w:val="top"/>
          </w:tcPr>
          <w:p>
            <w:pPr>
              <w:spacing w:after="60" w:line="250"/>
            </w:pPr>
            <w:r>
              <w:rPr>
                <w:sz w:val="17"/>
                <w:szCs w:val="17"/>
              </w:rPr>
              <w:t xml:space="preserve">Each function hardcodes its own netting sequence (subtract-then-add) rather than calling a shared MAX-based aggregator; parent_logical_contract_id (the LC ↔ SG/Acceptance link) is an application-layer relationship only, with no foreign key enforcing it.</w:t>
            </w:r>
          </w:p>
          <w:p>
            <w:pPr>
              <w:spacing w:line="250"/>
            </w:pPr>
            <w:r>
              <w:rPr>
                <w:i/>
                <w:iCs/>
                <w:color w:val="555555"/>
                <w:sz w:val="17"/>
                <w:szCs w:val="17"/>
              </w:rPr>
              <w:t xml:space="preserve">The LC+SG+Acceptance exposure is correctly netted today, but only because the sequencing lives in scattered, per-function logic. Nothing in the schema stops a future report or consumer from naively summing raw balances across a linked contract family and double-counting.</w:t>
            </w:r>
          </w:p>
        </w:tc>
        <w:tc>
          <w:tcPr>
            <w:tcW w:type="dxa" w:w="2900"/>
            <w:tcMar>
              <w:top w:type="dxa" w:w="80"/>
              <w:left w:type="dxa" w:w="100"/>
              <w:bottom w:type="dxa" w:w="80"/>
              <w:right w:type="dxa" w:w="100"/>
            </w:tcMar>
            <w:vAlign w:val="top"/>
          </w:tcPr>
          <w:p>
            <w:pPr>
              <w:spacing w:line="260"/>
            </w:pPr>
            <w:r>
              <w:rPr>
                <w:sz w:val="18"/>
                <w:szCs w:val="18"/>
              </w:rPr>
              <w:t xml:space="preserve">Add either a DB-level FK on parent_logical_contract_id or an explicit "never SUM across a linked-contract tree" helper/guardrail before any new consumer is built on this data.</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F8</w:t>
            </w:r>
          </w:p>
        </w:tc>
        <w:tc>
          <w:tcPr>
            <w:tcW w:type="dxa" w:w="2600"/>
            <w:tcMar>
              <w:top w:type="dxa" w:w="80"/>
              <w:left w:type="dxa" w:w="100"/>
              <w:bottom w:type="dxa" w:w="80"/>
              <w:right w:type="dxa" w:w="100"/>
            </w:tcMar>
            <w:vAlign w:val="top"/>
          </w:tcPr>
          <w:p>
            <w:pPr>
              <w:spacing w:line="260"/>
            </w:pPr>
            <w:r>
              <w:rPr>
                <w:b/>
                <w:bCs/>
                <w:sz w:val="18"/>
                <w:szCs w:val="18"/>
              </w:rPr>
              <w:t xml:space="preserve">Direction is encoded two different ways</w:t>
            </w:r>
          </w:p>
        </w:tc>
        <w:tc>
          <w:tcPr>
            <w:tcW w:type="dxa" w:w="3200"/>
            <w:tcMar>
              <w:top w:type="dxa" w:w="80"/>
              <w:left w:type="dxa" w:w="100"/>
              <w:bottom w:type="dxa" w:w="80"/>
              <w:right w:type="dxa" w:w="100"/>
            </w:tcMar>
            <w:vAlign w:val="top"/>
          </w:tcPr>
          <w:p>
            <w:pPr>
              <w:spacing w:after="60" w:line="250"/>
            </w:pPr>
            <w:r>
              <w:rPr>
                <w:sz w:val="17"/>
                <w:szCs w:val="17"/>
              </w:rPr>
              <w:t xml:space="preserve">Most instruments derive direction from movementType via a static lookup table; B2 (EPLC_CONFIRMATION / AMEND) instead derives direction from the sign of the amount field itself — already a documented source of one real bug (a sign-negation patch that mutated the shared model object).</w:t>
            </w:r>
          </w:p>
          <w:p>
            <w:pPr>
              <w:spacing w:line="250"/>
            </w:pPr>
            <w:r>
              <w:rPr>
                <w:i/>
                <w:iCs/>
                <w:color w:val="555555"/>
                <w:sz w:val="17"/>
                <w:szCs w:val="17"/>
              </w:rPr>
              <w:t xml:space="preserve">Two mechanisms for the same concept increase the risk of the direction and the magnitude drifting out of sync, and make the rule harder to audit.</w:t>
            </w:r>
          </w:p>
        </w:tc>
        <w:tc>
          <w:tcPr>
            <w:tcW w:type="dxa" w:w="2900"/>
            <w:tcMar>
              <w:top w:type="dxa" w:w="80"/>
              <w:left w:type="dxa" w:w="100"/>
              <w:bottom w:type="dxa" w:w="80"/>
              <w:right w:type="dxa" w:w="100"/>
            </w:tcMar>
            <w:vAlign w:val="top"/>
          </w:tcPr>
          <w:p>
            <w:pPr>
              <w:spacing w:line="260"/>
            </w:pPr>
            <w:r>
              <w:rPr>
                <w:sz w:val="18"/>
                <w:szCs w:val="18"/>
              </w:rPr>
              <w:t xml:space="preserve">Standardize on one direction mechanism, or document the B2 exception prominently at the API-contract level.</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F9</w:t>
            </w:r>
          </w:p>
        </w:tc>
        <w:tc>
          <w:tcPr>
            <w:tcW w:type="dxa" w:w="2600"/>
            <w:tcMar>
              <w:top w:type="dxa" w:w="80"/>
              <w:left w:type="dxa" w:w="100"/>
              <w:bottom w:type="dxa" w:w="80"/>
              <w:right w:type="dxa" w:w="100"/>
            </w:tcMar>
            <w:vAlign w:val="top"/>
          </w:tcPr>
          <w:p>
            <w:pPr>
              <w:spacing w:line="260"/>
            </w:pPr>
            <w:r>
              <w:rPr>
                <w:b/>
                <w:bCs/>
                <w:sz w:val="18"/>
                <w:szCs w:val="18"/>
              </w:rPr>
              <w:t xml:space="preserve">The "five exposure numbers" are not modeled</w:t>
            </w:r>
          </w:p>
        </w:tc>
        <w:tc>
          <w:tcPr>
            <w:tcW w:type="dxa" w:w="3200"/>
            <w:tcMar>
              <w:top w:type="dxa" w:w="80"/>
              <w:left w:type="dxa" w:w="100"/>
              <w:bottom w:type="dxa" w:w="80"/>
              <w:right w:type="dxa" w:w="100"/>
            </w:tcMar>
            <w:vAlign w:val="top"/>
          </w:tcPr>
          <w:p>
            <w:pPr>
              <w:spacing w:after="60" w:line="250"/>
            </w:pPr>
            <w:r>
              <w:rPr>
                <w:sz w:val="17"/>
                <w:szCs w:val="17"/>
              </w:rPr>
              <w:t xml:space="preserve">No trace of accounting_balance / ead_economic / ecl_ead / ead_regulatory / limit_utilisation as distinct figures anywhere in the component; it only produces accounting-balance-family figures (confirmedBalance, availableBalance, offBalanceExposure, tightAvailableBalance).</w:t>
            </w:r>
          </w:p>
          <w:p>
            <w:pPr>
              <w:spacing w:line="250"/>
            </w:pPr>
            <w:r>
              <w:rPr>
                <w:i/>
                <w:iCs/>
                <w:color w:val="555555"/>
                <w:sz w:val="17"/>
                <w:szCs w:val="17"/>
              </w:rPr>
              <w:t xml:space="preserve">Reasonable if this is a deliberate boundary decision (ECL and regulatory EAD genuinely belong to a risk engine), but right now it reads as an implicit gap rather than a recorded scope decision.</w:t>
            </w:r>
          </w:p>
        </w:tc>
        <w:tc>
          <w:tcPr>
            <w:tcW w:type="dxa" w:w="2900"/>
            <w:tcMar>
              <w:top w:type="dxa" w:w="80"/>
              <w:left w:type="dxa" w:w="100"/>
              <w:bottom w:type="dxa" w:w="80"/>
              <w:right w:type="dxa" w:w="100"/>
            </w:tcMar>
            <w:vAlign w:val="top"/>
          </w:tcPr>
          <w:p>
            <w:pPr>
              <w:spacing w:line="260"/>
            </w:pPr>
            <w:r>
              <w:rPr>
                <w:sz w:val="18"/>
                <w:szCs w:val="18"/>
              </w:rPr>
              <w:t xml:space="preserve">Record explicitly, in the scope documentation, that ECL/regulatory-EAD derivation is entirely a downstream consumer's responsibility.</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F10</w:t>
            </w:r>
          </w:p>
        </w:tc>
        <w:tc>
          <w:tcPr>
            <w:tcW w:type="dxa" w:w="2600"/>
            <w:tcMar>
              <w:top w:type="dxa" w:w="80"/>
              <w:left w:type="dxa" w:w="100"/>
              <w:bottom w:type="dxa" w:w="80"/>
              <w:right w:type="dxa" w:w="100"/>
            </w:tcMar>
            <w:vAlign w:val="top"/>
          </w:tcPr>
          <w:p>
            <w:pPr>
              <w:spacing w:line="260"/>
            </w:pPr>
            <w:r>
              <w:rPr>
                <w:b/>
                <w:bCs/>
                <w:sz w:val="18"/>
                <w:szCs w:val="18"/>
              </w:rPr>
              <w:t xml:space="preserve">Test matrix has no expiry, Art. 16(f), or double-count scenarios</w:t>
            </w:r>
          </w:p>
        </w:tc>
        <w:tc>
          <w:tcPr>
            <w:tcW w:type="dxa" w:w="3200"/>
            <w:tcMar>
              <w:top w:type="dxa" w:w="80"/>
              <w:left w:type="dxa" w:w="100"/>
              <w:bottom w:type="dxa" w:w="80"/>
              <w:right w:type="dxa" w:w="100"/>
            </w:tcMar>
            <w:vAlign w:val="top"/>
          </w:tcPr>
          <w:p>
            <w:pPr>
              <w:spacing w:after="60" w:line="250"/>
            </w:pPr>
            <w:r>
              <w:rPr>
                <w:sz w:val="17"/>
                <w:szCs w:val="17"/>
              </w:rPr>
              <w:t xml:space="preserve">The 23-case live business-case registry (grown from 14) does not exercise expiry release, Art. 16(f) preclusion, or exposure double-counting — consistent with F1 not existing yet, but a distinct gap once it is built.</w:t>
            </w:r>
          </w:p>
          <w:p>
            <w:pPr>
              <w:spacing w:line="250"/>
            </w:pPr>
            <w:r>
              <w:rPr>
                <w:i/>
                <w:iCs/>
                <w:color w:val="555555"/>
                <w:sz w:val="17"/>
                <w:szCs w:val="17"/>
              </w:rPr>
              <w:t xml:space="preserve">The domain rules with the highest historical defect rate elsewhere in trade finance ledgers are exactly the ones currently untested here.</w:t>
            </w:r>
          </w:p>
        </w:tc>
        <w:tc>
          <w:tcPr>
            <w:tcW w:type="dxa" w:w="2900"/>
            <w:tcMar>
              <w:top w:type="dxa" w:w="80"/>
              <w:left w:type="dxa" w:w="100"/>
              <w:bottom w:type="dxa" w:w="80"/>
              <w:right w:type="dxa" w:w="100"/>
            </w:tcMar>
            <w:vAlign w:val="top"/>
          </w:tcPr>
          <w:p>
            <w:pPr>
              <w:spacing w:line="260"/>
            </w:pPr>
            <w:r>
              <w:rPr>
                <w:sz w:val="18"/>
                <w:szCs w:val="18"/>
              </w:rPr>
              <w:t xml:space="preserve">Add these scenarios to the Test-Case-Proposal as soon as F1 lands.</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F11</w:t>
            </w:r>
          </w:p>
        </w:tc>
        <w:tc>
          <w:tcPr>
            <w:tcW w:type="dxa" w:w="2600"/>
            <w:tcMar>
              <w:top w:type="dxa" w:w="80"/>
              <w:left w:type="dxa" w:w="100"/>
              <w:bottom w:type="dxa" w:w="80"/>
              <w:right w:type="dxa" w:w="100"/>
            </w:tcMar>
            <w:vAlign w:val="top"/>
          </w:tcPr>
          <w:p>
            <w:pPr>
              <w:spacing w:line="260"/>
            </w:pPr>
            <w:r>
              <w:rPr>
                <w:b/>
                <w:bCs/>
                <w:sz w:val="18"/>
                <w:szCs w:val="18"/>
              </w:rPr>
              <w:t xml:space="preserve">balance_movements has grown to 47 sparse columns</w:t>
            </w:r>
          </w:p>
        </w:tc>
        <w:tc>
          <w:tcPr>
            <w:tcW w:type="dxa" w:w="3200"/>
            <w:tcMar>
              <w:top w:type="dxa" w:w="80"/>
              <w:left w:type="dxa" w:w="100"/>
              <w:bottom w:type="dxa" w:w="80"/>
              <w:right w:type="dxa" w:w="100"/>
            </w:tcMar>
            <w:vAlign w:val="top"/>
          </w:tcPr>
          <w:p>
            <w:pPr>
              <w:spacing w:after="60" w:line="250"/>
            </w:pPr>
            <w:r>
              <w:rPr>
                <w:sz w:val="17"/>
                <w:szCs w:val="17"/>
              </w:rPr>
              <w:t xml:space="preserve">Repeated ALTER TABLE additions (one actor/timestamp column pair per new operation) rather than a normalized event table; a backdated-correction decision table already exists in the design spec with no corresponding effective_date / booking_date / period-close columns implemented.</w:t>
            </w:r>
          </w:p>
          <w:p>
            <w:pPr>
              <w:spacing w:line="250"/>
            </w:pPr>
            <w:r>
              <w:rPr>
                <w:i/>
                <w:iCs/>
                <w:color w:val="555555"/>
                <w:sz w:val="17"/>
                <w:szCs w:val="17"/>
              </w:rPr>
              <w:t xml:space="preserve">Flagged by the project's own DB-optimization review as technical debt; makes the ledger harder to extend cleanly and defers period-versioning indefinitely.</w:t>
            </w:r>
          </w:p>
        </w:tc>
        <w:tc>
          <w:tcPr>
            <w:tcW w:type="dxa" w:w="2900"/>
            <w:tcMar>
              <w:top w:type="dxa" w:w="80"/>
              <w:left w:type="dxa" w:w="100"/>
              <w:bottom w:type="dxa" w:w="80"/>
              <w:right w:type="dxa" w:w="100"/>
            </w:tcMar>
            <w:vAlign w:val="top"/>
          </w:tcPr>
          <w:p>
            <w:pPr>
              <w:spacing w:line="260"/>
            </w:pPr>
            <w:r>
              <w:rPr>
                <w:sz w:val="18"/>
                <w:szCs w:val="18"/>
              </w:rPr>
              <w:t xml:space="preserve">Normalize into movement_actions / movement_snapshots per the project's own recommendation, ideally alongside the already-planned Postgres migration.</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F12</w:t>
            </w:r>
          </w:p>
        </w:tc>
        <w:tc>
          <w:tcPr>
            <w:tcW w:type="dxa" w:w="2600"/>
            <w:tcMar>
              <w:top w:type="dxa" w:w="80"/>
              <w:left w:type="dxa" w:w="100"/>
              <w:bottom w:type="dxa" w:w="80"/>
              <w:right w:type="dxa" w:w="100"/>
            </w:tcMar>
            <w:vAlign w:val="top"/>
          </w:tcPr>
          <w:p>
            <w:pPr>
              <w:spacing w:line="260"/>
            </w:pPr>
            <w:r>
              <w:rPr>
                <w:b/>
                <w:bCs/>
                <w:sz w:val="18"/>
                <w:szCs w:val="18"/>
              </w:rPr>
              <w:t xml:space="preserve">Re-ISSUE path may bypass the duplicate-ISSUE guard</w:t>
            </w:r>
          </w:p>
        </w:tc>
        <w:tc>
          <w:tcPr>
            <w:tcW w:type="dxa" w:w="3200"/>
            <w:tcMar>
              <w:top w:type="dxa" w:w="80"/>
              <w:left w:type="dxa" w:w="100"/>
              <w:bottom w:type="dxa" w:w="80"/>
              <w:right w:type="dxa" w:w="100"/>
            </w:tcMar>
            <w:vAlign w:val="top"/>
          </w:tcPr>
          <w:p>
            <w:pPr>
              <w:spacing w:after="60" w:line="250"/>
            </w:pPr>
            <w:r>
              <w:rPr>
                <w:sz w:val="17"/>
                <w:szCs w:val="17"/>
              </w:rPr>
              <w:t xml:space="preserve">A balanceContractId-keyed re-ISSUE path does not obviously call the same duplicate-ISSUE guard and assertRootIssueReleased check the natural-key path uses; flagged untested by the project's own adversarial review.</w:t>
            </w:r>
          </w:p>
          <w:p>
            <w:pPr>
              <w:spacing w:line="250"/>
            </w:pPr>
            <w:r>
              <w:rPr>
                <w:i/>
                <w:iCs/>
                <w:color w:val="555555"/>
                <w:sz w:val="17"/>
                <w:szCs w:val="17"/>
              </w:rPr>
              <w:t xml:space="preserve">Plausible, low-probability double-count vector.</w:t>
            </w:r>
          </w:p>
        </w:tc>
        <w:tc>
          <w:tcPr>
            <w:tcW w:type="dxa" w:w="2900"/>
            <w:tcMar>
              <w:top w:type="dxa" w:w="80"/>
              <w:left w:type="dxa" w:w="100"/>
              <w:bottom w:type="dxa" w:w="80"/>
              <w:right w:type="dxa" w:w="100"/>
            </w:tcMar>
            <w:vAlign w:val="top"/>
          </w:tcPr>
          <w:p>
            <w:pPr>
              <w:spacing w:line="260"/>
            </w:pPr>
            <w:r>
              <w:rPr>
                <w:sz w:val="18"/>
                <w:szCs w:val="18"/>
              </w:rPr>
              <w:t xml:space="preserve">Add a regression test, or retire the second path if it is not actually needed.</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F13</w:t>
            </w:r>
          </w:p>
        </w:tc>
        <w:tc>
          <w:tcPr>
            <w:tcW w:type="dxa" w:w="2600"/>
            <w:tcMar>
              <w:top w:type="dxa" w:w="80"/>
              <w:left w:type="dxa" w:w="100"/>
              <w:bottom w:type="dxa" w:w="80"/>
              <w:right w:type="dxa" w:w="100"/>
            </w:tcMar>
            <w:vAlign w:val="top"/>
          </w:tcPr>
          <w:p>
            <w:pPr>
              <w:spacing w:line="260"/>
            </w:pPr>
            <w:r>
              <w:rPr>
                <w:b/>
                <w:bCs/>
                <w:sz w:val="18"/>
                <w:szCs w:val="18"/>
              </w:rPr>
              <w:t xml:space="preserve">Designed contract-version chain is unused</w:t>
            </w:r>
          </w:p>
        </w:tc>
        <w:tc>
          <w:tcPr>
            <w:tcW w:type="dxa" w:w="3200"/>
            <w:tcMar>
              <w:top w:type="dxa" w:w="80"/>
              <w:left w:type="dxa" w:w="100"/>
              <w:bottom w:type="dxa" w:w="80"/>
              <w:right w:type="dxa" w:w="100"/>
            </w:tcMar>
            <w:vAlign w:val="top"/>
          </w:tcPr>
          <w:p>
            <w:pPr>
              <w:spacing w:after="60" w:line="250"/>
            </w:pPr>
            <w:r>
              <w:rPr>
                <w:sz w:val="17"/>
                <w:szCs w:val="17"/>
              </w:rPr>
              <w:t xml:space="preserve">DB design doc describes markSuperseded / contractVersion; balanceService.ts hardcodes contractVersion: 1 and never calls it.</w:t>
            </w:r>
          </w:p>
          <w:p>
            <w:pPr>
              <w:spacing w:line="250"/>
            </w:pPr>
            <w:r>
              <w:rPr>
                <w:i/>
                <w:iCs/>
                <w:color w:val="555555"/>
                <w:sz w:val="17"/>
                <w:szCs w:val="17"/>
              </w:rPr>
              <w:t xml:space="preserve">Dead schema vs. an unfinished feature — ambiguous which, but low risk either way.</w:t>
            </w:r>
          </w:p>
        </w:tc>
        <w:tc>
          <w:tcPr>
            <w:tcW w:type="dxa" w:w="2900"/>
            <w:tcMar>
              <w:top w:type="dxa" w:w="80"/>
              <w:left w:type="dxa" w:w="100"/>
              <w:bottom w:type="dxa" w:w="80"/>
              <w:right w:type="dxa" w:w="100"/>
            </w:tcMar>
            <w:vAlign w:val="top"/>
          </w:tcPr>
          <w:p>
            <w:pPr>
              <w:spacing w:line="260"/>
            </w:pPr>
            <w:r>
              <w:rPr>
                <w:sz w:val="18"/>
                <w:szCs w:val="18"/>
              </w:rPr>
              <w:t xml:space="preserve">Record a documentation decision: implement it, or remove it from the design doc.</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F14</w:t>
            </w:r>
          </w:p>
        </w:tc>
        <w:tc>
          <w:tcPr>
            <w:tcW w:type="dxa" w:w="2600"/>
            <w:tcMar>
              <w:top w:type="dxa" w:w="80"/>
              <w:left w:type="dxa" w:w="100"/>
              <w:bottom w:type="dxa" w:w="80"/>
              <w:right w:type="dxa" w:w="100"/>
            </w:tcMar>
            <w:vAlign w:val="top"/>
          </w:tcPr>
          <w:p>
            <w:pPr>
              <w:spacing w:line="260"/>
            </w:pPr>
            <w:r>
              <w:rPr>
                <w:b/>
                <w:bCs/>
                <w:sz w:val="18"/>
                <w:szCs w:val="18"/>
              </w:rPr>
              <w:t xml:space="preserve">reject() derives checkerId differently from release()</w:t>
            </w:r>
          </w:p>
        </w:tc>
        <w:tc>
          <w:tcPr>
            <w:tcW w:type="dxa" w:w="3200"/>
            <w:tcMar>
              <w:top w:type="dxa" w:w="80"/>
              <w:left w:type="dxa" w:w="100"/>
              <w:bottom w:type="dxa" w:w="80"/>
              <w:right w:type="dxa" w:w="100"/>
            </w:tcMar>
            <w:vAlign w:val="top"/>
          </w:tcPr>
          <w:p>
            <w:pPr>
              <w:spacing w:after="60" w:line="250"/>
            </w:pPr>
            <w:r>
              <w:rPr>
                <w:sz w:val="17"/>
                <w:szCs w:val="17"/>
              </w:rPr>
              <w:t xml:space="preserve">reject() uses a hardcoded checkerId; release() derives it through the normal mechanism.</w:t>
            </w:r>
          </w:p>
          <w:p>
            <w:pPr>
              <w:spacing w:line="250"/>
            </w:pPr>
            <w:r>
              <w:rPr>
                <w:i/>
                <w:iCs/>
                <w:color w:val="555555"/>
                <w:sz w:val="17"/>
                <w:szCs w:val="17"/>
              </w:rPr>
              <w:t xml:space="preserve">Minor audit-trail inconsistency between the two Checker actions.</w:t>
            </w:r>
          </w:p>
        </w:tc>
        <w:tc>
          <w:tcPr>
            <w:tcW w:type="dxa" w:w="2900"/>
            <w:tcMar>
              <w:top w:type="dxa" w:w="80"/>
              <w:left w:type="dxa" w:w="100"/>
              <w:bottom w:type="dxa" w:w="80"/>
              <w:right w:type="dxa" w:w="100"/>
            </w:tcMar>
            <w:vAlign w:val="top"/>
          </w:tcPr>
          <w:p>
            <w:pPr>
              <w:spacing w:line="260"/>
            </w:pPr>
            <w:r>
              <w:rPr>
                <w:sz w:val="18"/>
                <w:szCs w:val="18"/>
              </w:rPr>
              <w:t xml:space="preserve">Align the two code paths.</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F15</w:t>
            </w:r>
          </w:p>
        </w:tc>
        <w:tc>
          <w:tcPr>
            <w:tcW w:type="dxa" w:w="2600"/>
            <w:tcMar>
              <w:top w:type="dxa" w:w="80"/>
              <w:left w:type="dxa" w:w="100"/>
              <w:bottom w:type="dxa" w:w="80"/>
              <w:right w:type="dxa" w:w="100"/>
            </w:tcMar>
            <w:vAlign w:val="top"/>
          </w:tcPr>
          <w:p>
            <w:pPr>
              <w:spacing w:line="260"/>
            </w:pPr>
            <w:r>
              <w:rPr>
                <w:b/>
                <w:bCs/>
                <w:sz w:val="18"/>
                <w:szCs w:val="18"/>
              </w:rPr>
              <w:t xml:space="preserve">~33% of Chinese decision-table headers remain untranslated</w:t>
            </w:r>
          </w:p>
        </w:tc>
        <w:tc>
          <w:tcPr>
            <w:tcW w:type="dxa" w:w="3200"/>
            <w:tcMar>
              <w:top w:type="dxa" w:w="80"/>
              <w:left w:type="dxa" w:w="100"/>
              <w:bottom w:type="dxa" w:w="80"/>
              <w:right w:type="dxa" w:w="100"/>
            </w:tcMar>
            <w:vAlign w:val="top"/>
          </w:tcPr>
          <w:p>
            <w:pPr>
              <w:spacing w:after="60" w:line="250"/>
            </w:pPr>
            <w:r>
              <w:rPr>
                <w:sz w:val="17"/>
                <w:szCs w:val="17"/>
              </w:rPr>
              <w:t xml:space="preserve">Noted in the Decision-Table-Index review of the 98 decision tables in the knowledge base.</w:t>
            </w:r>
          </w:p>
          <w:p>
            <w:pPr>
              <w:spacing w:line="250"/>
            </w:pPr>
            <w:r>
              <w:rPr>
                <w:i/>
                <w:iCs/>
                <w:color w:val="555555"/>
                <w:sz w:val="17"/>
                <w:szCs w:val="17"/>
              </w:rPr>
              <w:t xml:space="preserve">A delivery-completeness gap for a bilingual audience, not a functional risk.</w:t>
            </w:r>
          </w:p>
        </w:tc>
        <w:tc>
          <w:tcPr>
            <w:tcW w:type="dxa" w:w="2900"/>
            <w:tcMar>
              <w:top w:type="dxa" w:w="80"/>
              <w:left w:type="dxa" w:w="100"/>
              <w:bottom w:type="dxa" w:w="80"/>
              <w:right w:type="dxa" w:w="100"/>
            </w:tcMar>
            <w:vAlign w:val="top"/>
          </w:tcPr>
          <w:p>
            <w:pPr>
              <w:spacing w:line="260"/>
            </w:pPr>
            <w:r>
              <w:rPr>
                <w:sz w:val="18"/>
                <w:szCs w:val="18"/>
              </w:rPr>
              <w:t xml:space="preserve">Complete the translation pass before the KB is circulated to Chinese-reading stakeholders.</w:t>
            </w:r>
          </w:p>
        </w:tc>
      </w:tr>
    </w:tbl>
    <w:p>
      <w:pPr>
        <w:pStyle w:val="Heading1"/>
        <w:pBdr>
          <w:bottom w:val="single" w:color="1F3864" w:sz="6" w:space="4"/>
        </w:pBdr>
        <w:spacing w:after="160" w:before="360"/>
      </w:pPr>
      <w:r>
        <w:rPr>
          <w:b/>
          <w:bCs/>
          <w:color w:val="1F3864"/>
          <w:sz w:val="28"/>
          <w:szCs w:val="28"/>
        </w:rPr>
        <w:t xml:space="preserve">5. Test Coverage &amp; Quality Snapshot</w:t>
      </w:r>
    </w:p>
    <w:p>
      <w:pPr>
        <w:spacing w:after="120" w:line="270"/>
      </w:pPr>
      <w:r>
        <w:rPr>
          <w:b/>
          <w:bCs/>
          <w:sz w:val="20"/>
          <w:szCs w:val="20"/>
        </w:rPr>
        <w:t xml:space="preserve">Functional test coverage:  </w:t>
      </w:r>
      <w:r>
        <w:rPr>
          <w:sz w:val="20"/>
          <w:szCs w:val="20"/>
        </w:rPr>
        <w:t xml:space="preserve">23 live, end-to-end business cases (grown from a 14-case baseline), executed against the running stack rather than mocked, including negative/gate-condition paths. Coverage of the Close functions (A10 Import, B6 Export) and SG redemption (A9) is thorough and includes intentional rejection cases. As noted in F10, expiry release, Art. 16(f) preclusion, and exposure double-counting are not yet represented — largely because the underlying feature (F1) does not exist yet.</w:t>
      </w:r>
    </w:p>
    <w:p>
      <w:pPr>
        <w:spacing w:after="120" w:line="270"/>
      </w:pPr>
      <w:r>
        <w:rPr>
          <w:b/>
          <w:bCs/>
          <w:sz w:val="20"/>
          <w:szCs w:val="20"/>
        </w:rPr>
        <w:t xml:space="preserve">Static code quality:  </w:t>
      </w:r>
      <w:r>
        <w:rPr>
          <w:sz w:val="20"/>
          <w:szCs w:val="20"/>
        </w:rPr>
        <w:t xml:space="preserve">SonarQube quality gate passes on both recorded scans — 0 bugs, 0 vulnerabilities, 0 unreviewed hotspots, coverage held near 98% through a 45% growth in codebase size. The main standing issue is cognitive complexity in the core createMovement() function, which the team's own change log records as later decomposed.</w:t>
      </w:r>
    </w:p>
    <w:p>
      <w:pPr>
        <w:spacing w:after="120" w:line="270"/>
      </w:pPr>
      <w:r>
        <w:rPr>
          <w:b/>
          <w:bCs/>
          <w:sz w:val="20"/>
          <w:szCs w:val="20"/>
        </w:rPr>
        <w:t xml:space="preserve">Design review:  </w:t>
      </w:r>
      <w:r>
        <w:rPr>
          <w:sz w:val="20"/>
          <w:szCs w:val="20"/>
        </w:rPr>
        <w:t xml:space="preserve">A prior OOD/SOLID critique recorded 3 High, 6 Medium and 4 Low findings plus 7 confirmed strengths. Most High/Medium items are tracked to resolution in the project's decision log; one (a Strategy-pattern equivalent for the orchestration server) and one (root-cause testability retrofit) remain explicitly unaddressed, by the team's own account.</w:t>
      </w:r>
    </w:p>
    <w:p>
      <w:pPr>
        <w:spacing w:after="120" w:line="270"/>
      </w:pPr>
      <w:r>
        <w:rPr>
          <w:b/>
          <w:bCs/>
          <w:sz w:val="20"/>
          <w:szCs w:val="20"/>
        </w:rPr>
        <w:t xml:space="preserve">Production-readiness gate:  </w:t>
      </w:r>
      <w:r>
        <w:rPr>
          <w:sz w:val="20"/>
          <w:szCs w:val="20"/>
        </w:rPr>
        <w:t xml:space="preserve">The project's own tracker records three deliberately deferred, explicit blockers: no authentication/authorization (F3), Angular pinned to a version carrying 8 high-severity CVEs, and SQLite's whole-file locking model, which needs to move to a row-level-concurrent database before production. None of the three have been started. This is a case of the team correctly knowing and stating what is not done, rather than a silent gap.</w:t>
      </w:r>
    </w:p>
    <w:p>
      <w:pPr>
        <w:pStyle w:val="Heading1"/>
        <w:pBdr>
          <w:bottom w:val="single" w:color="1F3864" w:sz="6" w:space="4"/>
        </w:pBdr>
        <w:spacing w:after="160" w:before="360"/>
      </w:pPr>
      <w:r>
        <w:rPr>
          <w:b/>
          <w:bCs/>
          <w:color w:val="1F3864"/>
          <w:sz w:val="28"/>
          <w:szCs w:val="28"/>
        </w:rPr>
        <w:t xml:space="preserve">6. Open Questions for Engineering / Business</w:t>
      </w:r>
    </w:p>
    <w:p>
      <w:pPr>
        <w:pStyle w:val="ListParagraph"/>
        <w:numPr>
          <w:ilvl w:val="0"/>
          <w:numId w:val="2"/>
        </w:numPr>
        <w:spacing w:after="100" w:line="270"/>
      </w:pPr>
      <w:r>
        <w:rPr>
          <w:sz w:val="21"/>
          <w:szCs w:val="21"/>
        </w:rPr>
        <w:t xml:space="preserve">Is Export Buyer's Usance rejection/normalization still planned as originally decided on 2026-08-21, or has the business scope changed since? (See F2.)</w:t>
      </w:r>
    </w:p>
    <w:p>
      <w:pPr>
        <w:pStyle w:val="ListParagraph"/>
        <w:numPr>
          <w:ilvl w:val="0"/>
          <w:numId w:val="2"/>
        </w:numPr>
        <w:spacing w:after="100" w:line="270"/>
      </w:pPr>
      <w:r>
        <w:rPr>
          <w:sz w:val="21"/>
          <w:szCs w:val="21"/>
        </w:rPr>
        <w:t xml:space="preserve">Is ECL / regulatory-EAD derivation intentionally entirely a downstream consumer's responsibility, and if so, where should that be recorded? (See F9.)</w:t>
      </w:r>
    </w:p>
    <w:p>
      <w:pPr>
        <w:pStyle w:val="ListParagraph"/>
        <w:numPr>
          <w:ilvl w:val="0"/>
          <w:numId w:val="2"/>
        </w:numPr>
        <w:spacing w:after="100" w:line="270"/>
      </w:pPr>
      <w:r>
        <w:rPr>
          <w:sz w:val="21"/>
          <w:szCs w:val="21"/>
        </w:rPr>
        <w:t xml:space="preserve">Is multi-currency/FX consolidation intentionally a future phase, or should it be pulled into this component's scope? (See F6.)</w:t>
      </w:r>
    </w:p>
    <w:p>
      <w:pPr>
        <w:pStyle w:val="ListParagraph"/>
        <w:numPr>
          <w:ilvl w:val="0"/>
          <w:numId w:val="2"/>
        </w:numPr>
        <w:spacing w:after="100" w:line="270"/>
      </w:pPr>
      <w:r>
        <w:rPr>
          <w:sz w:val="21"/>
          <w:szCs w:val="21"/>
        </w:rPr>
        <w:t xml:space="preserve">The A6 calculation-logic note states that "SHGT-style double-counting is out of scope" for the Off-Balance Exposure figure — does this mean a known SG double-counting risk exists and is being deliberately deferred, or is it just clarifying that this particular table doesn't need to re-derive SG logic? Worth a direct answer from whoever wrote that note.</w:t>
      </w:r>
    </w:p>
    <w:p>
      <w:pPr>
        <w:pStyle w:val="Heading1"/>
        <w:pBdr>
          <w:bottom w:val="single" w:color="1F3864" w:sz="6" w:space="4"/>
        </w:pBdr>
        <w:spacing w:after="160" w:before="360"/>
      </w:pPr>
      <w:r>
        <w:rPr>
          <w:b/>
          <w:bCs/>
          <w:color w:val="1F3864"/>
          <w:sz w:val="28"/>
          <w:szCs w:val="28"/>
        </w:rPr>
        <w:t xml:space="preserve">7. Overall Recommendation</w:t>
      </w:r>
    </w:p>
    <w:p>
      <w:pPr>
        <w:spacing w:after="160" w:line="276"/>
      </w:pPr>
      <w:r>
        <w:rPr>
          <w:sz w:val="21"/>
          <w:szCs w:val="21"/>
        </w:rPr>
        <w:t xml:space="preserve">Do not sign this off as production-ready — the project does not claim to be, and the three gated infrastructure blockers alone (F3, plus the Angular CVEs and SQLite locking) are sufficient reason on their own. As a design and business-rule foundation for continued build-out, however, this is in good shape: the boundary is correct, the core ledger mechanics (append-only, derived balances, real idempotency, enforced maker-checker) are sound, and the team's own documentation trail makes this an unusually easy component to review.</w:t>
      </w:r>
    </w:p>
    <w:p>
      <w:pPr>
        <w:spacing w:after="160" w:line="276"/>
      </w:pPr>
      <w:r>
        <w:rPr>
          <w:sz w:val="21"/>
          <w:szCs w:val="21"/>
        </w:rPr>
        <w:t xml:space="preserve">Before the next phase of work, I would prioritize F1 (expiry/Art. 16(f) auto-release) above all else — it is an accounting-correctness question, not an engineering-effort question, and it compounds the longer it stays open. F2 (Export Buyer's Usance) is a BA action item from three weeks ago that simply needs to be closed one way or the other. The Medium and Low findings are worth a backlog entry each but do not block continued development.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2026-08-25T03:14:04.592Z</dcterms:created>
  <dcterms:modified xsi:type="dcterms:W3CDTF">2026-08-25T03:14:04.610Z</dcterms:modified>
</cp:coreProperties>
</file>

<file path=docProps/custom.xml><?xml version="1.0" encoding="utf-8"?>
<Properties xmlns="http://schemas.openxmlformats.org/officeDocument/2006/custom-properties" xmlns:vt="http://schemas.openxmlformats.org/officeDocument/2006/docPropsVTypes"/>
</file>