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Noto Sans CJK SC" w:cs="Noto Sans CJK SC" w:eastAsia="Noto Sans CJK SC" w:hAnsi="Noto Sans CJK SC"/>
          <w:b/>
          <w:bCs/>
          <w:color w:val="1F3864"/>
          <w:sz w:val="40"/>
          <w:szCs w:val="40"/>
        </w:rPr>
        <w:t xml:space="preserve">贸易融资余额组件</w:t>
      </w:r>
    </w:p>
    <w:p>
      <w:pPr>
        <w:spacing w:after="200"/>
      </w:pPr>
      <w:r>
        <w:rPr>
          <w:rFonts w:ascii="Noto Sans CJK SC" w:cs="Noto Sans CJK SC" w:eastAsia="Noto Sans CJK SC" w:hAnsi="Noto Sans CJK SC"/>
          <w:color w:val="444444"/>
          <w:sz w:val="24"/>
          <w:szCs w:val="24"/>
        </w:rPr>
        <w:t xml:space="preserve">BA 专家评审 —— 进口信用证与出口保兑信用证的或有负债与表外负债追踪</w:t>
      </w:r>
    </w:p>
    <w:p>
      <w:pPr>
        <w:pBdr>
          <w:bottom w:val="single" w:color="1F3864" w:sz="8" w:space="6"/>
        </w:pBdr>
        <w:spacing w:after="40"/>
      </w:pPr>
      <w:r>
        <w:rPr>
          <w:sz w:val="4"/>
          <w:szCs w:val="4"/>
        </w:rPr>
        <w:t xml:space="preserve"/>
      </w:r>
    </w:p>
    <w:p>
      <w:pPr>
        <w:spacing w:after="20"/>
      </w:pPr>
      <w:r>
        <w:rPr>
          <w:rFonts w:ascii="Noto Sans CJK SC" w:cs="Noto Sans CJK SC" w:eastAsia="Noto Sans CJK SC" w:hAnsi="Noto Sans CJK SC"/>
          <w:i/>
          <w:iCs/>
          <w:color w:val="666666"/>
          <w:sz w:val="19"/>
          <w:szCs w:val="19"/>
        </w:rPr>
        <w:t xml:space="preserve">评审人：BA 专家（贸易融资）· 日期：2026年8月25日</w:t>
      </w:r>
    </w:p>
    <w:p>
      <w:pPr>
        <w:spacing w:after="300"/>
      </w:pPr>
      <w:r>
        <w:rPr>
          <w:rFonts w:ascii="Noto Sans CJK SC" w:cs="Noto Sans CJK SC" w:eastAsia="Noto Sans CJK SC" w:hAnsi="Noto Sans CJK SC"/>
          <w:i/>
          <w:iCs/>
          <w:color w:val="666666"/>
          <w:sz w:val="19"/>
          <w:szCs w:val="19"/>
        </w:rPr>
        <w:t xml:space="preserve">评审范围：microservices/balance-component（源代码、API 规范、决策表）、余额组件知识库、业务规则决策、测试用例提案，以及项目文件夹中提供的质量/回归报告。</w:t>
      </w:r>
    </w:p>
    <w:p>
      <w:pPr>
        <w:pBdr>
          <w:left w:val="single" w:color="C0793A" w:sz="18" w:space="8"/>
        </w:pBdr>
        <w:shd w:fill="F2E9DC" w:val="clear"/>
        <w:spacing w:after="260" w:before="60"/>
        <w:ind w:left="120"/>
      </w:pPr>
      <w:r>
        <w:rPr>
          <w:rFonts w:ascii="Noto Sans CJK SC" w:cs="Noto Sans CJK SC" w:eastAsia="Noto Sans CJK SC" w:hAnsi="Noto Sans CJK SC"/>
          <w:b/>
          <w:bCs/>
          <w:color w:val="7A4A18"/>
          <w:sz w:val="19"/>
          <w:szCs w:val="19"/>
        </w:rPr>
        <w:t xml:space="preserve">修订说明（2026年8月25日）  </w:t>
      </w:r>
      <w:r>
        <w:rPr>
          <w:rFonts w:ascii="Noto Sans CJK SC" w:cs="Noto Sans CJK SC" w:eastAsia="Noto Sans CJK SC" w:hAnsi="Noto Sans CJK SC"/>
          <w:color w:val="5A3A14"/>
          <w:sz w:val="19"/>
          <w:szCs w:val="19"/>
        </w:rPr>
        <w:t xml:space="preserve">本评审早前版本曾将Folio 3/5中承兑/DPU的GL处理标注为「影子备查科目」一事，视为与分类体系ON_BALANCE_LIABILITY分类相矛盾（原编号F2）。经进一步核实知识库原始资料——ifrs-9-contingent-to-actual-reclassification-boundary.md、exposurenature-actual-tagging-for-acceptance-dpu.md 与 on-balance-sheet-asset-instruments-are-out-of-balance-component-s-cont.md 三份文档——确认这并非缺陷：Balance Component 自身的领域模型在汇票被承兑后即已标记 exposureNature = ACTUAL，而该负债实际的表内记账被有意排除在本组件范围之外，与EBL/IBL融资记账的边界处理方式一致。详见第三节中新增的相应优点说明。该项发现予以撤回，以下发现编号已相应调整（原16项 → 现15项）。</w:t>
      </w:r>
    </w:p>
    <w:p>
      <w:pPr>
        <w:pBdr>
          <w:left w:val="single" w:color="C0793A" w:sz="18" w:space="8"/>
        </w:pBdr>
        <w:shd w:fill="F2E9DC" w:val="clear"/>
        <w:spacing w:after="260" w:before="0"/>
        <w:ind w:left="120"/>
      </w:pPr>
      <w:r>
        <w:rPr>
          <w:rFonts w:ascii="Noto Sans CJK SC" w:cs="Noto Sans CJK SC" w:eastAsia="Noto Sans CJK SC" w:hAnsi="Noto Sans CJK SC"/>
          <w:b/>
          <w:bCs/>
          <w:color w:val="7A4A18"/>
          <w:sz w:val="19"/>
          <w:szCs w:val="19"/>
        </w:rPr>
        <w:t xml:space="preserve">修订说明（2026年8月25日）——出口买方远期（F2）  </w:t>
      </w:r>
      <w:r>
        <w:rPr>
          <w:rFonts w:ascii="Noto Sans CJK SC" w:cs="Noto Sans CJK SC" w:eastAsia="Noto Sans CJK SC" w:hAnsi="Noto Sans CJK SC"/>
          <w:color w:val="5A3A14"/>
          <w:sz w:val="19"/>
          <w:szCs w:val="19"/>
        </w:rPr>
        <w:t xml:space="preserve">本项发现原先的表述，将出口买方远期的处理定性为一项由业务方主导、仍未关闭的开放业务问题——这一表述不准确：该业务决策早已在业务规则决策备忘录（2026-08-21，决策2）中定案——Buyer's Usance在出口/保兑行自身的资产负债表上不构成任何延期付款曝险（该项融资属于进口侧开证行的职责），必须与Sight做完全相同的处理。目前仍未完成的，纯粹是这项已定案决策的代码实现（行动项3）。下方发现内容已据此重新撰写——严重程度不变，仅更正定性表述。</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一、执行摘要</w:t>
      </w:r>
    </w:p>
    <w:p>
      <w:pPr>
        <w:spacing w:after="160" w:line="300"/>
      </w:pPr>
      <w:r>
        <w:rPr>
          <w:rFonts w:ascii="Noto Sans CJK SC" w:cs="Noto Sans CJK SC" w:eastAsia="Noto Sans CJK SC" w:hAnsi="Noto Sans CJK SC"/>
          <w:sz w:val="21"/>
          <w:szCs w:val="21"/>
        </w:rPr>
        <w:t xml:space="preserve">就其既定目标而言——追踪进口信用证与出口保兑信用证的或有负债及表外风险敞口——该组件边界划分清晰、范围界定准确，且在这一阶段的项目中，文档完整度与自我评审的严谨程度都异乎寻常地高。团队自己的质量报告已将其评为「有条件通过」（conditional pass），尚未达到生产就绪（production-ready）标准，本评审认同这一结论。</w:t>
      </w:r>
    </w:p>
    <w:p>
      <w:pPr>
        <w:spacing w:after="160" w:line="300"/>
      </w:pPr>
      <w:r>
        <w:rPr>
          <w:rFonts w:ascii="Noto Sans CJK SC" w:cs="Noto Sans CJK SC" w:eastAsia="Noto Sans CJK SC" w:hAnsi="Noto Sans CJK SC"/>
          <w:sz w:val="21"/>
          <w:szCs w:val="21"/>
        </w:rPr>
        <w:t xml:space="preserve">从业务分析与会计正确性的角度看，有一项发现比其余问题都更为重要，应在后续开发前解决：完全缺失到期 / UCP 600 第16(f)条自动释放机制（F1），详见下文。本评审早前版本中提出的另外两项疑虑，经业务与工程团队要求进一步核实后，确认需要更正而非属于真正的开放问题：承兑/DPU的处理属于正确设计，并非缺陷（详见上方「修订说明」及第三节相应优点）；出口买方远期（F2）的业务决策早已定案（2026-08-21）——目前仍未完成的是真实存在、尚待实现的代码缺口，但这属于工程任务，而非待决的业务问题。除F1与F2外，其余发现要么已被正确排除在组件范围之外，要么已被工程团队标记并设置了投产关卡，要么属于较低严重程度问题。</w:t>
      </w:r>
    </w:p>
    <w:p>
      <w:pPr>
        <w:spacing w:after="160" w:line="300"/>
      </w:pPr>
      <w:r>
        <w:rPr>
          <w:rFonts w:ascii="Noto Sans CJK SC" w:cs="Noto Sans CJK SC" w:eastAsia="Noto Sans CJK SC" w:hAnsi="Noto Sans CJK SC"/>
          <w:sz w:val="21"/>
          <w:szCs w:val="21"/>
        </w:rPr>
        <w:t xml:space="preserve">本次评审共记录15项发现：高3项、中8项、低4项。这些发现中没有一项是让团队完全意外的新发现——其中大多数已经以某种形式存在于项目自身的未决问题登记册中——但F2尤其不应留下「由谁负责下一步」的模糊空间：决策已经定案，只剩实现工作尚未完成。</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二、范围与边界评估</w:t>
      </w:r>
    </w:p>
    <w:p>
      <w:pPr>
        <w:spacing w:after="160" w:line="300"/>
      </w:pPr>
      <w:r>
        <w:rPr>
          <w:rFonts w:ascii="Noto Sans CJK SC" w:cs="Noto Sans CJK SC" w:eastAsia="Noto Sans CJK SC" w:hAnsi="Noto Sans CJK SC"/>
          <w:sz w:val="21"/>
          <w:szCs w:val="21"/>
        </w:rPr>
        <w:t xml:space="preserve">既定边界——「用于追踪进口信用证与出口保兑信用证的或有负债及表外负债的微服务」——得到了准确落实。代码库是单一可部署服务（microservices/balance-component），清晰分层为 service、domain 与 store 模块，暴露一套通用的、与业务品种无关的 REST API（/balance-contracts 与 /balance-movements 下的13个接口），16个具名业务功能均复用这些接口，服务本身并不感知是哪个功能在调用它。</w:t>
      </w:r>
    </w:p>
    <w:p>
      <w:pPr>
        <w:spacing w:after="160" w:line="300"/>
      </w:pPr>
      <w:r>
        <w:rPr>
          <w:rFonts w:ascii="Noto Sans CJK SC" w:cs="Noto Sans CJK SC" w:eastAsia="Noto Sans CJK SC" w:hAnsi="Noto Sans CJK SC"/>
          <w:sz w:val="21"/>
          <w:szCs w:val="21"/>
        </w:rPr>
        <w:t xml:space="preserve">OpenAPI 规范明确声明了自身的范围排除清单：实际已融资/已贴现的风险敞口（IBL/EBL，属于 Loan Component 的职责范围，对接外部 eLoan 系统）、利息/计提计算（同样属于 Loan Component），以及总账（GL）科目映射（本组件仅将调用方提供的 accountEntries 原样透传给下游会计组件，从不解释其内容）。系统完全未建模客户/CIF主数据；自然键仅限于 lcNumber / ibNumber / sgNumber。schema 中保留了一个用于未保兑出口信用证的 InstrumentType，但文档明确披露其为「死代码」——没有任何功能会创建它——因此在实际中并不构成范围蔓延。</w:t>
      </w:r>
    </w:p>
    <w:p>
      <w:pPr>
        <w:spacing w:after="160" w:line="300"/>
      </w:pPr>
      <w:r>
        <w:rPr>
          <w:rFonts w:ascii="Noto Sans CJK SC" w:cs="Noto Sans CJK SC" w:eastAsia="Noto Sans CJK SC" w:hAnsi="Noto Sans CJK SC"/>
          <w:sz w:val="21"/>
          <w:szCs w:val="21"/>
        </w:rPr>
        <w:t xml:space="preserve">唯一值得指出的结构性问题是：对正确性最关键的敞口关联关系——信用证与其关联的提货担保及承兑之间的链接——仅存在于应用层，数据库层面并无外键约束（见F7）。组件「职责边界」划得是对的；schema「强制约束」的边界，比业务规则所假设的边界要松一些。</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三、优点</w:t>
      </w:r>
    </w:p>
    <w:p>
      <w:pPr>
        <w:pStyle w:val="ListParagraph"/>
        <w:numPr>
          <w:ilvl w:val="0"/>
          <w:numId w:val="2"/>
        </w:numPr>
        <w:spacing w:after="100" w:line="300"/>
      </w:pPr>
      <w:r>
        <w:rPr>
          <w:rFonts w:ascii="Noto Sans CJK SC" w:cs="Noto Sans CJK SC" w:eastAsia="Noto Sans CJK SC" w:hAnsi="Noto Sans CJK SC"/>
          <w:sz w:val="21"/>
          <w:szCs w:val="21"/>
        </w:rPr>
        <w:t xml:space="preserve">范围与既定任务精确匹配：组件仅覆盖进口信用证（功能A1–A10）与出口保兑信用证（EPLC_CONFIRMATION，功能B1–B6）。总账记账、已融资/已贴现敞口及利息计提（均明确划归独立的 Loan Component）、以及任何CIF客户主数据，均被正确且明确地排除在外——这一点在OpenAPI规范自身的范围声明中得到确认，代码中也未发现此类逻辑的痕迹。</w:t>
      </w:r>
    </w:p>
    <w:p>
      <w:pPr>
        <w:pStyle w:val="ListParagraph"/>
        <w:numPr>
          <w:ilvl w:val="0"/>
          <w:numId w:val="2"/>
        </w:numPr>
        <w:spacing w:after="100" w:line="300"/>
      </w:pPr>
      <w:r>
        <w:rPr>
          <w:rFonts w:ascii="Noto Sans CJK SC" w:cs="Noto Sans CJK SC" w:eastAsia="Noto Sans CJK SC" w:hAnsi="Noto Sans CJK SC"/>
          <w:sz w:val="21"/>
          <w:szCs w:val="21"/>
        </w:rPr>
        <w:t xml:space="preserve">信用证与提货担保的敞口正确采用抵销而非累加：offBalanceExposure.ts 以提货担保敞口冲减可用余额，而非将其叠加在信用证敞口之上，因此目前该路径不存在重复计算问题。</w:t>
      </w:r>
    </w:p>
    <w:p>
      <w:pPr>
        <w:pStyle w:val="ListParagraph"/>
        <w:numPr>
          <w:ilvl w:val="0"/>
          <w:numId w:val="2"/>
        </w:numPr>
        <w:spacing w:after="100" w:line="300"/>
      </w:pPr>
      <w:r>
        <w:rPr>
          <w:rFonts w:ascii="Noto Sans CJK SC" w:cs="Noto Sans CJK SC" w:eastAsia="Noto Sans CJK SC" w:hAnsi="Noto Sans CJK SC"/>
          <w:sz w:val="21"/>
          <w:szCs w:val="21"/>
        </w:rPr>
        <w:t xml:space="preserve">顺序性的敞口形态转换（信用证在 UTILIZE 时转为承兑、提货担保在单据匹配时转为信用证项下动用）被实现为真正的「先减后加」转换，且文档自证如此——正确体现了「敞口只转换形态，不会累加」的原则。</w:t>
      </w:r>
    </w:p>
    <w:p>
      <w:pPr>
        <w:pStyle w:val="ListParagraph"/>
        <w:numPr>
          <w:ilvl w:val="0"/>
          <w:numId w:val="2"/>
        </w:numPr>
        <w:spacing w:after="100" w:line="300"/>
      </w:pPr>
      <w:r>
        <w:rPr>
          <w:rFonts w:ascii="Noto Sans CJK SC" w:cs="Noto Sans CJK SC" w:eastAsia="Noto Sans CJK SC" w:hAnsi="Noto Sans CJK SC"/>
          <w:sz w:val="21"/>
          <w:szCs w:val="21"/>
        </w:rPr>
        <w:t xml:space="preserve">账本本身设计干净、仅追加写入（append-only）：所有余额均在查询时基于 movement 历史动态推算，而非缓存存储，并有数据库层面强制的单一生效版本约束，以及真实的 (balanceContractId, eventSeq) 幂等键。金额以十进制文本存储，避免了浮点数舍入风险。</w:t>
      </w:r>
    </w:p>
    <w:p>
      <w:pPr>
        <w:pStyle w:val="ListParagraph"/>
        <w:numPr>
          <w:ilvl w:val="0"/>
          <w:numId w:val="2"/>
        </w:numPr>
        <w:spacing w:after="100" w:line="300"/>
      </w:pPr>
      <w:r>
        <w:rPr>
          <w:rFonts w:ascii="Noto Sans CJK SC" w:cs="Noto Sans CJK SC" w:eastAsia="Noto Sans CJK SC" w:hAnsi="Noto Sans CJK SC"/>
          <w:sz w:val="21"/>
          <w:szCs w:val="21"/>
        </w:rPr>
        <w:t xml:space="preserve">经办/复核（maker-checker）机制真实且覆盖面广，包括 Close 与提货担保赎回功能在内，且明确拒绝同一用户既经办又复核——不仅是UI层面的控制。</w:t>
      </w:r>
    </w:p>
    <w:p>
      <w:pPr>
        <w:pStyle w:val="ListParagraph"/>
        <w:numPr>
          <w:ilvl w:val="0"/>
          <w:numId w:val="2"/>
        </w:numPr>
        <w:spacing w:after="100" w:line="300"/>
      </w:pPr>
      <w:r>
        <w:rPr>
          <w:rFonts w:ascii="Noto Sans CJK SC" w:cs="Noto Sans CJK SC" w:eastAsia="Noto Sans CJK SC" w:hAnsi="Noto Sans CJK SC"/>
          <w:sz w:val="21"/>
          <w:szCs w:val="21"/>
        </w:rPr>
        <w:t xml:space="preserve">承兑/DPU的处理范围划分正确：一旦汇票被承兑，Balance Component自身的领域模型即会将该笔风险敞口标记为 exposureNature = ACTUAL（而非 CONTINGENT），正确反映了IFRS 9下由或有负债转为现时无条件负债的形态转换。该负债实际的表内记账及其对应应收款——按设计——被排除在本组件范围之外（deriveContingentAccountEntry() 对由此产生的表内资产类工具均返回null），与EBL/IBL已贴现敞口记账交由下游 Loan Component 处理的边界完全一致。Folio 3/5中出现的「影子备忘」Dr/Cr记账对仅作MIS对账参考展示之用，并非会计记录，实现中也未将其误作会计记录使用。</w:t>
      </w:r>
    </w:p>
    <w:p>
      <w:pPr>
        <w:pStyle w:val="ListParagraph"/>
        <w:numPr>
          <w:ilvl w:val="0"/>
          <w:numId w:val="2"/>
        </w:numPr>
        <w:spacing w:after="100" w:line="300"/>
      </w:pPr>
      <w:r>
        <w:rPr>
          <w:rFonts w:ascii="Noto Sans CJK SC" w:cs="Noto Sans CJK SC" w:eastAsia="Noto Sans CJK SC" w:hAnsi="Noto Sans CJK SC"/>
          <w:sz w:val="21"/>
          <w:szCs w:val="21"/>
        </w:rPr>
        <w:t xml:space="preserve">对处于该阶段的项目而言，自我评审的成熟度异乎寻常地高：已有一份记录在案的 OOD/SOLID 设计评审，其中大多数高/中严重度问题已被跟踪至解决；一套针对实际运行系统（而非 mock）执行、从14个用例增长到23个用例的端到端业务用例登记册；SonarQube 质量关卡通过（0个bug、0个漏洞、约98%覆盖率）；以及一个拥有703篇笔记、附带自身质量评分体系、并维护着79项未决冲突登记册的双语知识库。</w:t>
      </w:r>
    </w:p>
    <w:p>
      <w:pPr>
        <w:pStyle w:val="ListParagraph"/>
        <w:numPr>
          <w:ilvl w:val="0"/>
          <w:numId w:val="2"/>
        </w:numPr>
        <w:spacing w:after="100" w:line="300"/>
      </w:pPr>
      <w:r>
        <w:rPr>
          <w:rFonts w:ascii="Noto Sans CJK SC" w:cs="Noto Sans CJK SC" w:eastAsia="Noto Sans CJK SC" w:hAnsi="Noto Sans CJK SC"/>
          <w:sz w:val="21"/>
          <w:szCs w:val="21"/>
        </w:rPr>
        <w:t xml:space="preserve">已知的投产阻断项（缺乏身份认证、Angular存在CVE漏洞、SQLite全文件锁）均被明确列出、命名并设置了关卡——团队并未悄悄绕过这些问题上线。</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四、发现问题</w:t>
      </w:r>
    </w:p>
    <w:p>
      <w:pPr>
        <w:spacing w:after="160" w:line="300"/>
      </w:pPr>
      <w:r>
        <w:rPr>
          <w:rFonts w:ascii="Noto Sans CJK SC" w:cs="Noto Sans CJK SC" w:eastAsia="Noto Sans CJK SC" w:hAnsi="Noto Sans CJK SC"/>
          <w:sz w:val="21"/>
          <w:szCs w:val="21"/>
        </w:rPr>
        <w:t xml:space="preserve">按严重程度排序。每项发现均引用了项目自身文档或源代码中的证据、业务影响，以及相应建议。</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rPr>
          <w:tblHeader/>
        </w:trPr>
        <w:tc>
          <w:tcPr>
            <w:tcW w:type="dxa" w:w="9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严重度/编号</w:t>
            </w:r>
          </w:p>
        </w:tc>
        <w:tc>
          <w:tcPr>
            <w:tcW w:type="dxa" w:w="26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发现问题</w:t>
            </w:r>
          </w:p>
        </w:tc>
        <w:tc>
          <w:tcPr>
            <w:tcW w:type="dxa" w:w="32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证据与影响</w:t>
            </w:r>
          </w:p>
        </w:tc>
        <w:tc>
          <w:tcPr>
            <w:tcW w:type="dxa" w:w="2900"/>
            <w:shd w:fill="1F3864" w:val="clear"/>
            <w:tcMar>
              <w:top w:type="dxa" w:w="80"/>
              <w:left w:type="dxa" w:w="100"/>
              <w:bottom w:type="dxa" w:w="80"/>
              <w:right w:type="dxa" w:w="100"/>
            </w:tcMar>
            <w:vAlign w:val="top"/>
          </w:tcPr>
          <w:p>
            <w:r>
              <w:rPr>
                <w:rFonts w:ascii="Noto Sans CJK SC" w:cs="Noto Sans CJK SC" w:eastAsia="Noto Sans CJK SC" w:hAnsi="Noto Sans CJK SC"/>
                <w:b/>
                <w:bCs/>
                <w:color w:val="FFFFFF"/>
                <w:sz w:val="19"/>
                <w:szCs w:val="19"/>
              </w:rPr>
              <w:t xml:space="preserve">建议</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C0504D"/>
                <w:sz w:val="18"/>
                <w:szCs w:val="18"/>
              </w:rPr>
              <w:t xml:space="preserve">高</w:t>
            </w:r>
          </w:p>
          <w:p>
            <w:r>
              <w:rPr>
                <w:rFonts w:ascii="Noto Sans CJK SC" w:cs="Noto Sans CJK SC" w:eastAsia="Noto Sans CJK SC" w:hAnsi="Noto Sans CJK SC"/>
                <w:color w:val="777777"/>
                <w:sz w:val="16"/>
                <w:szCs w:val="16"/>
              </w:rPr>
              <w:t xml:space="preserve">F1</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缺失到期 / UCP 600 第16(f)条自动释放触发机制</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知识库 Knowledge-Gaps GAP-005/GAP-006 —— 对源代码的检查确认：不存在任何定时任务（timer/cron），也不存在第16(f)条拒付推定（preclusion）逻辑；系统只有单一的 CLOSE movement 类型，完全依赖经办/复核的人工操作触发。</w:t>
            </w:r>
          </w:p>
          <w:p>
            <w:pPr>
              <w:spacing w:line="270"/>
            </w:pPr>
            <w:r>
              <w:rPr>
                <w:rFonts w:ascii="Noto Sans CJK SC" w:cs="Noto Sans CJK SC" w:eastAsia="Noto Sans CJK SC" w:hAnsi="Noto Sans CJK SC"/>
                <w:i/>
                <w:iCs/>
                <w:color w:val="555555"/>
                <w:sz w:val="17"/>
                <w:szCs w:val="17"/>
              </w:rPr>
              <w:t xml:space="preserve">一笔从未被合法释放的或有负债，除非有人记得手动关闭，否则会无限期停留在表外账簿上——这正是「导致表外账簿虚增」最常见的缺陷模式。同时也把主动关闭与到期触发这两个法律性质不同的事件混为一谈。</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需要新增两个彼此独立、已对照源码验证过的机制，而非只有一个。（1）AUTO EXPIRE——新增独立的 EXPIRE movement 类型，在该合约自身的 expiry_date + mail_float_grace_days 已过、且该合约事件树没有 PENDING 中的事件在途（沿用既有 hasOpenEvents 检查本身，不做修改）时自动触发。不得沿用 CLOSE 既有资格判断里「SG Confirmed Balance = 0 且 Acceptance Confirmed Balance = 0」这两个条件——那描述的是另一件不相关的前提，若照搬会让 EXPIRE 在它本该释放的那些信用证（到期时仍有未清 SG 或 Acceptance）上永远无法触发。EXPIRE 沖销的是合约自己剩余的 Confirmed Balance（与 CLOSE 今日既有逻辑沖销的是同一个数字，参见 closeEligibility.ts 自身的设计意图注释；注意与本系统里另有精确定义的 Available Balance 区分），并把状态从 ACTIVE 改为新增的、独立的 EXPIRED，同时应在 UTILIZE、新开 SG、Document Arrival 等入口显式加入状态检查，让到期后的动用请求得到明确拒绝，而非仅依赖余额已归零的隐含效果。（2）AUTO CLOSE——待 SG Confirmed Balance、Acceptance Confirmed Balance 及事件树其余部分真正归零/结清后，自动触发现有、完全不需修改的 evaluateCloseEligibility()，把状态从 EXPIRED 转为 CLOSED；这里不需要改动既有判断逻辑本身，只需让排程也能调用它，不再限于人工 A10/B6。两个排程都应透过 BATCH_MAKER/BATCH_CHECKER 两个系统角色身份保留既有的双人经办/复核四眼流程，不得绕过。mail_float_grace_days 维持进出口分开配置、并在开证当下锁定到合约本身，避免日后政策调整时回头改变已在账上的旧信用证的释放时点。建议 EXPIRE 与 AUTO CLOSE 分别用独立的 feature flag 控管，并按此顺序先后上线——因为 EXPIRE 直接影响或有负债金额，AUTO CLOSE 仅是结案收尾。设计后续扩充了完整的重启机制：在 EXPIRED 但 AUTO CLOSE 尚未真正触发之前，可透过正式的 Expiry Extension Amendment（A2/B2）把合约打回 ACTIVE 并恢复被冲销的余额；CLOSED 状态则需要一个独立、审批门槛更高的具名业务功能（建议 A11 Import／B7 Export LC Reopen，因属非例行、特殊授权交易，特意不塞进 A2/B2 的选项清单）才能走同样的恢复流程。两者恢复余额的方式都是对被冲销的那笔 EXPIRE／CLOSE movement 触发一笔 REVERSAL——这个 movementType 目前只在本系统 MOVEMENT_DIRECTION 的注释里被预留名称（KB 自身的 Knowledge-Gaps 也将其列为未解疑点），尚未在任何地方真正实作，所以这是真正的新增工作量，不是重用既有机制。CLOSE 本身也应该改为强制要求 reasonCode，Reopen 的资格判断才有东西可查。完整机制、范例与尚待工程/BA拍板的排程时序、consent 把关等开放问题，详见 analysis/Balance-Component-F1-Expire-Proposal-zh.md 第七至十一节。</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C0504D"/>
                <w:sz w:val="18"/>
                <w:szCs w:val="18"/>
              </w:rPr>
              <w:t xml:space="preserve">高</w:t>
            </w:r>
          </w:p>
          <w:p>
            <w:r>
              <w:rPr>
                <w:rFonts w:ascii="Noto Sans CJK SC" w:cs="Noto Sans CJK SC" w:eastAsia="Noto Sans CJK SC" w:hAnsi="Noto Sans CJK SC"/>
                <w:color w:val="777777"/>
                <w:sz w:val="16"/>
                <w:szCs w:val="16"/>
              </w:rPr>
              <w:t xml:space="preserve">F2</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出口买方远期路由缺口——决策已定案，实现仍未完成</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业务问题本身早已定案：业务规则决策备忘录（2026-08-21）决策2明确指出，Buyer's Usance是开证行对申请人（买方）的融资安排，仅存在于进口侧；对出口/保兑行自身的资产负债表而言，Buyer's Usance不构成任何延期付款曝险，必须与Sight做完全相同的处理（B4须路由至HONOUR，绝不可为ACCEPT）；tenorType: 'BUYERS_USANCE'对EPLC_CONFIRMATION而言不是合法宣告。目前仍未完成的，纯粹是代码层面：该备忘录行动项3（tenorRouting.ts / balanceService.ts中的拒绝/规范化防护）截至2026-08-24补充说明仍未实现；仅受影响的两个测试用例（export-case-2/4）在测试数据层面被修正为SELLERS_USANCE，并未触及领域层本身的防护逻辑。</w:t>
            </w:r>
          </w:p>
          <w:p>
            <w:pPr>
              <w:spacing w:line="270"/>
            </w:pPr>
            <w:r>
              <w:rPr>
                <w:rFonts w:ascii="Noto Sans CJK SC" w:cs="Noto Sans CJK SC" w:eastAsia="Noto Sans CJK SC" w:hAnsi="Noto Sans CJK SC"/>
                <w:i/>
                <w:iCs/>
                <w:color w:val="555555"/>
                <w:sz w:val="17"/>
                <w:szCs w:val="17"/>
              </w:rPr>
              <w:t xml:space="preserve">目前若有人（无论经由UI还是直接调用API）对EPLC_CONFIRMATION宣告tenorType = BUYERS_USANCE，B4仍会落入既有的「非SIGHT一律路由至ACCEPT」逻辑，在保兑行自己的账上错误地建立一笔不该存在的承兑负债/偿付应收款配对——这是一项真实的会计正确性风险，而非单纯的输入校验缺失。</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这是一项规格已经完全明确、不存在待决业务问题的工程任务——直接依决策2原文实现拒绝/规范化防护即可，无需再等待BA进一步确认。</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C0504D"/>
                <w:sz w:val="18"/>
                <w:szCs w:val="18"/>
              </w:rPr>
              <w:t xml:space="preserve">高</w:t>
            </w:r>
          </w:p>
          <w:p>
            <w:r>
              <w:rPr>
                <w:rFonts w:ascii="Noto Sans CJK SC" w:cs="Noto Sans CJK SC" w:eastAsia="Noto Sans CJK SC" w:hAnsi="Noto Sans CJK SC"/>
                <w:color w:val="777777"/>
                <w:sz w:val="16"/>
                <w:szCs w:val="16"/>
              </w:rPr>
              <w:t xml:space="preserve">F3</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缺乏生产级别的身份认证与授权</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工程团队自身以 BAL-001（阻断项）跟踪此问题。createdBy / releasedBy / checkerId 均为调用方提供的自由文本，未经验证即被信任；经办/复核身份目前均为演示用数据。</w:t>
            </w:r>
          </w:p>
          <w:p>
            <w:pPr>
              <w:spacing w:line="270"/>
            </w:pPr>
            <w:r>
              <w:rPr>
                <w:rFonts w:ascii="Noto Sans CJK SC" w:cs="Noto Sans CJK SC" w:eastAsia="Noto Sans CJK SC" w:hAnsi="Noto Sans CJK SC"/>
                <w:i/>
                <w:iCs/>
                <w:color w:val="555555"/>
                <w:sz w:val="17"/>
                <w:szCs w:val="17"/>
              </w:rPr>
              <w:t xml:space="preserve">审计轨迹中「谁提交、谁复核」这一核心信息目前完全无法验证。仅此一项就应阻止任何涉及真实交易对手或真实金额的试点。</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在制定上线计划前确认此项已列入关键路径——这不是BA职责范围内可解决的问题，而是一道硬性的签署关卡。</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F4</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AMEND_DECREASE 释放前缺乏受益人同意关卡</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知识库 Knowledge-Gaps GAP-004 —— 复核人可在完全没有留存同意证据的情况下，释放一笔金额减少（decrease）交易。</w:t>
            </w:r>
          </w:p>
          <w:p>
            <w:pPr>
              <w:spacing w:line="270"/>
            </w:pPr>
            <w:r>
              <w:rPr>
                <w:rFonts w:ascii="Noto Sans CJK SC" w:cs="Noto Sans CJK SC" w:eastAsia="Noto Sans CJK SC" w:hAnsi="Noto Sans CJK SC"/>
                <w:i/>
                <w:iCs/>
                <w:color w:val="555555"/>
                <w:sz w:val="17"/>
                <w:szCs w:val="17"/>
              </w:rPr>
              <w:t xml:space="preserve">UCP 600 第10(a)/(c)条要求减少金额须经受益人同意；若无留存凭证引用，账本在受到质疑时将无法证明该同意确实存在。</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在释放 AMEND_DECREASE 前，新增同意凭证引用或弃权（waiver）留存字段作为前置条件。</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F5</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提货担保复合腿赎回仍采用 MIN(单据金额, 担保余额)</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独立提货担保路径（A9）已修正为按票据全额、以单据事件为触发的赎回方式；但与单据匹配的复合路径（A3S）仍计算 sgRedeemAmount = MIN(单据金额, 提货担保余额)，业务规则决策备忘录将其定性为一项范围狭窄、经BA批准的例外。</w:t>
            </w:r>
          </w:p>
          <w:p>
            <w:pPr>
              <w:spacing w:line="270"/>
            </w:pPr>
            <w:r>
              <w:rPr>
                <w:rFonts w:ascii="Noto Sans CJK SC" w:cs="Noto Sans CJK SC" w:eastAsia="Noto Sans CJK SC" w:hAnsi="Noto Sans CJK SC"/>
                <w:i/>
                <w:iCs/>
                <w:color w:val="555555"/>
                <w:sz w:val="17"/>
                <w:szCs w:val="17"/>
              </w:rPr>
              <w:t xml:space="preserve">提货担保的解除本应由单据事件触发（承运人收回正本提货担保、书面解除函，或提单交回），而非由金额推导——采用 MIN() 计算方式，在信用证通常带有约110%提货担保上浮比例的情况下，会留下一笔无法清理的尾差余额。</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待复合路径出现真正的「承运人解除」事件来源后再行修正；在此之前应明确记录该尾差余额风险，而非隐含不表。</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F6</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缺乏跨币别 / 外汇处理机制</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05-Tolerance-FX 相关笔记自行披露：溢短装幅度与余额逻辑均仅支持单一币别——不存在重估值触发机制、汇率表，也没有合并/本位币敞口视图。</w:t>
            </w:r>
          </w:p>
          <w:p>
            <w:pPr>
              <w:spacing w:line="270"/>
            </w:pPr>
            <w:r>
              <w:rPr>
                <w:rFonts w:ascii="Noto Sans CJK SC" w:cs="Noto Sans CJK SC" w:eastAsia="Noto Sans CJK SC" w:hAnsi="Noto Sans CJK SC"/>
                <w:i/>
                <w:iCs/>
                <w:color w:val="555555"/>
                <w:sz w:val="17"/>
                <w:szCs w:val="17"/>
              </w:rPr>
              <w:t xml:space="preserve">进出口信用证账簿天然是多币别的；若不解决此问题，任何合并敞口或额度占用数字都必须完全在组件之外另行拼装。</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以书面形式确认外汇合并是否有意规划为下游职责；若非如此，应在上线前将其纳入范围。</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F7</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跨品种敞口聚合缺乏通用保障机制</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各功能各自硬编码自己的净额计算顺序（先减后加），而非调用统一的以 MAX 为基础的聚合器；parent_logical_contract_id（信用证与提货担保/承兑之间的链接）仅存在于应用层，数据库层面没有外键约束。</w:t>
            </w:r>
          </w:p>
          <w:p>
            <w:pPr>
              <w:spacing w:line="270"/>
            </w:pPr>
            <w:r>
              <w:rPr>
                <w:rFonts w:ascii="Noto Sans CJK SC" w:cs="Noto Sans CJK SC" w:eastAsia="Noto Sans CJK SC" w:hAnsi="Noto Sans CJK SC"/>
                <w:i/>
                <w:iCs/>
                <w:color w:val="555555"/>
                <w:sz w:val="17"/>
                <w:szCs w:val="17"/>
              </w:rPr>
              <w:t xml:space="preserve">目前信用证+提货担保+承兑的敞口能够正确净额化，仅因为其计算顺序分散写在各功能逻辑中。schema 层面没有任何机制阻止未来的报表或调用方直接对同一关联合同族的原始余额求和，从而造成重复计算。</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在基于该数据构建任何新报表或调用方之前，应为 parent_logical_contract_id 增加数据库外键约束，或提供明确的「禁止对关联合同树求和」辅助函数/防护机制。</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F8</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方向标识存在两套不同的编码方式</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大多数品种通过 movementType 经由静态查找表推导方向；而 B2（EPLC_CONFIRMATION / AMEND）却改由 amount 字段的正负号推导方向——此前已因此产生过一次真实的bug（符号取反补丁曾意外改写共享的 model 对象）。</w:t>
            </w:r>
          </w:p>
          <w:p>
            <w:pPr>
              <w:spacing w:line="270"/>
            </w:pPr>
            <w:r>
              <w:rPr>
                <w:rFonts w:ascii="Noto Sans CJK SC" w:cs="Noto Sans CJK SC" w:eastAsia="Noto Sans CJK SC" w:hAnsi="Noto Sans CJK SC"/>
                <w:i/>
                <w:iCs/>
                <w:color w:val="555555"/>
                <w:sz w:val="17"/>
                <w:szCs w:val="17"/>
              </w:rPr>
              <w:t xml:space="preserve">同一概念使用两套机制，增加了方向与数值不同步的风险，也加大了审计难度。</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统一采用单一的方向编码机制，或至少在API契约层面对 B2 的例外情况予以醒目说明。</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F9</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「五个敞口数字」概念未被建模</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在组件中未发现 accounting_balance / ead_economic / ecl_ead / ead_regulatory / limit_utilisation 作为独立数字存在的任何痕迹；组件只产出会计余额一类数字（confirmedBalance、availableBalance、offBalanceExposure、tightAvailableBalance）。</w:t>
            </w:r>
          </w:p>
          <w:p>
            <w:pPr>
              <w:spacing w:line="270"/>
            </w:pPr>
            <w:r>
              <w:rPr>
                <w:rFonts w:ascii="Noto Sans CJK SC" w:cs="Noto Sans CJK SC" w:eastAsia="Noto Sans CJK SC" w:hAnsi="Noto Sans CJK SC"/>
                <w:i/>
                <w:iCs/>
                <w:color w:val="555555"/>
                <w:sz w:val="17"/>
                <w:szCs w:val="17"/>
              </w:rPr>
              <w:t xml:space="preserve">若这是有意为之的边界决策（ECL 与监管 EAD 确实应归属风险引擎），则合理；但目前看起来更像是一项隐含缺口，而非已记录的范围决策。</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在范围文档中明确记录：ECL/监管EAD 的推导完全由下游调用方负责。</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F10</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测试矩阵未覆盖到期、第16(f)条或重复计算场景</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由14个用例增长到23个的实时业务用例登记册未涵盖到期释放、第16(f)条拒付推定或敞口重复计算场景——这与 F1 相应功能尚不存在的现状一致，但在 F1 落地后仍是一项独立缺口。</w:t>
            </w:r>
          </w:p>
          <w:p>
            <w:pPr>
              <w:spacing w:line="270"/>
            </w:pPr>
            <w:r>
              <w:rPr>
                <w:rFonts w:ascii="Noto Sans CJK SC" w:cs="Noto Sans CJK SC" w:eastAsia="Noto Sans CJK SC" w:hAnsi="Noto Sans CJK SC"/>
                <w:i/>
                <w:iCs/>
                <w:color w:val="555555"/>
                <w:sz w:val="17"/>
                <w:szCs w:val="17"/>
              </w:rPr>
              <w:t xml:space="preserve">贸易融资账本历史上缺陷率最高的正是这几类领域规则，而目前恰恰是尚未测试的部分。</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待 F1 落地后，立即将这些场景补充进 Test-Case-Proposal。</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E5A825"/>
                <w:sz w:val="18"/>
                <w:szCs w:val="18"/>
              </w:rPr>
              <w:t xml:space="preserve">中</w:t>
            </w:r>
          </w:p>
          <w:p>
            <w:r>
              <w:rPr>
                <w:rFonts w:ascii="Noto Sans CJK SC" w:cs="Noto Sans CJK SC" w:eastAsia="Noto Sans CJK SC" w:hAnsi="Noto Sans CJK SC"/>
                <w:color w:val="777777"/>
                <w:sz w:val="16"/>
                <w:szCs w:val="16"/>
              </w:rPr>
              <w:t xml:space="preserve">F11</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balance_movements 表已膨胀至47个稀疏字段</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通过反复执行 ALTER TABLE（每新增一种操作即新增一对经办人/时间戳字段）而非采用规范化的事件表结构；设计规范中已存在倒起息更正决策表，但实际 schema 中没有对应的 effective_date / booking_date / period-close 字段。</w:t>
            </w:r>
          </w:p>
          <w:p>
            <w:pPr>
              <w:spacing w:line="270"/>
            </w:pPr>
            <w:r>
              <w:rPr>
                <w:rFonts w:ascii="Noto Sans CJK SC" w:cs="Noto Sans CJK SC" w:eastAsia="Noto Sans CJK SC" w:hAnsi="Noto Sans CJK SC"/>
                <w:i/>
                <w:iCs/>
                <w:color w:val="555555"/>
                <w:sz w:val="17"/>
                <w:szCs w:val="17"/>
              </w:rPr>
              <w:t xml:space="preserve">项目自身的数据库优化评审已将其标记为技术债务；使账本难以规范扩展，也使版本化处理被无限期搁置。</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按项目自身建议，将其规范化为 movement_actions / movement_snapshots 结构，最好与已规划的 Postgres 迁移一并进行。</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F12</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重新签发（re-ISSUE）路径可能绕过重复签发防护</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以 balanceContractId 为键的重新签发路径，看似并未像自然键路径那样明确调用相同的重复签发防护与 assertRootIssueReleased 检查；项目自身的对抗性评审已将其标记为未测试。</w:t>
            </w:r>
          </w:p>
          <w:p>
            <w:pPr>
              <w:spacing w:line="270"/>
            </w:pPr>
            <w:r>
              <w:rPr>
                <w:rFonts w:ascii="Noto Sans CJK SC" w:cs="Noto Sans CJK SC" w:eastAsia="Noto Sans CJK SC" w:hAnsi="Noto Sans CJK SC"/>
                <w:i/>
                <w:iCs/>
                <w:color w:val="555555"/>
                <w:sz w:val="17"/>
                <w:szCs w:val="17"/>
              </w:rPr>
              <w:t xml:space="preserve">存在一个可能性较低的重复计算风险点。</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补充回归测试，或在确无必要时直接下线该路径。</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F13</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已设计的合同版本链未被实际使用</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数据库设计文档中描述了 markSuperseded / contractVersion 机制；但 balanceService.ts 中 contractVersion 被硬编码为1，从未实际调用该机制。</w:t>
            </w:r>
          </w:p>
          <w:p>
            <w:pPr>
              <w:spacing w:line="270"/>
            </w:pPr>
            <w:r>
              <w:rPr>
                <w:rFonts w:ascii="Noto Sans CJK SC" w:cs="Noto Sans CJK SC" w:eastAsia="Noto Sans CJK SC" w:hAnsi="Noto Sans CJK SC"/>
                <w:i/>
                <w:iCs/>
                <w:color w:val="555555"/>
                <w:sz w:val="17"/>
                <w:szCs w:val="17"/>
              </w:rPr>
              <w:t xml:space="preserve">属于「死 schema」还是「未完成功能」尚不明确，但两种情况风险均较低。</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就此作出文档层面的决定：要么实现该功能，要么将其从设计文档中移除。</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F14</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reject() 与 release() 对 checkerId 的取值方式不一致</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reject() 使用硬编码的 checkerId；release() 则通过正常机制推导该值。</w:t>
            </w:r>
          </w:p>
          <w:p>
            <w:pPr>
              <w:spacing w:line="270"/>
            </w:pPr>
            <w:r>
              <w:rPr>
                <w:rFonts w:ascii="Noto Sans CJK SC" w:cs="Noto Sans CJK SC" w:eastAsia="Noto Sans CJK SC" w:hAnsi="Noto Sans CJK SC"/>
                <w:i/>
                <w:iCs/>
                <w:color w:val="555555"/>
                <w:sz w:val="17"/>
                <w:szCs w:val="17"/>
              </w:rPr>
              <w:t xml:space="preserve">两个复核操作之间存在轻微的审计轨迹不一致。</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统一两条代码路径的实现方式。</w:t>
            </w:r>
          </w:p>
        </w:tc>
      </w:tr>
      <w:tr>
        <w:tc>
          <w:tcPr>
            <w:tcW w:type="dxa" w:w="900"/>
            <w:tcMar>
              <w:top w:type="dxa" w:w="80"/>
              <w:left w:type="dxa" w:w="100"/>
              <w:bottom w:type="dxa" w:w="80"/>
              <w:right w:type="dxa" w:w="100"/>
            </w:tcMar>
            <w:vAlign w:val="top"/>
          </w:tcPr>
          <w:p>
            <w:r>
              <w:rPr>
                <w:rFonts w:ascii="Noto Sans CJK SC" w:cs="Noto Sans CJK SC" w:eastAsia="Noto Sans CJK SC" w:hAnsi="Noto Sans CJK SC"/>
                <w:b/>
                <w:bCs/>
                <w:color w:val="6E8B3D"/>
                <w:sz w:val="18"/>
                <w:szCs w:val="18"/>
              </w:rPr>
              <w:t xml:space="preserve">低</w:t>
            </w:r>
          </w:p>
          <w:p>
            <w:r>
              <w:rPr>
                <w:rFonts w:ascii="Noto Sans CJK SC" w:cs="Noto Sans CJK SC" w:eastAsia="Noto Sans CJK SC" w:hAnsi="Noto Sans CJK SC"/>
                <w:color w:val="777777"/>
                <w:sz w:val="16"/>
                <w:szCs w:val="16"/>
              </w:rPr>
              <w:t xml:space="preserve">F15</w:t>
            </w:r>
          </w:p>
        </w:tc>
        <w:tc>
          <w:tcPr>
            <w:tcW w:type="dxa" w:w="2600"/>
            <w:tcMar>
              <w:top w:type="dxa" w:w="80"/>
              <w:left w:type="dxa" w:w="100"/>
              <w:bottom w:type="dxa" w:w="80"/>
              <w:right w:type="dxa" w:w="100"/>
            </w:tcMar>
            <w:vAlign w:val="top"/>
          </w:tcPr>
          <w:p>
            <w:pPr>
              <w:spacing w:line="280"/>
            </w:pPr>
            <w:r>
              <w:rPr>
                <w:rFonts w:ascii="Noto Sans CJK SC" w:cs="Noto Sans CJK SC" w:eastAsia="Noto Sans CJK SC" w:hAnsi="Noto Sans CJK SC"/>
                <w:b/>
                <w:bCs/>
                <w:sz w:val="18"/>
                <w:szCs w:val="18"/>
              </w:rPr>
              <w:t xml:space="preserve">约33%的中文决策表标题尚未翻译</w:t>
            </w:r>
          </w:p>
        </w:tc>
        <w:tc>
          <w:tcPr>
            <w:tcW w:type="dxa" w:w="3200"/>
            <w:tcMar>
              <w:top w:type="dxa" w:w="80"/>
              <w:left w:type="dxa" w:w="100"/>
              <w:bottom w:type="dxa" w:w="80"/>
              <w:right w:type="dxa" w:w="100"/>
            </w:tcMar>
            <w:vAlign w:val="top"/>
          </w:tcPr>
          <w:p>
            <w:pPr>
              <w:spacing w:after="60" w:line="270"/>
            </w:pPr>
            <w:r>
              <w:rPr>
                <w:rFonts w:ascii="Noto Sans CJK SC" w:cs="Noto Sans CJK SC" w:eastAsia="Noto Sans CJK SC" w:hAnsi="Noto Sans CJK SC"/>
                <w:sz w:val="17"/>
                <w:szCs w:val="17"/>
              </w:rPr>
              <w:t xml:space="preserve">在对知识库98张决策表的 Decision-Table-Index 评审中发现。</w:t>
            </w:r>
          </w:p>
          <w:p>
            <w:pPr>
              <w:spacing w:line="270"/>
            </w:pPr>
            <w:r>
              <w:rPr>
                <w:rFonts w:ascii="Noto Sans CJK SC" w:cs="Noto Sans CJK SC" w:eastAsia="Noto Sans CJK SC" w:hAnsi="Noto Sans CJK SC"/>
                <w:i/>
                <w:iCs/>
                <w:color w:val="555555"/>
                <w:sz w:val="17"/>
                <w:szCs w:val="17"/>
              </w:rPr>
              <w:t xml:space="preserve">对中文读者而言属于交付完整性上的缺口，并非功能性风险。</w:t>
            </w:r>
          </w:p>
        </w:tc>
        <w:tc>
          <w:tcPr>
            <w:tcW w:type="dxa" w:w="2900"/>
            <w:tcMar>
              <w:top w:type="dxa" w:w="80"/>
              <w:left w:type="dxa" w:w="100"/>
              <w:bottom w:type="dxa" w:w="80"/>
              <w:right w:type="dxa" w:w="100"/>
            </w:tcMar>
            <w:vAlign w:val="top"/>
          </w:tcPr>
          <w:p>
            <w:pPr>
              <w:spacing w:line="280"/>
            </w:pPr>
            <w:r>
              <w:rPr>
                <w:rFonts w:ascii="Noto Sans CJK SC" w:cs="Noto Sans CJK SC" w:eastAsia="Noto Sans CJK SC" w:hAnsi="Noto Sans CJK SC"/>
                <w:sz w:val="18"/>
                <w:szCs w:val="18"/>
              </w:rPr>
              <w:t xml:space="preserve">在该知识库向中文读者干系人分发前，完成剩余的翻译工作。</w:t>
            </w:r>
          </w:p>
        </w:tc>
      </w:tr>
    </w:tbl>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五、测试覆盖与质量现状</w:t>
      </w:r>
    </w:p>
    <w:p>
      <w:pPr>
        <w:spacing w:after="120" w:line="300"/>
      </w:pPr>
      <w:r>
        <w:rPr>
          <w:rFonts w:ascii="Noto Sans CJK SC" w:cs="Noto Sans CJK SC" w:eastAsia="Noto Sans CJK SC" w:hAnsi="Noto Sans CJK SC"/>
          <w:b/>
          <w:bCs/>
          <w:sz w:val="20"/>
          <w:szCs w:val="20"/>
        </w:rPr>
        <w:t xml:space="preserve">功能测试覆盖：  </w:t>
      </w:r>
      <w:r>
        <w:rPr>
          <w:rFonts w:ascii="Noto Sans CJK SC" w:cs="Noto Sans CJK SC" w:eastAsia="Noto Sans CJK SC" w:hAnsi="Noto Sans CJK SC"/>
          <w:sz w:val="20"/>
          <w:szCs w:val="20"/>
        </w:rPr>
        <w:t xml:space="preserve">23个实时的端到端业务用例（由14个用例基线增长而来），均针对实际运行系统执行，而非 mock，包括负面/关卡条件路径。Close功能（进口A10、出口B6）与提货担保赎回（A9）的覆盖较为充分，并包含有意设计的拒绝场景。如F10所述，到期释放、第16(f)条拒付推定及敞口重复计算目前尚未被覆盖——很大程度上是因为其底层功能（F1）本身尚不存在。</w:t>
      </w:r>
    </w:p>
    <w:p>
      <w:pPr>
        <w:spacing w:after="120" w:line="300"/>
      </w:pPr>
      <w:r>
        <w:rPr>
          <w:rFonts w:ascii="Noto Sans CJK SC" w:cs="Noto Sans CJK SC" w:eastAsia="Noto Sans CJK SC" w:hAnsi="Noto Sans CJK SC"/>
          <w:b/>
          <w:bCs/>
          <w:sz w:val="20"/>
          <w:szCs w:val="20"/>
        </w:rPr>
        <w:t xml:space="preserve">静态代码质量：  </w:t>
      </w:r>
      <w:r>
        <w:rPr>
          <w:rFonts w:ascii="Noto Sans CJK SC" w:cs="Noto Sans CJK SC" w:eastAsia="Noto Sans CJK SC" w:hAnsi="Noto Sans CJK SC"/>
          <w:sz w:val="20"/>
          <w:szCs w:val="20"/>
        </w:rPr>
        <w:t xml:space="preserve">两次记录在案的扫描中，SonarQube 质量关卡均通过——0个bug、0个漏洞、0个未评审的安全热点，在代码库规模增长45%的情况下覆盖率仍维持在接近98%的水平。目前最主要的遗留问题是核心函数 createMovement() 的认知复杂度，团队自身的变更日志显示该函数后续已被拆解。</w:t>
      </w:r>
    </w:p>
    <w:p>
      <w:pPr>
        <w:spacing w:after="120" w:line="300"/>
      </w:pPr>
      <w:r>
        <w:rPr>
          <w:rFonts w:ascii="Noto Sans CJK SC" w:cs="Noto Sans CJK SC" w:eastAsia="Noto Sans CJK SC" w:hAnsi="Noto Sans CJK SC"/>
          <w:b/>
          <w:bCs/>
          <w:sz w:val="20"/>
          <w:szCs w:val="20"/>
        </w:rPr>
        <w:t xml:space="preserve">设计评审：  </w:t>
      </w:r>
      <w:r>
        <w:rPr>
          <w:rFonts w:ascii="Noto Sans CJK SC" w:cs="Noto Sans CJK SC" w:eastAsia="Noto Sans CJK SC" w:hAnsi="Noto Sans CJK SC"/>
          <w:sz w:val="20"/>
          <w:szCs w:val="20"/>
        </w:rPr>
        <w:t xml:space="preserve">此前一份 OOD/SOLID 评审记录了3项高、6项中、4项低严重度问题，以及7项已确认的优点。大多数高/中严重度问题在项目决策日志中已被跟踪至解决；据团队自述，其中一项（编排服务端缺少与之对应的策略模式）与一项（测试可行性的根因性改造）仍明确未解决。</w:t>
      </w:r>
    </w:p>
    <w:p>
      <w:pPr>
        <w:spacing w:after="120" w:line="300"/>
      </w:pPr>
      <w:r>
        <w:rPr>
          <w:rFonts w:ascii="Noto Sans CJK SC" w:cs="Noto Sans CJK SC" w:eastAsia="Noto Sans CJK SC" w:hAnsi="Noto Sans CJK SC"/>
          <w:b/>
          <w:bCs/>
          <w:sz w:val="20"/>
          <w:szCs w:val="20"/>
        </w:rPr>
        <w:t xml:space="preserve">投产就绪关卡：  </w:t>
      </w:r>
      <w:r>
        <w:rPr>
          <w:rFonts w:ascii="Noto Sans CJK SC" w:cs="Noto Sans CJK SC" w:eastAsia="Noto Sans CJK SC" w:hAnsi="Noto Sans CJK SC"/>
          <w:sz w:val="20"/>
          <w:szCs w:val="20"/>
        </w:rPr>
        <w:t xml:space="preserve">项目自身的跟踪记录中列出了三项被有意搁置、且已明确说明的阻断项：缺乏身份认证/授权（F3）、Angular 版本存在8个高危CVE漏洞、以及 SQLite 全文件锁模型（投产前需迁移至支持行级并发的数据库）。三项均尚未启动。这属于「团队清楚且明确说明尚未完成的事项」，而非隐藏缺口。</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六、待工程/业务确认的问题</w:t>
      </w:r>
    </w:p>
    <w:p>
      <w:pPr>
        <w:pStyle w:val="ListParagraph"/>
        <w:numPr>
          <w:ilvl w:val="0"/>
          <w:numId w:val="2"/>
        </w:numPr>
        <w:spacing w:after="100" w:line="300"/>
      </w:pPr>
      <w:r>
        <w:rPr>
          <w:rFonts w:ascii="Noto Sans CJK SC" w:cs="Noto Sans CJK SC" w:eastAsia="Noto Sans CJK SC" w:hAnsi="Noto Sans CJK SC"/>
          <w:sz w:val="21"/>
          <w:szCs w:val="21"/>
        </w:rPr>
        <w:t xml:space="preserve">ECL/监管EAD 的推导是否确实有意完全归属下游调用方职责？若是，应在何处记录这一决策？（见F9）</w:t>
      </w:r>
    </w:p>
    <w:p>
      <w:pPr>
        <w:pStyle w:val="ListParagraph"/>
        <w:numPr>
          <w:ilvl w:val="0"/>
          <w:numId w:val="2"/>
        </w:numPr>
        <w:spacing w:after="100" w:line="300"/>
      </w:pPr>
      <w:r>
        <w:rPr>
          <w:rFonts w:ascii="Noto Sans CJK SC" w:cs="Noto Sans CJK SC" w:eastAsia="Noto Sans CJK SC" w:hAnsi="Noto Sans CJK SC"/>
          <w:sz w:val="21"/>
          <w:szCs w:val="21"/>
        </w:rPr>
        <w:t xml:space="preserve">多币别/外汇合并是否有意规划为未来阶段，还是应纳入本组件范围？（见F6）</w:t>
      </w:r>
    </w:p>
    <w:p>
      <w:pPr>
        <w:pStyle w:val="ListParagraph"/>
        <w:numPr>
          <w:ilvl w:val="0"/>
          <w:numId w:val="2"/>
        </w:numPr>
        <w:spacing w:after="100" w:line="300"/>
      </w:pPr>
      <w:r>
        <w:rPr>
          <w:rFonts w:ascii="Noto Sans CJK SC" w:cs="Noto Sans CJK SC" w:eastAsia="Noto Sans CJK SC" w:hAnsi="Noto Sans CJK SC"/>
          <w:sz w:val="21"/>
          <w:szCs w:val="21"/>
        </w:rPr>
        <w:t xml:space="preserve">A6 计算逻辑说明中提到「SHGT-style double-counting 超出范围」——这究竟是指存在一项已知的提货担保重复计算风险且被有意搁置，还是仅说明该表无需重新推导提货担保逻辑？值得让撰写该说明的人直接给出答案。</w:t>
      </w:r>
    </w:p>
    <w:p>
      <w:pPr>
        <w:pStyle w:val="Heading1"/>
        <w:pBdr>
          <w:bottom w:val="single" w:color="1F3864" w:sz="6" w:space="4"/>
        </w:pBdr>
        <w:spacing w:after="160" w:before="360"/>
      </w:pPr>
      <w:r>
        <w:rPr>
          <w:rFonts w:ascii="Noto Sans CJK SC" w:cs="Noto Sans CJK SC" w:eastAsia="Noto Sans CJK SC" w:hAnsi="Noto Sans CJK SC"/>
          <w:b/>
          <w:bCs/>
          <w:color w:val="1F3864"/>
          <w:sz w:val="28"/>
          <w:szCs w:val="28"/>
        </w:rPr>
        <w:t xml:space="preserve">七、总体建议</w:t>
      </w:r>
    </w:p>
    <w:p>
      <w:pPr>
        <w:spacing w:after="160" w:line="300"/>
      </w:pPr>
      <w:r>
        <w:rPr>
          <w:rFonts w:ascii="Noto Sans CJK SC" w:cs="Noto Sans CJK SC" w:eastAsia="Noto Sans CJK SC" w:hAnsi="Noto Sans CJK SC"/>
          <w:sz w:val="21"/>
          <w:szCs w:val="21"/>
        </w:rPr>
        <w:t xml:space="preserve">不建议将本组件签署为生产就绪——项目自身也并未声称已达到该标准，仅三项已设关卡的基础设施阻断项（F3，加上 Angular CVE 与 SQLite 锁问题）本身就足以构成充分理由。但作为后续开发的设计与业务规则基础而言，该组件现状良好：边界划分正确，核心账本机制（仅追加写入、动态推算余额、真实幂等性、强制执行的经办/复核）健全，团队自身的文档留痕也使本次评审异乎寻常地顺畅。</w:t>
      </w:r>
    </w:p>
    <w:p>
      <w:pPr>
        <w:spacing w:after="160" w:line="300"/>
      </w:pPr>
      <w:r>
        <w:rPr>
          <w:rFonts w:ascii="Noto Sans CJK SC" w:cs="Noto Sans CJK SC" w:eastAsia="Noto Sans CJK SC" w:hAnsi="Noto Sans CJK SC"/>
          <w:sz w:val="21"/>
          <w:szCs w:val="21"/>
        </w:rPr>
        <w:t xml:space="preserve">在进入下一阶段开发之前，建议优先处理 F1（到期 / 第16(f)条自动释放）——这是一项会计正确性问题，而非工程工作量问题，且拖延越久、累积风险越大。F2（出口买方远期）已没有任何待决的模糊空间——决策早在2026-08-21即已定案——应直接排入工程待办清单，而非继续当作等待拍板的事项处理。中、低严重度发现各建一条待办事项即可，不会阻碍后续开发。</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2026-08-25T07:39:10.124Z</dcterms:created>
  <dcterms:modified xsi:type="dcterms:W3CDTF">2026-08-25T07:39:10.125Z</dcterms:modified>
</cp:coreProperties>
</file>

<file path=docProps/custom.xml><?xml version="1.0" encoding="utf-8"?>
<Properties xmlns="http://schemas.openxmlformats.org/officeDocument/2006/custom-properties" xmlns:vt="http://schemas.openxmlformats.org/officeDocument/2006/docPropsVTypes"/>
</file>