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E3A8A"/>
          <w:sz w:val="44"/>
          <w:szCs w:val="44"/>
        </w:rPr>
        <w:t xml:space="preserve">Payment Component OAS</w:t>
      </w:r>
    </w:p>
    <w:p>
      <w:pPr>
        <w:spacing w:after="80"/>
        <w:jc w:val="center"/>
      </w:pPr>
      <w:r>
        <w:rPr>
          <w:color w:val="2563EB"/>
          <w:sz w:val="30"/>
          <w:szCs w:val="30"/>
        </w:rPr>
        <w:t xml:space="preserve">功能規格書（Functional Specification Document）</w:t>
      </w:r>
    </w:p>
    <w:p>
      <w:pPr>
        <w:spacing w:after="40"/>
        <w:jc w:val="center"/>
      </w:pPr>
      <w:r>
        <w:rPr>
          <w:i/>
          <w:iCs/>
          <w:color w:val="64748B"/>
          <w:sz w:val="22"/>
          <w:szCs w:val="22"/>
        </w:rPr>
        <w:t xml:space="preserve">POST /payment-instructions —— 貿易融資業務情境說明</w:t>
      </w:r>
    </w:p>
    <w:p>
      <w:pPr>
        <w:spacing w:after="400"/>
        <w:jc w:val="center"/>
      </w:pPr>
      <w:r>
        <w:rPr>
          <w:color w:val="64748B"/>
          <w:sz w:val="20"/>
          <w:szCs w:val="20"/>
        </w:rPr>
        <w:t xml:space="preserve">OAS 版本 1.8.0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3A8A" w:val="clear"/>
            <w:tcMar>
              <w:top w:type="dxa" w:w="80"/>
              <w:left w:type="dxa" w:w="100"/>
              <w:bottom w:type="dxa" w:w="80"/>
              <w:right w:type="dxa" w:w="100"/>
            </w:tcMar>
          </w:tcPr>
          <w:p>
            <w:r>
              <w:rPr>
                <w:b/>
                <w:bCs/>
                <w:color w:val="FFFFFF"/>
                <w:sz w:val="18"/>
                <w:szCs w:val="18"/>
              </w:rPr>
              <w:t xml:space="preserve">項目</w:t>
            </w:r>
          </w:p>
        </w:tc>
        <w:tc>
          <w:tcPr>
            <w:tcW w:type="dxa" w:w="6750"/>
            <w:shd w:fill="1E3A8A" w:val="clear"/>
            <w:tcMar>
              <w:top w:type="dxa" w:w="80"/>
              <w:left w:type="dxa" w:w="100"/>
              <w:bottom w:type="dxa" w:w="80"/>
              <w:right w:type="dxa" w:w="100"/>
            </w:tcMar>
          </w:tcPr>
          <w:p>
            <w:r>
              <w:rPr>
                <w:b/>
                <w:bCs/>
                <w:color w:val="FFFFFF"/>
                <w:sz w:val="18"/>
                <w:szCs w:val="18"/>
              </w:rPr>
              <w:t xml:space="preserve">內容</w:t>
            </w:r>
          </w:p>
        </w:tc>
      </w:tr>
      <w:tr>
        <w:tc>
          <w:tcPr>
            <w:tcW w:type="dxa" w:w="2600"/>
            <w:tcMar>
              <w:top w:type="dxa" w:w="80"/>
              <w:left w:type="dxa" w:w="100"/>
              <w:bottom w:type="dxa" w:w="80"/>
              <w:right w:type="dxa" w:w="100"/>
            </w:tcMar>
          </w:tcPr>
          <w:p>
            <w:r>
              <w:rPr>
                <w:color w:val="1E293B"/>
                <w:sz w:val="18"/>
                <w:szCs w:val="18"/>
              </w:rPr>
              <w:t xml:space="preserve">文件類型</w:t>
            </w:r>
          </w:p>
        </w:tc>
        <w:tc>
          <w:tcPr>
            <w:tcW w:type="dxa" w:w="6750"/>
            <w:tcMar>
              <w:top w:type="dxa" w:w="80"/>
              <w:left w:type="dxa" w:w="100"/>
              <w:bottom w:type="dxa" w:w="80"/>
              <w:right w:type="dxa" w:w="100"/>
            </w:tcMar>
          </w:tcPr>
          <w:p>
            <w:r>
              <w:rPr>
                <w:color w:val="1E293B"/>
                <w:sz w:val="18"/>
                <w:szCs w:val="18"/>
              </w:rPr>
              <w:t xml:space="preserve">功能規格書（FSD）</w:t>
            </w:r>
          </w:p>
        </w:tc>
      </w:tr>
      <w:tr>
        <w:tc>
          <w:tcPr>
            <w:tcW w:type="dxa" w:w="2600"/>
            <w:tcMar>
              <w:top w:type="dxa" w:w="80"/>
              <w:left w:type="dxa" w:w="100"/>
              <w:bottom w:type="dxa" w:w="80"/>
              <w:right w:type="dxa" w:w="100"/>
            </w:tcMar>
          </w:tcPr>
          <w:p>
            <w:r>
              <w:rPr>
                <w:color w:val="1E293B"/>
                <w:sz w:val="18"/>
                <w:szCs w:val="18"/>
              </w:rPr>
              <w:t xml:space="preserve">標的系統</w:t>
            </w:r>
          </w:p>
        </w:tc>
        <w:tc>
          <w:tcPr>
            <w:tcW w:type="dxa" w:w="6750"/>
            <w:tcMar>
              <w:top w:type="dxa" w:w="80"/>
              <w:left w:type="dxa" w:w="100"/>
              <w:bottom w:type="dxa" w:w="80"/>
              <w:right w:type="dxa" w:w="100"/>
            </w:tcMar>
          </w:tcPr>
          <w:p>
            <w:r>
              <w:rPr>
                <w:color w:val="1E293B"/>
                <w:sz w:val="18"/>
                <w:szCs w:val="18"/>
              </w:rPr>
              <w:t xml:space="preserve">Payment Component 微服務——POST /payment-instructions</w:t>
            </w:r>
          </w:p>
        </w:tc>
      </w:tr>
      <w:tr>
        <w:tc>
          <w:tcPr>
            <w:tcW w:type="dxa" w:w="2600"/>
            <w:tcMar>
              <w:top w:type="dxa" w:w="80"/>
              <w:left w:type="dxa" w:w="100"/>
              <w:bottom w:type="dxa" w:w="80"/>
              <w:right w:type="dxa" w:w="100"/>
            </w:tcMar>
          </w:tcPr>
          <w:p>
            <w:r>
              <w:rPr>
                <w:color w:val="1E293B"/>
                <w:sz w:val="18"/>
                <w:szCs w:val="18"/>
              </w:rPr>
              <w:t xml:space="preserve">來源合約</w:t>
            </w:r>
          </w:p>
        </w:tc>
        <w:tc>
          <w:tcPr>
            <w:tcW w:type="dxa" w:w="6750"/>
            <w:tcMar>
              <w:top w:type="dxa" w:w="80"/>
              <w:left w:type="dxa" w:w="100"/>
              <w:bottom w:type="dxa" w:w="80"/>
              <w:right w:type="dxa" w:w="100"/>
            </w:tcMar>
          </w:tcPr>
          <w:p>
            <w:r>
              <w:rPr>
                <w:color w:val="1E293B"/>
                <w:sz w:val="18"/>
                <w:szCs w:val="18"/>
              </w:rPr>
              <w:t xml:space="preserve">analysis/payment-instructions-post.yaml（OpenAPI 3.0.3，v1.8.0）</w:t>
            </w:r>
          </w:p>
        </w:tc>
      </w:tr>
      <w:tr>
        <w:tc>
          <w:tcPr>
            <w:tcW w:type="dxa" w:w="2600"/>
            <w:tcMar>
              <w:top w:type="dxa" w:w="80"/>
              <w:left w:type="dxa" w:w="100"/>
              <w:bottom w:type="dxa" w:w="80"/>
              <w:right w:type="dxa" w:w="100"/>
            </w:tcMar>
          </w:tcPr>
          <w:p>
            <w:r>
              <w:rPr>
                <w:color w:val="1E293B"/>
                <w:sz w:val="18"/>
                <w:szCs w:val="18"/>
              </w:rPr>
              <w:t xml:space="preserve">涵蓋模組</w:t>
            </w:r>
          </w:p>
        </w:tc>
        <w:tc>
          <w:tcPr>
            <w:tcW w:type="dxa" w:w="6750"/>
            <w:tcMar>
              <w:top w:type="dxa" w:w="80"/>
              <w:left w:type="dxa" w:w="100"/>
              <w:bottom w:type="dxa" w:w="80"/>
              <w:right w:type="dxa" w:w="100"/>
            </w:tcMar>
          </w:tcPr>
          <w:p>
            <w:r>
              <w:rPr>
                <w:color w:val="1E293B"/>
                <w:sz w:val="18"/>
                <w:szCs w:val="18"/>
              </w:rPr>
              <w:t xml:space="preserve">IPLC、EPLC、IMCO、EXCO、GTEE、IWGT（使用方）、RPFM（部分整合）、CFNC、SBLC、REIM、PYMT（已確認非使用方）——共 11 個模組，皆已驗證</w:t>
            </w:r>
          </w:p>
        </w:tc>
      </w:tr>
      <w:tr>
        <w:tc>
          <w:tcPr>
            <w:tcW w:type="dxa" w:w="2600"/>
            <w:tcMar>
              <w:top w:type="dxa" w:w="80"/>
              <w:left w:type="dxa" w:w="100"/>
              <w:bottom w:type="dxa" w:w="80"/>
              <w:right w:type="dxa" w:w="100"/>
            </w:tcMar>
          </w:tcPr>
          <w:p>
            <w:r>
              <w:rPr>
                <w:color w:val="1E293B"/>
                <w:sz w:val="18"/>
                <w:szCs w:val="18"/>
              </w:rPr>
              <w:t xml:space="preserve">撰寫角色</w:t>
            </w:r>
          </w:p>
        </w:tc>
        <w:tc>
          <w:tcPr>
            <w:tcW w:type="dxa" w:w="6750"/>
            <w:tcMar>
              <w:top w:type="dxa" w:w="80"/>
              <w:left w:type="dxa" w:w="100"/>
              <w:bottom w:type="dxa" w:w="80"/>
              <w:right w:type="dxa" w:w="100"/>
            </w:tcMar>
          </w:tcPr>
          <w:p>
            <w:r>
              <w:rPr>
                <w:color w:val="1E293B"/>
                <w:sz w:val="18"/>
                <w:szCs w:val="18"/>
              </w:rPr>
              <w:t xml:space="preserve">貿易融資業務分析師（CITF）／解決方案架構師</w:t>
            </w:r>
          </w:p>
        </w:tc>
      </w:tr>
      <w:tr>
        <w:tc>
          <w:tcPr>
            <w:tcW w:type="dxa" w:w="2600"/>
            <w:tcMar>
              <w:top w:type="dxa" w:w="80"/>
              <w:left w:type="dxa" w:w="100"/>
              <w:bottom w:type="dxa" w:w="80"/>
              <w:right w:type="dxa" w:w="100"/>
            </w:tcMar>
          </w:tcPr>
          <w:p>
            <w:r>
              <w:rPr>
                <w:color w:val="1E293B"/>
                <w:sz w:val="18"/>
                <w:szCs w:val="18"/>
              </w:rPr>
              <w:t xml:space="preserve">狀態</w:t>
            </w:r>
          </w:p>
        </w:tc>
        <w:tc>
          <w:tcPr>
            <w:tcW w:type="dxa" w:w="6750"/>
            <w:tcMar>
              <w:top w:type="dxa" w:w="80"/>
              <w:left w:type="dxa" w:w="100"/>
              <w:bottom w:type="dxa" w:w="80"/>
              <w:right w:type="dxa" w:w="100"/>
            </w:tcMar>
          </w:tcPr>
          <w:p>
            <w:r>
              <w:rPr>
                <w:color w:val="1E293B"/>
                <w:sz w:val="18"/>
                <w:szCs w:val="18"/>
              </w:rPr>
              <w:t xml:space="preserve">已對照遺留源碼引用與微服務自身的實作／測試套件驗證</w:t>
            </w:r>
          </w:p>
        </w:tc>
      </w:tr>
    </w:tbl>
    <w:p>
      <w:r>
        <w:br w:type="page"/>
      </w:r>
    </w:p>
    <w:p>
      <w:pPr>
        <w:pStyle w:val="Heading1"/>
      </w:pPr>
      <w:r>
        <w:t xml:space="preserve">目錄</w:t>
      </w:r>
    </w:p>
    <w:sdt>
      <w:sdtPr>
        <w:alias w:val="目錄"/>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color w:val="1E3A8A"/>
        </w:rPr>
        <w:t xml:space="preserve">1. 前言與目的</w:t>
      </w:r>
    </w:p>
    <w:p>
      <w:pPr>
        <w:spacing w:after="160"/>
      </w:pPr>
      <w:r>
        <w:t xml:space="preserve">本功能規格書（FSD）說明 Payment Component 微服務唯一的 API 合約——POST /payment-instructions——定義於 OpenAPI 3.0.3 規格 analysis/payment-instructions-post.yaml（版本 1.8.0）。文件逐欄位說明請求／回應結構、本服務所執行的業務規則，並以此為重點：說明每個欄位與規則如何對應到本行進出口信用狀、託收、保證函與風險參貸業務中的真實貿易融資情境。</w:t>
      </w:r>
    </w:p>
    <w:p>
      <w:pPr>
        <w:spacing w:after="160"/>
      </w:pPr>
      <w:r>
        <w:t xml:space="preserve">Payment Component 本身並非一項獨立產品；它是各貿易融資模組在判定交易已可結算後所共同呼叫的 Dr/Cr 結算共用層。其職責範圍精確而有限：驗證送入的分錄是否平衡、判斷該交易是否真正「與 Payment Component 相關」（相對於純粹內部或子分類帳的移動）、組裝總帳傳票說明、過帳結算分錄，並在需要時產生外發 SWIFT／ISO 20022 電文。至於要兌付哪一張匯票、套用何種匯率、單據是否符合條款——這些都由呼叫模組在呼叫此 API 之前就已決定。</w:t>
      </w:r>
    </w:p>
    <w:p>
      <w:pPr>
        <w:pStyle w:val="Heading1"/>
        <w:spacing w:after="160" w:before="360"/>
      </w:pPr>
      <w:r>
        <w:rPr>
          <w:color w:val="1E3A8A"/>
        </w:rPr>
        <w:t xml:space="preserve">2. 範圍</w:t>
      </w:r>
    </w:p>
    <w:p>
      <w:pPr>
        <w:pStyle w:val="Heading2"/>
        <w:spacing w:after="140" w:before="280"/>
      </w:pPr>
      <w:r>
        <w:rPr>
          <w:color w:val="2563EB"/>
        </w:rPr>
        <w:t xml:space="preserve">2.1 涵蓋範圍</w:t>
      </w:r>
    </w:p>
    <w:p>
      <w:pPr>
        <w:pStyle w:val="ListParagraph"/>
        <w:numPr>
          <w:ilvl w:val="0"/>
          <w:numId w:val="1"/>
        </w:numPr>
        <w:spacing w:after="60"/>
      </w:pPr>
      <w:r>
        <w:t xml:space="preserve">單一原子性端點 POST /payment-instructions，取代早期草案設計中「建立表頭／逐筆新增分錄／分類預覽／確認」的多次呼叫序列，改為一次請求即送出完整表頭及組裝完成的 debitLegs[]/creditLegs[] 陣列。</w:t>
      </w:r>
    </w:p>
    <w:p>
      <w:pPr>
        <w:pStyle w:val="ListParagraph"/>
        <w:numPr>
          <w:ilvl w:val="0"/>
          <w:numId w:val="1"/>
        </w:numPr>
        <w:spacing w:after="60"/>
      </w:pPr>
      <w:r>
        <w:t xml:space="preserve">十一個來源模組：IPLC、EPLC、IMCO、EXCO、GTEE、IWGT（已確認使用方）、RPFM（部分整合——僅分類）、以及 CFNC、SBLC、REIM、PYMT（已確認非使用方，為求完整性納入）。</w:t>
      </w:r>
    </w:p>
    <w:p>
      <w:pPr>
        <w:pStyle w:val="ListParagraph"/>
        <w:numPr>
          <w:ilvl w:val="0"/>
          <w:numId w:val="1"/>
        </w:numPr>
        <w:spacing w:after="60"/>
      </w:pPr>
      <w:r>
        <w:t xml:space="preserve">每筆請求同步執行五個處理步驟：餘額驗證、Payment Component 識別分類、傳票說明組裝、結算分錄產生、SWIFT／ISO 20022 電文產生。</w:t>
      </w:r>
    </w:p>
    <w:p>
      <w:pPr>
        <w:pStyle w:val="ListParagraph"/>
        <w:numPr>
          <w:ilvl w:val="0"/>
          <w:numId w:val="1"/>
        </w:numPr>
        <w:spacing w:after="60"/>
      </w:pPr>
      <w:r>
        <w:t xml:space="preserve">以自然鍵（originModule、mainRef、sequence）為基礎的冪等確認——重複送出會原樣回傳原始結果，而不會重新觸發總帳／SWIFT 輸出。</w:t>
      </w:r>
    </w:p>
    <w:p>
      <w:pPr>
        <w:pStyle w:val="ListParagraph"/>
        <w:numPr>
          <w:ilvl w:val="0"/>
          <w:numId w:val="1"/>
        </w:numPr>
        <w:spacing w:after="60"/>
      </w:pPr>
      <w:r>
        <w:t xml:space="preserve">Suspense／Charge Component 記帳橋接（suspenseBridge），包含用於信用狀開狀收費收取的 Charge Component Bridge 無貸方分錄模式（§7.8）。</w:t>
      </w:r>
    </w:p>
    <w:p>
      <w:pPr>
        <w:pStyle w:val="Heading2"/>
        <w:spacing w:after="140" w:before="280"/>
      </w:pPr>
      <w:r>
        <w:rPr>
          <w:color w:val="2563EB"/>
        </w:rPr>
        <w:t xml:space="preserve">2.2 不在範圍內</w:t>
      </w:r>
    </w:p>
    <w:p>
      <w:pPr>
        <w:pStyle w:val="ListParagraph"/>
        <w:numPr>
          <w:ilvl w:val="0"/>
          <w:numId w:val="1"/>
        </w:numPr>
        <w:spacing w:after="60"/>
      </w:pPr>
      <w:r>
        <w:t xml:space="preserve">洗錢防制／制裁篩檢與身分驗證／授權——依 OAS 本身 v1.2.0 版更新紀錄明確排除範圍外；假設由上游閘道或呼叫模組處理。</w:t>
      </w:r>
    </w:p>
    <w:p>
      <w:pPr>
        <w:pStyle w:val="ListParagraph"/>
        <w:numPr>
          <w:ilvl w:val="0"/>
          <w:numId w:val="1"/>
        </w:numPr>
        <w:spacing w:after="60"/>
      </w:pPr>
      <w:r>
        <w:t xml:space="preserve">匯率解析——每一個匯率欄位（drRate、drBuyRate、crBuyRate、sellRate、SuspenseEntry.crossRate）都必須由呼叫方提供、且已事先解析完成；本服務只用匯率做運算，從不自行查詢匯率。</w:t>
      </w:r>
    </w:p>
    <w:p>
      <w:pPr>
        <w:pStyle w:val="ListParagraph"/>
        <w:numPr>
          <w:ilvl w:val="0"/>
          <w:numId w:val="1"/>
        </w:numPr>
        <w:spacing w:after="60"/>
      </w:pPr>
      <w:r>
        <w:t xml:space="preserve">收費與負債傳票產生（遺留 §6.2／§6.3）——已從本服務中完全移除（v1.6.0 架構決策）；透過 Suspense 橋接的 Balance 或 Charge Component 應各自在自己的帳上獨立記錄收費／負債分錄。</w:t>
      </w:r>
    </w:p>
    <w:p>
      <w:pPr>
        <w:pStyle w:val="ListParagraph"/>
        <w:numPr>
          <w:ilvl w:val="0"/>
          <w:numId w:val="1"/>
        </w:numPr>
        <w:spacing w:after="60"/>
      </w:pPr>
      <w:r>
        <w:t xml:space="preserve">要兌付哪一張匯票、單據符合性判定、匯率選擇——全部由呼叫模組（IPLC/EPLC/IMCO/EXCO 等）在呼叫此 API 之前決定；本服務只結算被告知要結算的內容。</w:t>
      </w:r>
    </w:p>
    <w:p>
      <w:pPr>
        <w:pStyle w:val="Heading1"/>
        <w:spacing w:after="160" w:before="360"/>
      </w:pPr>
      <w:r>
        <w:rPr>
          <w:color w:val="1E3A8A"/>
        </w:rPr>
        <w:t xml:space="preserve">3. 業務背景——貿易融資結算與 Payment Component</w:t>
      </w:r>
    </w:p>
    <w:p>
      <w:pPr>
        <w:spacing w:after="160"/>
      </w:pPr>
      <w:r>
        <w:t xml:space="preserve">在本行的貿易融資後台作業中，當資金確實在兩種不同結算帳戶類別之間移動——客戶帳戶、Nostro／往來行帳戶，或 Vostro 帳戶——而非完全在同一類別內移動（例如兩個客戶子帳戶之間），或僅透過純內部清算／過渡帳戶移動時，該交易才被視為「與 Payment Component 相關」。這個區分之所以重要，是因為與 Payment Component 相關的交易才需要透過往來行進行結算，且經常需要外發 SWIFT 電文——它們代表資金真正跨越銀行對外結算管道移動，而非內部記帳。</w:t>
      </w:r>
    </w:p>
    <w:p>
      <w:pPr>
        <w:spacing w:after="160"/>
      </w:pPr>
      <w:r>
        <w:t xml:space="preserve">Payment Component 識別規則（第 2 版）將此形式化為三個彼此獨立的 XOR 條件——詳見 §7.2——純粹依照呼叫模組畫面操作人員為每筆借／貸分錄所選擇的帳戶類型來判斷。此規則是資料驅動的，並非針對特定模組或功能寫死：無論交易是信用狀付款、託收結算或保證函求償，同一套分類邏輯都會一致地運行。</w:t>
      </w:r>
    </w:p>
    <w:p>
      <w:pPr>
        <w:spacing w:after="160"/>
      </w:pPr>
      <w:r>
        <w:t xml:space="preserve">本文件 §8 將逐一說明十一個模組的真實貿易融資情境——其背後的業務事件為何、借記與貸記哪個帳戶、原因為何——內容均以對照本行遺留源碼驗證過的實際 Confirm 按鈕功能為依據。</w:t>
      </w:r>
    </w:p>
    <w:p>
      <w:pPr>
        <w:pStyle w:val="Heading1"/>
        <w:spacing w:after="160" w:before="360"/>
      </w:pPr>
      <w:r>
        <w:rPr>
          <w:color w:val="1E3A8A"/>
        </w:rPr>
        <w:t xml:space="preserve">4. API 概觀</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3A8A" w:val="clear"/>
            <w:tcMar>
              <w:top w:type="dxa" w:w="80"/>
              <w:left w:type="dxa" w:w="100"/>
              <w:bottom w:type="dxa" w:w="80"/>
              <w:right w:type="dxa" w:w="100"/>
            </w:tcMar>
          </w:tcPr>
          <w:p>
            <w:r>
              <w:rPr>
                <w:b/>
                <w:bCs/>
                <w:color w:val="FFFFFF"/>
                <w:sz w:val="18"/>
                <w:szCs w:val="18"/>
              </w:rPr>
              <w:t xml:space="preserve">項目</w:t>
            </w:r>
          </w:p>
        </w:tc>
        <w:tc>
          <w:tcPr>
            <w:tcW w:type="dxa" w:w="6750"/>
            <w:shd w:fill="1E3A8A" w:val="clear"/>
            <w:tcMar>
              <w:top w:type="dxa" w:w="80"/>
              <w:left w:type="dxa" w:w="100"/>
              <w:bottom w:type="dxa" w:w="80"/>
              <w:right w:type="dxa" w:w="100"/>
            </w:tcMar>
          </w:tcPr>
          <w:p>
            <w:r>
              <w:rPr>
                <w:b/>
                <w:bCs/>
                <w:color w:val="FFFFFF"/>
                <w:sz w:val="18"/>
                <w:szCs w:val="18"/>
              </w:rPr>
              <w:t xml:space="preserve">內容</w:t>
            </w:r>
          </w:p>
        </w:tc>
      </w:tr>
      <w:tr>
        <w:tc>
          <w:tcPr>
            <w:tcW w:type="dxa" w:w="2600"/>
            <w:tcMar>
              <w:top w:type="dxa" w:w="80"/>
              <w:left w:type="dxa" w:w="100"/>
              <w:bottom w:type="dxa" w:w="80"/>
              <w:right w:type="dxa" w:w="100"/>
            </w:tcMar>
          </w:tcPr>
          <w:p>
            <w:r>
              <w:rPr>
                <w:color w:val="1E293B"/>
                <w:sz w:val="18"/>
                <w:szCs w:val="18"/>
              </w:rPr>
              <w:t xml:space="preserve">端點</w:t>
            </w:r>
          </w:p>
        </w:tc>
        <w:tc>
          <w:tcPr>
            <w:tcW w:type="dxa" w:w="6750"/>
            <w:tcMar>
              <w:top w:type="dxa" w:w="80"/>
              <w:left w:type="dxa" w:w="100"/>
              <w:bottom w:type="dxa" w:w="80"/>
              <w:right w:type="dxa" w:w="100"/>
            </w:tcMar>
          </w:tcPr>
          <w:p>
            <w:r>
              <w:rPr>
                <w:color w:val="1E293B"/>
                <w:sz w:val="18"/>
                <w:szCs w:val="18"/>
              </w:rPr>
              <w:t xml:space="preserve">POST /payment-instructions</w:t>
            </w:r>
          </w:p>
        </w:tc>
      </w:tr>
      <w:tr>
        <w:tc>
          <w:tcPr>
            <w:tcW w:type="dxa" w:w="2600"/>
            <w:tcMar>
              <w:top w:type="dxa" w:w="80"/>
              <w:left w:type="dxa" w:w="100"/>
              <w:bottom w:type="dxa" w:w="80"/>
              <w:right w:type="dxa" w:w="100"/>
            </w:tcMar>
          </w:tcPr>
          <w:p>
            <w:r>
              <w:rPr>
                <w:color w:val="1E293B"/>
                <w:sz w:val="18"/>
                <w:szCs w:val="18"/>
              </w:rPr>
              <w:t xml:space="preserve">請求主體</w:t>
            </w:r>
          </w:p>
        </w:tc>
        <w:tc>
          <w:tcPr>
            <w:tcW w:type="dxa" w:w="6750"/>
            <w:tcMar>
              <w:top w:type="dxa" w:w="80"/>
              <w:left w:type="dxa" w:w="100"/>
              <w:bottom w:type="dxa" w:w="80"/>
              <w:right w:type="dxa" w:w="100"/>
            </w:tcMar>
          </w:tcPr>
          <w:p>
            <w:r>
              <w:rPr>
                <w:color w:val="1E293B"/>
                <w:sz w:val="18"/>
                <w:szCs w:val="18"/>
              </w:rPr>
              <w:t xml:space="preserve">PaymentInstructionConfirmRequest——表頭欄位 + debitLegs[] + creditLegs[] + 選填的 suspenseBridge</w:t>
            </w:r>
          </w:p>
        </w:tc>
      </w:tr>
      <w:tr>
        <w:tc>
          <w:tcPr>
            <w:tcW w:type="dxa" w:w="2600"/>
            <w:tcMar>
              <w:top w:type="dxa" w:w="80"/>
              <w:left w:type="dxa" w:w="100"/>
              <w:bottom w:type="dxa" w:w="80"/>
              <w:right w:type="dxa" w:w="100"/>
            </w:tcMar>
          </w:tcPr>
          <w:p>
            <w:r>
              <w:rPr>
                <w:color w:val="1E293B"/>
                <w:sz w:val="18"/>
                <w:szCs w:val="18"/>
              </w:rPr>
              <w:t xml:space="preserve">成功回應</w:t>
            </w:r>
          </w:p>
        </w:tc>
        <w:tc>
          <w:tcPr>
            <w:tcW w:type="dxa" w:w="6750"/>
            <w:tcMar>
              <w:top w:type="dxa" w:w="80"/>
              <w:left w:type="dxa" w:w="100"/>
              <w:bottom w:type="dxa" w:w="80"/>
              <w:right w:type="dxa" w:w="100"/>
            </w:tcMar>
          </w:tcPr>
          <w:p>
            <w:r>
              <w:rPr>
                <w:color w:val="1E293B"/>
                <w:sz w:val="18"/>
                <w:szCs w:val="18"/>
              </w:rPr>
              <w:t xml:space="preserve">201 Created（全新自然鍵）或 200 OK（既有自然鍵的冪等重放）——兩者皆回傳完整的 PaymentInstruction</w:t>
            </w:r>
          </w:p>
        </w:tc>
      </w:tr>
      <w:tr>
        <w:tc>
          <w:tcPr>
            <w:tcW w:type="dxa" w:w="2600"/>
            <w:tcMar>
              <w:top w:type="dxa" w:w="80"/>
              <w:left w:type="dxa" w:w="100"/>
              <w:bottom w:type="dxa" w:w="80"/>
              <w:right w:type="dxa" w:w="100"/>
            </w:tcMar>
          </w:tcPr>
          <w:p>
            <w:r>
              <w:rPr>
                <w:color w:val="1E293B"/>
                <w:sz w:val="18"/>
                <w:szCs w:val="18"/>
              </w:rPr>
              <w:t xml:space="preserve">錯誤回應</w:t>
            </w:r>
          </w:p>
        </w:tc>
        <w:tc>
          <w:tcPr>
            <w:tcW w:type="dxa" w:w="6750"/>
            <w:tcMar>
              <w:top w:type="dxa" w:w="80"/>
              <w:left w:type="dxa" w:w="100"/>
              <w:bottom w:type="dxa" w:w="80"/>
              <w:right w:type="dxa" w:w="100"/>
            </w:tcMar>
          </w:tcPr>
          <w:p>
            <w:r>
              <w:rPr>
                <w:color w:val="1E293B"/>
                <w:sz w:val="18"/>
                <w:szCs w:val="18"/>
              </w:rPr>
              <w:t xml:space="preserve">400（請求驗證失敗——欄位格式錯誤或缺漏）或 409（業務驗證失敗——例如分錄不平衡）</w:t>
            </w:r>
          </w:p>
        </w:tc>
      </w:tr>
      <w:tr>
        <w:tc>
          <w:tcPr>
            <w:tcW w:type="dxa" w:w="2600"/>
            <w:tcMar>
              <w:top w:type="dxa" w:w="80"/>
              <w:left w:type="dxa" w:w="100"/>
              <w:bottom w:type="dxa" w:w="80"/>
              <w:right w:type="dxa" w:w="100"/>
            </w:tcMar>
          </w:tcPr>
          <w:p>
            <w:r>
              <w:rPr>
                <w:color w:val="1E293B"/>
                <w:sz w:val="18"/>
                <w:szCs w:val="18"/>
              </w:rPr>
              <w:t xml:space="preserve">冪等鍵</w:t>
            </w:r>
          </w:p>
        </w:tc>
        <w:tc>
          <w:tcPr>
            <w:tcW w:type="dxa" w:w="6750"/>
            <w:tcMar>
              <w:top w:type="dxa" w:w="80"/>
              <w:left w:type="dxa" w:w="100"/>
              <w:bottom w:type="dxa" w:w="80"/>
              <w:right w:type="dxa" w:w="100"/>
            </w:tcMar>
          </w:tcPr>
          <w:p>
            <w:r>
              <w:rPr>
                <w:color w:val="1E293B"/>
                <w:sz w:val="18"/>
                <w:szCs w:val="18"/>
              </w:rPr>
              <w:t xml:space="preserve">（originModule、mainRef、sequence）——對既有鍵重複送出會原樣重放原始結果</w:t>
            </w:r>
          </w:p>
        </w:tc>
      </w:tr>
    </w:tbl>
    <w:p>
      <w:pPr>
        <w:pStyle w:val="Heading2"/>
        <w:spacing w:after="140" w:before="280"/>
      </w:pPr>
      <w:r>
        <w:rPr>
          <w:color w:val="2563EB"/>
        </w:rPr>
        <w:t xml:space="preserve">4.1 五步驟 Confirm 流程</w:t>
      </w:r>
    </w:p>
    <w:p>
      <w:pPr>
        <w:spacing w:after="160"/>
      </w:pPr>
      <w:r>
        <w:t xml:space="preserve">每筆請求都在單一呼叫中，依照以下確切順序同步執行五個步驟——不需要任何後續呼叫即可取得這五項結果，全部都內嵌於回應主體中：</w:t>
      </w:r>
    </w:p>
    <w:p>
      <w:pPr>
        <w:spacing w:after="160"/>
      </w:pPr>
      <w:r>
        <w:rPr>
          <w:b/>
          <w:bCs/>
          <w:color w:val="1E293B"/>
        </w:rPr>
        <w:t xml:space="preserve">第 0 步——冪等性檢查：</w:t>
      </w:r>
      <w:r>
        <w:t xml:space="preserve">查找自然鍵。若已存在，原樣回傳既有的儲存結果（200）——重放絕不會重新觸發總帳或 SWIFT 輸出。</w:t>
      </w:r>
    </w:p>
    <w:p>
      <w:pPr>
        <w:spacing w:after="160"/>
      </w:pPr>
      <w:r>
        <w:rPr>
          <w:b/>
          <w:bCs/>
          <w:color w:val="1E293B"/>
        </w:rPr>
        <w:t xml:space="preserve">第 1 步——借貸餘額驗證（§7.1）：</w:t>
      </w:r>
      <w:r>
        <w:t xml:space="preserve">確認借方與貸方分錄總額一致（「V8」規則）。若存在 suspenseBridge，其條目會先展開為額外分錄，因此本檢查已將其納入。</w:t>
      </w:r>
    </w:p>
    <w:p>
      <w:pPr>
        <w:spacing w:after="160"/>
      </w:pPr>
      <w:r>
        <w:rPr>
          <w:b/>
          <w:bCs/>
          <w:color w:val="1E293B"/>
        </w:rPr>
        <w:t xml:space="preserve">第 2 步——Payment Component 識別（§7.2）：</w:t>
      </w:r>
      <w:r>
        <w:t xml:space="preserve">依三項 XOR 規則對交易分類。僅供參考——絕不阻擋或影響任何後續步驟。</w:t>
      </w:r>
    </w:p>
    <w:p>
      <w:pPr>
        <w:spacing w:after="160"/>
      </w:pPr>
      <w:r>
        <w:rPr>
          <w:b/>
          <w:bCs/>
          <w:color w:val="1E293B"/>
        </w:rPr>
        <w:t xml:space="preserve">第 3 步——傳票說明組裝（§7.3）：</w:t>
      </w:r>
      <w:r>
        <w:t xml:space="preserve">為每一筆分錄組裝 {MODULE}{FuncCode}NULLNULLNULL{TypeChar} 說明代碼。</w:t>
      </w:r>
    </w:p>
    <w:p>
      <w:pPr>
        <w:spacing w:after="160"/>
      </w:pPr>
      <w:r>
        <w:rPr>
          <w:b/>
          <w:bCs/>
          <w:color w:val="1E293B"/>
        </w:rPr>
        <w:t xml:space="preserve">第 4 步——結算分錄產生（§7.4）：</w:t>
      </w:r>
      <w:r>
        <w:t xml:space="preserve">為每筆分錄無條件過帳一筆總帳分錄——與第 2 步的分類結果無關。</w:t>
      </w:r>
    </w:p>
    <w:p>
      <w:pPr>
        <w:spacing w:after="160"/>
      </w:pPr>
      <w:r>
        <w:rPr>
          <w:b/>
          <w:bCs/>
          <w:color w:val="1E293B"/>
        </w:rPr>
        <w:t xml:space="preserve">第 5 步——SWIFT／ISO 20022 電文產生（§7.5）：</w:t>
      </w:r>
      <w:r>
        <w:t xml:space="preserve">為 payAdviceMsgType／payCoverMsgType 解析為非 None 值的任何貸方分錄產生外發電文。</w:t>
      </w:r>
    </w:p>
    <w:p>
      <w:pPr>
        <w:pStyle w:val="Heading1"/>
        <w:spacing w:after="160" w:before="360"/>
      </w:pPr>
      <w:r>
        <w:rPr>
          <w:color w:val="1E3A8A"/>
        </w:rPr>
        <w:t xml:space="preserve">5. 功能需求——請求結構</w:t>
      </w:r>
    </w:p>
    <w:p>
      <w:pPr>
        <w:pStyle w:val="Heading2"/>
        <w:spacing w:after="140" w:before="280"/>
      </w:pPr>
      <w:r>
        <w:rPr>
          <w:color w:val="2563EB"/>
        </w:rPr>
        <w:t xml:space="preserve">5.1 表頭欄位（PaymentInstructionConfirmRequest）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5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欄位</w:t>
            </w:r>
          </w:p>
        </w:tc>
        <w:tc>
          <w:tcPr>
            <w:tcW w:type="dxa" w:w="1900"/>
            <w:shd w:fill="1E3A8A" w:val="clear"/>
            <w:tcMar>
              <w:top w:type="dxa" w:w="80"/>
              <w:left w:type="dxa" w:w="100"/>
              <w:bottom w:type="dxa" w:w="80"/>
              <w:right w:type="dxa" w:w="100"/>
            </w:tcMar>
          </w:tcPr>
          <w:p>
            <w:r>
              <w:rPr>
                <w:b/>
                <w:bCs/>
                <w:color w:val="FFFFFF"/>
                <w:sz w:val="18"/>
                <w:szCs w:val="18"/>
              </w:rPr>
              <w:t xml:space="preserve">型別</w:t>
            </w:r>
          </w:p>
        </w:tc>
        <w:tc>
          <w:tcPr>
            <w:tcW w:type="dxa" w:w="5550"/>
            <w:shd w:fill="1E3A8A" w:val="clear"/>
            <w:tcMar>
              <w:top w:type="dxa" w:w="80"/>
              <w:left w:type="dxa" w:w="100"/>
              <w:bottom w:type="dxa" w:w="80"/>
              <w:right w:type="dxa" w:w="100"/>
            </w:tcMar>
          </w:tcPr>
          <w:p>
            <w:r>
              <w:rPr>
                <w:b/>
                <w:bCs/>
                <w:color w:val="FFFFFF"/>
                <w:sz w:val="18"/>
                <w:szCs w:val="18"/>
              </w:rPr>
              <w:t xml:space="preserve">業務意涵</w:t>
            </w:r>
          </w:p>
        </w:tc>
      </w:tr>
      <w:tr>
        <w:tc>
          <w:tcPr>
            <w:tcW w:type="dxa" w:w="1900"/>
            <w:tcMar>
              <w:top w:type="dxa" w:w="80"/>
              <w:left w:type="dxa" w:w="100"/>
              <w:bottom w:type="dxa" w:w="80"/>
              <w:right w:type="dxa" w:w="100"/>
            </w:tcMar>
          </w:tcPr>
          <w:p>
            <w:r>
              <w:rPr>
                <w:color w:val="1E293B"/>
                <w:sz w:val="18"/>
                <w:szCs w:val="18"/>
              </w:rPr>
              <w:t xml:space="preserve">originModule</w:t>
            </w:r>
          </w:p>
        </w:tc>
        <w:tc>
          <w:tcPr>
            <w:tcW w:type="dxa" w:w="1900"/>
            <w:tcMar>
              <w:top w:type="dxa" w:w="80"/>
              <w:left w:type="dxa" w:w="100"/>
              <w:bottom w:type="dxa" w:w="80"/>
              <w:right w:type="dxa" w:w="100"/>
            </w:tcMar>
          </w:tcPr>
          <w:p>
            <w:r>
              <w:rPr>
                <w:color w:val="1E293B"/>
                <w:sz w:val="18"/>
                <w:szCs w:val="18"/>
              </w:rPr>
              <w:t xml:space="preserve">列舉（11 個值）</w:t>
            </w:r>
          </w:p>
        </w:tc>
        <w:tc>
          <w:tcPr>
            <w:tcW w:type="dxa" w:w="5550"/>
            <w:tcMar>
              <w:top w:type="dxa" w:w="80"/>
              <w:left w:type="dxa" w:w="100"/>
              <w:bottom w:type="dxa" w:w="80"/>
              <w:right w:type="dxa" w:w="100"/>
            </w:tcMar>
          </w:tcPr>
          <w:p>
            <w:r>
              <w:rPr>
                <w:color w:val="1E293B"/>
                <w:sz w:val="18"/>
                <w:szCs w:val="18"/>
              </w:rPr>
              <w:t xml:space="preserve">此交易由哪一個貿易融資模組確認——IPLC、EPLC、IMCO、EXCO、GTEE、IWGT、RPFM、CFNC、SBLC、REIM 或 PYMT。決定傳票說明前綴的解析方式。</w:t>
            </w:r>
          </w:p>
        </w:tc>
      </w:tr>
      <w:tr>
        <w:tc>
          <w:tcPr>
            <w:tcW w:type="dxa" w:w="1900"/>
            <w:tcMar>
              <w:top w:type="dxa" w:w="80"/>
              <w:left w:type="dxa" w:w="100"/>
              <w:bottom w:type="dxa" w:w="80"/>
              <w:right w:type="dxa" w:w="100"/>
            </w:tcMar>
          </w:tcPr>
          <w:p>
            <w:r>
              <w:rPr>
                <w:color w:val="1E293B"/>
                <w:sz w:val="18"/>
                <w:szCs w:val="18"/>
              </w:rPr>
              <w:t xml:space="preserve">mainRef</w:t>
            </w:r>
          </w:p>
        </w:tc>
        <w:tc>
          <w:tcPr>
            <w:tcW w:type="dxa" w:w="1900"/>
            <w:tcMar>
              <w:top w:type="dxa" w:w="80"/>
              <w:left w:type="dxa" w:w="100"/>
              <w:bottom w:type="dxa" w:w="80"/>
              <w:right w:type="dxa" w:w="100"/>
            </w:tcMar>
          </w:tcPr>
          <w:p>
            <w:r>
              <w:rPr>
                <w:color w:val="1E293B"/>
                <w:sz w:val="18"/>
                <w:szCs w:val="18"/>
              </w:rPr>
              <w:t xml:space="preserve">字串</w:t>
            </w:r>
          </w:p>
        </w:tc>
        <w:tc>
          <w:tcPr>
            <w:tcW w:type="dxa" w:w="5550"/>
            <w:tcMar>
              <w:top w:type="dxa" w:w="80"/>
              <w:left w:type="dxa" w:w="100"/>
              <w:bottom w:type="dxa" w:w="80"/>
              <w:right w:type="dxa" w:w="100"/>
            </w:tcMar>
          </w:tcPr>
          <w:p>
            <w:r>
              <w:rPr>
                <w:color w:val="1E293B"/>
                <w:sz w:val="18"/>
                <w:szCs w:val="18"/>
              </w:rPr>
              <w:t xml:space="preserve">基礎交易的主要參考編號（例如信用狀號碼或託收編號）——源自 CPYT_C_REF。</w:t>
            </w:r>
          </w:p>
        </w:tc>
      </w:tr>
      <w:tr>
        <w:tc>
          <w:tcPr>
            <w:tcW w:type="dxa" w:w="1900"/>
            <w:tcMar>
              <w:top w:type="dxa" w:w="80"/>
              <w:left w:type="dxa" w:w="100"/>
              <w:bottom w:type="dxa" w:w="80"/>
              <w:right w:type="dxa" w:w="100"/>
            </w:tcMar>
          </w:tcPr>
          <w:p>
            <w:r>
              <w:rPr>
                <w:color w:val="1E293B"/>
                <w:sz w:val="18"/>
                <w:szCs w:val="18"/>
              </w:rPr>
              <w:t xml:space="preserve">sequence</w:t>
            </w:r>
          </w:p>
        </w:tc>
        <w:tc>
          <w:tcPr>
            <w:tcW w:type="dxa" w:w="1900"/>
            <w:tcMar>
              <w:top w:type="dxa" w:w="80"/>
              <w:left w:type="dxa" w:w="100"/>
              <w:bottom w:type="dxa" w:w="80"/>
              <w:right w:type="dxa" w:w="100"/>
            </w:tcMar>
          </w:tcPr>
          <w:p>
            <w:r>
              <w:rPr>
                <w:color w:val="1E293B"/>
                <w:sz w:val="18"/>
                <w:szCs w:val="18"/>
              </w:rPr>
              <w:t xml:space="preserve">整數，必填</w:t>
            </w:r>
          </w:p>
        </w:tc>
        <w:tc>
          <w:tcPr>
            <w:tcW w:type="dxa" w:w="5550"/>
            <w:tcMar>
              <w:top w:type="dxa" w:w="80"/>
              <w:left w:type="dxa" w:w="100"/>
              <w:bottom w:type="dxa" w:w="80"/>
              <w:right w:type="dxa" w:w="100"/>
            </w:tcMar>
          </w:tcPr>
          <w:p>
            <w:r>
              <w:rPr>
                <w:color w:val="1E293B"/>
                <w:sz w:val="18"/>
                <w:szCs w:val="18"/>
              </w:rPr>
              <w:t xml:space="preserve">與 originModule + mainRef 共同構成冪等自然鍵。對同一信用狀／託收案件的部分付款會有不同的 sequence，絕不會被誤判為重複送出。</w:t>
            </w:r>
          </w:p>
        </w:tc>
      </w:tr>
      <w:tr>
        <w:tc>
          <w:tcPr>
            <w:tcW w:type="dxa" w:w="1900"/>
            <w:tcMar>
              <w:top w:type="dxa" w:w="80"/>
              <w:left w:type="dxa" w:w="100"/>
              <w:bottom w:type="dxa" w:w="80"/>
              <w:right w:type="dxa" w:w="100"/>
            </w:tcMar>
          </w:tcPr>
          <w:p>
            <w:r>
              <w:rPr>
                <w:color w:val="1E293B"/>
                <w:sz w:val="18"/>
                <w:szCs w:val="18"/>
              </w:rPr>
              <w:t xml:space="preserve">unitCode</w:t>
            </w:r>
          </w:p>
        </w:tc>
        <w:tc>
          <w:tcPr>
            <w:tcW w:type="dxa" w:w="1900"/>
            <w:tcMar>
              <w:top w:type="dxa" w:w="80"/>
              <w:left w:type="dxa" w:w="100"/>
              <w:bottom w:type="dxa" w:w="80"/>
              <w:right w:type="dxa" w:w="100"/>
            </w:tcMar>
          </w:tcPr>
          <w:p>
            <w:r>
              <w:rPr>
                <w:color w:val="1E293B"/>
                <w:sz w:val="18"/>
                <w:szCs w:val="18"/>
              </w:rPr>
              <w:t xml:space="preserve">字串</w:t>
            </w:r>
          </w:p>
        </w:tc>
        <w:tc>
          <w:tcPr>
            <w:tcW w:type="dxa" w:w="5550"/>
            <w:tcMar>
              <w:top w:type="dxa" w:w="80"/>
              <w:left w:type="dxa" w:w="100"/>
              <w:bottom w:type="dxa" w:w="80"/>
              <w:right w:type="dxa" w:w="100"/>
            </w:tcMar>
          </w:tcPr>
          <w:p>
            <w:r>
              <w:rPr>
                <w:color w:val="1E293B"/>
                <w:sz w:val="18"/>
                <w:szCs w:val="18"/>
              </w:rPr>
              <w:t xml:space="preserve">處理分行／業務單位代碼。</w:t>
            </w:r>
          </w:p>
        </w:tc>
      </w:tr>
      <w:tr>
        <w:tc>
          <w:tcPr>
            <w:tcW w:type="dxa" w:w="1900"/>
            <w:tcMar>
              <w:top w:type="dxa" w:w="80"/>
              <w:left w:type="dxa" w:w="100"/>
              <w:bottom w:type="dxa" w:w="80"/>
              <w:right w:type="dxa" w:w="100"/>
            </w:tcMar>
          </w:tcPr>
          <w:p>
            <w:r>
              <w:rPr>
                <w:color w:val="1E293B"/>
                <w:sz w:val="18"/>
                <w:szCs w:val="18"/>
              </w:rPr>
              <w:t xml:space="preserve">tenorType</w:t>
            </w:r>
          </w:p>
        </w:tc>
        <w:tc>
          <w:tcPr>
            <w:tcW w:type="dxa" w:w="1900"/>
            <w:tcMar>
              <w:top w:type="dxa" w:w="80"/>
              <w:left w:type="dxa" w:w="100"/>
              <w:bottom w:type="dxa" w:w="80"/>
              <w:right w:type="dxa" w:w="100"/>
            </w:tcMar>
          </w:tcPr>
          <w:p>
            <w:r>
              <w:rPr>
                <w:color w:val="1E293B"/>
                <w:sz w:val="18"/>
                <w:szCs w:val="18"/>
              </w:rPr>
              <w:t xml:space="preserve">字串，選填</w:t>
            </w:r>
          </w:p>
        </w:tc>
        <w:tc>
          <w:tcPr>
            <w:tcW w:type="dxa" w:w="5550"/>
            <w:tcMar>
              <w:top w:type="dxa" w:w="80"/>
              <w:left w:type="dxa" w:w="100"/>
              <w:bottom w:type="dxa" w:w="80"/>
              <w:right w:type="dxa" w:w="100"/>
            </w:tcMar>
          </w:tcPr>
          <w:p>
            <w:r>
              <w:rPr>
                <w:color w:val="1E293B"/>
                <w:sz w:val="18"/>
                <w:szCs w:val="18"/>
              </w:rPr>
              <w:t xml:space="preserve">基礎票據的即期／遠期／付款交單／承兌交單期限分類。</w:t>
            </w:r>
          </w:p>
        </w:tc>
      </w:tr>
      <w:tr>
        <w:tc>
          <w:tcPr>
            <w:tcW w:type="dxa" w:w="1900"/>
            <w:tcMar>
              <w:top w:type="dxa" w:w="80"/>
              <w:left w:type="dxa" w:w="100"/>
              <w:bottom w:type="dxa" w:w="80"/>
              <w:right w:type="dxa" w:w="100"/>
            </w:tcMar>
          </w:tcPr>
          <w:p>
            <w:r>
              <w:rPr>
                <w:color w:val="1E293B"/>
                <w:sz w:val="18"/>
                <w:szCs w:val="18"/>
              </w:rPr>
              <w:t xml:space="preserve">tenorStartDate／maturityDate</w:t>
            </w:r>
          </w:p>
        </w:tc>
        <w:tc>
          <w:tcPr>
            <w:tcW w:type="dxa" w:w="1900"/>
            <w:tcMar>
              <w:top w:type="dxa" w:w="80"/>
              <w:left w:type="dxa" w:w="100"/>
              <w:bottom w:type="dxa" w:w="80"/>
              <w:right w:type="dxa" w:w="100"/>
            </w:tcMar>
          </w:tcPr>
          <w:p>
            <w:r>
              <w:rPr>
                <w:color w:val="1E293B"/>
                <w:sz w:val="18"/>
                <w:szCs w:val="18"/>
              </w:rPr>
              <w:t xml:space="preserve">日期，選填</w:t>
            </w:r>
          </w:p>
        </w:tc>
        <w:tc>
          <w:tcPr>
            <w:tcW w:type="dxa" w:w="5550"/>
            <w:tcMar>
              <w:top w:type="dxa" w:w="80"/>
              <w:left w:type="dxa" w:w="100"/>
              <w:bottom w:type="dxa" w:w="80"/>
              <w:right w:type="dxa" w:w="100"/>
            </w:tcMar>
          </w:tcPr>
          <w:p>
            <w:r>
              <w:rPr>
                <w:color w:val="1E293B"/>
                <w:sz w:val="18"/>
                <w:szCs w:val="18"/>
              </w:rPr>
              <w:t xml:space="preserve">期限起算日與義務到期日——適用於任何 Payment at Maturity／Settlement at Maturity 情境。</w:t>
            </w:r>
          </w:p>
        </w:tc>
      </w:tr>
      <w:tr>
        <w:tc>
          <w:tcPr>
            <w:tcW w:type="dxa" w:w="1900"/>
            <w:tcMar>
              <w:top w:type="dxa" w:w="80"/>
              <w:left w:type="dxa" w:w="100"/>
              <w:bottom w:type="dxa" w:w="80"/>
              <w:right w:type="dxa" w:w="100"/>
            </w:tcMar>
          </w:tcPr>
          <w:p>
            <w:r>
              <w:rPr>
                <w:color w:val="1E293B"/>
                <w:sz w:val="18"/>
                <w:szCs w:val="18"/>
              </w:rPr>
              <w:t xml:space="preserve">payInstrFlag</w:t>
            </w:r>
          </w:p>
        </w:tc>
        <w:tc>
          <w:tcPr>
            <w:tcW w:type="dxa" w:w="1900"/>
            <w:tcMar>
              <w:top w:type="dxa" w:w="80"/>
              <w:left w:type="dxa" w:w="100"/>
              <w:bottom w:type="dxa" w:w="80"/>
              <w:right w:type="dxa" w:w="100"/>
            </w:tcMar>
          </w:tcPr>
          <w:p>
            <w:r>
              <w:rPr>
                <w:color w:val="1E293B"/>
                <w:sz w:val="18"/>
                <w:szCs w:val="18"/>
              </w:rPr>
              <w:t xml:space="preserve">列舉 [F, A]，選填</w:t>
            </w:r>
          </w:p>
        </w:tc>
        <w:tc>
          <w:tcPr>
            <w:tcW w:type="dxa" w:w="5550"/>
            <w:tcMar>
              <w:top w:type="dxa" w:w="80"/>
              <w:left w:type="dxa" w:w="100"/>
              <w:bottom w:type="dxa" w:w="80"/>
              <w:right w:type="dxa" w:w="100"/>
            </w:tcMar>
          </w:tcPr>
          <w:p>
            <w:r>
              <w:rPr>
                <w:color w:val="1E293B"/>
                <w:sz w:val="18"/>
                <w:szCs w:val="18"/>
              </w:rPr>
              <w:t xml:space="preserve">F（即期）或 A（承兌／延期）——依基礎票據為即期或遠期／延期而定。</w:t>
            </w:r>
          </w:p>
        </w:tc>
      </w:tr>
    </w:tbl>
    <w:p>
      <w:pPr>
        <w:pStyle w:val="Heading2"/>
        <w:spacing w:after="140" w:before="280"/>
      </w:pPr>
      <w:r>
        <w:rPr>
          <w:color w:val="2563EB"/>
        </w:rPr>
        <w:t xml:space="preserve">5.2 分錄欄位（PaymentLegInput——debitLegs[]/creditLegs[] 中每一筆條目）</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50"/>
      </w:tblGrid>
      <w:tr>
        <w:trPr>
          <w:tblHeader/>
        </w:trPr>
        <w:tc>
          <w:tcPr>
            <w:tcW w:type="dxa" w:w="1700"/>
            <w:shd w:fill="1E3A8A" w:val="clear"/>
            <w:tcMar>
              <w:top w:type="dxa" w:w="80"/>
              <w:left w:type="dxa" w:w="100"/>
              <w:bottom w:type="dxa" w:w="80"/>
              <w:right w:type="dxa" w:w="100"/>
            </w:tcMar>
          </w:tcPr>
          <w:p>
            <w:r>
              <w:rPr>
                <w:b/>
                <w:bCs/>
                <w:color w:val="FFFFFF"/>
                <w:sz w:val="18"/>
                <w:szCs w:val="18"/>
              </w:rPr>
              <w:t xml:space="preserve">欄位</w:t>
            </w:r>
          </w:p>
        </w:tc>
        <w:tc>
          <w:tcPr>
            <w:tcW w:type="dxa" w:w="2200"/>
            <w:shd w:fill="1E3A8A" w:val="clear"/>
            <w:tcMar>
              <w:top w:type="dxa" w:w="80"/>
              <w:left w:type="dxa" w:w="100"/>
              <w:bottom w:type="dxa" w:w="80"/>
              <w:right w:type="dxa" w:w="100"/>
            </w:tcMar>
          </w:tcPr>
          <w:p>
            <w:r>
              <w:rPr>
                <w:b/>
                <w:bCs/>
                <w:color w:val="FFFFFF"/>
                <w:sz w:val="18"/>
                <w:szCs w:val="18"/>
              </w:rPr>
              <w:t xml:space="preserve">型別</w:t>
            </w:r>
          </w:p>
        </w:tc>
        <w:tc>
          <w:tcPr>
            <w:tcW w:type="dxa" w:w="5450"/>
            <w:shd w:fill="1E3A8A" w:val="clear"/>
            <w:tcMar>
              <w:top w:type="dxa" w:w="80"/>
              <w:left w:type="dxa" w:w="100"/>
              <w:bottom w:type="dxa" w:w="80"/>
              <w:right w:type="dxa" w:w="100"/>
            </w:tcMar>
          </w:tcPr>
          <w:p>
            <w:r>
              <w:rPr>
                <w:b/>
                <w:bCs/>
                <w:color w:val="FFFFFF"/>
                <w:sz w:val="18"/>
                <w:szCs w:val="18"/>
              </w:rPr>
              <w:t xml:space="preserve">業務意涵</w:t>
            </w:r>
          </w:p>
        </w:tc>
      </w:tr>
      <w:tr>
        <w:tc>
          <w:tcPr>
            <w:tcW w:type="dxa" w:w="1700"/>
            <w:tcMar>
              <w:top w:type="dxa" w:w="80"/>
              <w:left w:type="dxa" w:w="100"/>
              <w:bottom w:type="dxa" w:w="80"/>
              <w:right w:type="dxa" w:w="100"/>
            </w:tcMar>
          </w:tcPr>
          <w:p>
            <w:r>
              <w:rPr>
                <w:color w:val="1E293B"/>
                <w:sz w:val="18"/>
                <w:szCs w:val="18"/>
              </w:rPr>
              <w:t xml:space="preserve">accountNo</w:t>
            </w:r>
          </w:p>
        </w:tc>
        <w:tc>
          <w:tcPr>
            <w:tcW w:type="dxa" w:w="2200"/>
            <w:tcMar>
              <w:top w:type="dxa" w:w="80"/>
              <w:left w:type="dxa" w:w="100"/>
              <w:bottom w:type="dxa" w:w="80"/>
              <w:right w:type="dxa" w:w="100"/>
            </w:tcMar>
          </w:tcPr>
          <w:p>
            <w:r>
              <w:rPr>
                <w:color w:val="1E293B"/>
                <w:sz w:val="18"/>
                <w:szCs w:val="18"/>
              </w:rPr>
              <w:t xml:space="preserve">字串，必填</w:t>
            </w:r>
          </w:p>
        </w:tc>
        <w:tc>
          <w:tcPr>
            <w:tcW w:type="dxa" w:w="5450"/>
            <w:tcMar>
              <w:top w:type="dxa" w:w="80"/>
              <w:left w:type="dxa" w:w="100"/>
              <w:bottom w:type="dxa" w:w="80"/>
              <w:right w:type="dxa" w:w="100"/>
            </w:tcMar>
          </w:tcPr>
          <w:p>
            <w:r>
              <w:rPr>
                <w:color w:val="1E293B"/>
                <w:sz w:val="18"/>
                <w:szCs w:val="18"/>
              </w:rPr>
              <w:t xml:space="preserve">此分錄借記或貸記的總帳／客戶／往來行帳號。</w:t>
            </w:r>
          </w:p>
        </w:tc>
      </w:tr>
      <w:tr>
        <w:tc>
          <w:tcPr>
            <w:tcW w:type="dxa" w:w="1700"/>
            <w:tcMar>
              <w:top w:type="dxa" w:w="80"/>
              <w:left w:type="dxa" w:w="100"/>
              <w:bottom w:type="dxa" w:w="80"/>
              <w:right w:type="dxa" w:w="100"/>
            </w:tcMar>
          </w:tcPr>
          <w:p>
            <w:r>
              <w:rPr>
                <w:color w:val="1E293B"/>
                <w:sz w:val="18"/>
                <w:szCs w:val="18"/>
              </w:rPr>
              <w:t xml:space="preserve">accountType</w:t>
            </w:r>
          </w:p>
        </w:tc>
        <w:tc>
          <w:tcPr>
            <w:tcW w:type="dxa" w:w="2200"/>
            <w:tcMar>
              <w:top w:type="dxa" w:w="80"/>
              <w:left w:type="dxa" w:w="100"/>
              <w:bottom w:type="dxa" w:w="80"/>
              <w:right w:type="dxa" w:w="100"/>
            </w:tcMar>
          </w:tcPr>
          <w:p>
            <w:r>
              <w:rPr>
                <w:color w:val="1E293B"/>
                <w:sz w:val="18"/>
                <w:szCs w:val="18"/>
              </w:rPr>
              <w:t xml:space="preserve">列舉：CUSTOMER、NOSTRO、VOSTRO、SUSPENSE、INTERNAL</w:t>
            </w:r>
          </w:p>
        </w:tc>
        <w:tc>
          <w:tcPr>
            <w:tcW w:type="dxa" w:w="5450"/>
            <w:tcMar>
              <w:top w:type="dxa" w:w="80"/>
              <w:left w:type="dxa" w:w="100"/>
              <w:bottom w:type="dxa" w:w="80"/>
              <w:right w:type="dxa" w:w="100"/>
            </w:tcMar>
          </w:tcPr>
          <w:p>
            <w:r>
              <w:rPr>
                <w:color w:val="1E293B"/>
                <w:sz w:val="18"/>
                <w:szCs w:val="18"/>
              </w:rPr>
              <w:t xml:space="preserve">此分錄涉及的帳戶「種類」——即 Payment Component 識別規則（§7.2）的輸入。CUSTOMER＝本行自己的客戶；NOSTRO＝本行存放在往來行的帳戶；VOSTRO＝往來行存放在本行的帳戶；SUSPENSE／INTERNAL＝清算／橋接帳戶，從不代表真實的外部交易對手。</w:t>
            </w:r>
          </w:p>
        </w:tc>
      </w:tr>
      <w:tr>
        <w:tc>
          <w:tcPr>
            <w:tcW w:type="dxa" w:w="1700"/>
            <w:tcMar>
              <w:top w:type="dxa" w:w="80"/>
              <w:left w:type="dxa" w:w="100"/>
              <w:bottom w:type="dxa" w:w="80"/>
              <w:right w:type="dxa" w:w="100"/>
            </w:tcMar>
          </w:tcPr>
          <w:p>
            <w:r>
              <w:rPr>
                <w:color w:val="1E293B"/>
                <w:sz w:val="18"/>
                <w:szCs w:val="18"/>
              </w:rPr>
              <w:t xml:space="preserve">rtgsIndicator</w:t>
            </w:r>
          </w:p>
        </w:tc>
        <w:tc>
          <w:tcPr>
            <w:tcW w:type="dxa" w:w="2200"/>
            <w:tcMar>
              <w:top w:type="dxa" w:w="80"/>
              <w:left w:type="dxa" w:w="100"/>
              <w:bottom w:type="dxa" w:w="80"/>
              <w:right w:type="dxa" w:w="100"/>
            </w:tcMar>
          </w:tcPr>
          <w:p>
            <w:r>
              <w:rPr>
                <w:color w:val="1E293B"/>
                <w:sz w:val="18"/>
                <w:szCs w:val="18"/>
              </w:rPr>
              <w:t xml:space="preserve">布林值，選填（僅 RPFM）</w:t>
            </w:r>
          </w:p>
        </w:tc>
        <w:tc>
          <w:tcPr>
            <w:tcW w:type="dxa" w:w="5450"/>
            <w:tcMar>
              <w:top w:type="dxa" w:w="80"/>
              <w:left w:type="dxa" w:w="100"/>
              <w:bottom w:type="dxa" w:w="80"/>
              <w:right w:type="dxa" w:w="100"/>
            </w:tcMar>
          </w:tcPr>
          <w:p>
            <w:r>
              <w:rPr>
                <w:color w:val="1E293B"/>
                <w:sz w:val="18"/>
                <w:szCs w:val="18"/>
              </w:rPr>
              <w:t xml:space="preserve">標示某筆 NOSTRO 分錄透過境內 RTGS 管道清算，而非 SWIFT 往來行電文——用於 RPFM 印尼盾（IDR）境內結算。不改變該分錄的分類（仍計為 NOSTRO），只影響其傳票說明類型字元與總帳路由。</w:t>
            </w:r>
          </w:p>
        </w:tc>
      </w:tr>
      <w:tr>
        <w:tc>
          <w:tcPr>
            <w:tcW w:type="dxa" w:w="1700"/>
            <w:tcMar>
              <w:top w:type="dxa" w:w="80"/>
              <w:left w:type="dxa" w:w="100"/>
              <w:bottom w:type="dxa" w:w="80"/>
              <w:right w:type="dxa" w:w="100"/>
            </w:tcMar>
          </w:tcPr>
          <w:p>
            <w:r>
              <w:rPr>
                <w:color w:val="1E293B"/>
                <w:sz w:val="18"/>
                <w:szCs w:val="18"/>
              </w:rPr>
              <w:t xml:space="preserve">currency／amountTxCcy／amountAccountCcy</w:t>
            </w:r>
          </w:p>
        </w:tc>
        <w:tc>
          <w:tcPr>
            <w:tcW w:type="dxa" w:w="2200"/>
            <w:tcMar>
              <w:top w:type="dxa" w:w="80"/>
              <w:left w:type="dxa" w:w="100"/>
              <w:bottom w:type="dxa" w:w="80"/>
              <w:right w:type="dxa" w:w="100"/>
            </w:tcMar>
          </w:tcPr>
          <w:p>
            <w:r>
              <w:rPr>
                <w:color w:val="1E293B"/>
                <w:sz w:val="18"/>
                <w:szCs w:val="18"/>
              </w:rPr>
              <w:t xml:space="preserve">字串／十進位字串／十進位字串</w:t>
            </w:r>
          </w:p>
        </w:tc>
        <w:tc>
          <w:tcPr>
            <w:tcW w:type="dxa" w:w="5450"/>
            <w:tcMar>
              <w:top w:type="dxa" w:w="80"/>
              <w:left w:type="dxa" w:w="100"/>
              <w:bottom w:type="dxa" w:w="80"/>
              <w:right w:type="dxa" w:w="100"/>
            </w:tcMar>
          </w:tcPr>
          <w:p>
            <w:r>
              <w:rPr>
                <w:color w:val="1E293B"/>
                <w:sz w:val="18"/>
                <w:szCs w:val="18"/>
              </w:rPr>
              <w:t xml:space="preserve">該分錄自身的結算幣別、以單一交易幣別表示的金額（供整體餘額檢查）、以及以該分錄自身帳戶幣別表示的金額（供該帳戶持有人自身帳冊使用，當兩者不同時）。</w:t>
            </w:r>
          </w:p>
        </w:tc>
      </w:tr>
      <w:tr>
        <w:tc>
          <w:tcPr>
            <w:tcW w:type="dxa" w:w="1700"/>
            <w:tcMar>
              <w:top w:type="dxa" w:w="80"/>
              <w:left w:type="dxa" w:w="100"/>
              <w:bottom w:type="dxa" w:w="80"/>
              <w:right w:type="dxa" w:w="100"/>
            </w:tcMar>
          </w:tcPr>
          <w:p>
            <w:r>
              <w:rPr>
                <w:color w:val="1E293B"/>
                <w:sz w:val="18"/>
                <w:szCs w:val="18"/>
              </w:rPr>
              <w:t xml:space="preserve">drRate／drBuyRate／crBuyRate／sellRate</w:t>
            </w:r>
          </w:p>
        </w:tc>
        <w:tc>
          <w:tcPr>
            <w:tcW w:type="dxa" w:w="2200"/>
            <w:tcMar>
              <w:top w:type="dxa" w:w="80"/>
              <w:left w:type="dxa" w:w="100"/>
              <w:bottom w:type="dxa" w:w="80"/>
              <w:right w:type="dxa" w:w="100"/>
            </w:tcMar>
          </w:tcPr>
          <w:p>
            <w:r>
              <w:rPr>
                <w:color w:val="1E293B"/>
                <w:sz w:val="18"/>
                <w:szCs w:val="18"/>
              </w:rPr>
              <w:t xml:space="preserve">十進位字串，選填</w:t>
            </w:r>
          </w:p>
        </w:tc>
        <w:tc>
          <w:tcPr>
            <w:tcW w:type="dxa" w:w="5450"/>
            <w:tcMar>
              <w:top w:type="dxa" w:w="80"/>
              <w:left w:type="dxa" w:w="100"/>
              <w:bottom w:type="dxa" w:w="80"/>
              <w:right w:type="dxa" w:w="100"/>
            </w:tcMar>
          </w:tcPr>
          <w:p>
            <w:r>
              <w:rPr>
                <w:color w:val="1E293B"/>
                <w:sz w:val="18"/>
                <w:szCs w:val="18"/>
              </w:rPr>
              <w:t xml:space="preserve">套用於此分錄的匯率，已由呼叫方預先解析——例如 IMCO 進口託收的買入匯率或賣出匯率換算。</w:t>
            </w:r>
          </w:p>
        </w:tc>
      </w:tr>
      <w:tr>
        <w:tc>
          <w:tcPr>
            <w:tcW w:type="dxa" w:w="1700"/>
            <w:tcMar>
              <w:top w:type="dxa" w:w="80"/>
              <w:left w:type="dxa" w:w="100"/>
              <w:bottom w:type="dxa" w:w="80"/>
              <w:right w:type="dxa" w:w="100"/>
            </w:tcMar>
          </w:tcPr>
          <w:p>
            <w:r>
              <w:rPr>
                <w:color w:val="1E293B"/>
                <w:sz w:val="18"/>
                <w:szCs w:val="18"/>
              </w:rPr>
              <w:t xml:space="preserve">valueDate</w:t>
            </w:r>
          </w:p>
        </w:tc>
        <w:tc>
          <w:tcPr>
            <w:tcW w:type="dxa" w:w="2200"/>
            <w:tcMar>
              <w:top w:type="dxa" w:w="80"/>
              <w:left w:type="dxa" w:w="100"/>
              <w:bottom w:type="dxa" w:w="80"/>
              <w:right w:type="dxa" w:w="100"/>
            </w:tcMar>
          </w:tcPr>
          <w:p>
            <w:r>
              <w:rPr>
                <w:color w:val="1E293B"/>
                <w:sz w:val="18"/>
                <w:szCs w:val="18"/>
              </w:rPr>
              <w:t xml:space="preserve">日期，選填</w:t>
            </w:r>
          </w:p>
        </w:tc>
        <w:tc>
          <w:tcPr>
            <w:tcW w:type="dxa" w:w="5450"/>
            <w:tcMar>
              <w:top w:type="dxa" w:w="80"/>
              <w:left w:type="dxa" w:w="100"/>
              <w:bottom w:type="dxa" w:w="80"/>
              <w:right w:type="dxa" w:w="100"/>
            </w:tcMar>
          </w:tcPr>
          <w:p>
            <w:r>
              <w:rPr>
                <w:color w:val="1E293B"/>
                <w:sz w:val="18"/>
                <w:szCs w:val="18"/>
              </w:rPr>
              <w:t xml:space="preserve">此分錄的資金起息日。</w:t>
            </w:r>
          </w:p>
        </w:tc>
      </w:tr>
      <w:tr>
        <w:tc>
          <w:tcPr>
            <w:tcW w:type="dxa" w:w="1700"/>
            <w:tcMar>
              <w:top w:type="dxa" w:w="80"/>
              <w:left w:type="dxa" w:w="100"/>
              <w:bottom w:type="dxa" w:w="80"/>
              <w:right w:type="dxa" w:w="100"/>
            </w:tcMar>
          </w:tcPr>
          <w:p>
            <w:r>
              <w:rPr>
                <w:color w:val="1E293B"/>
                <w:sz w:val="18"/>
                <w:szCs w:val="18"/>
              </w:rPr>
              <w:t xml:space="preserve">sdaFlag</w:t>
            </w:r>
          </w:p>
        </w:tc>
        <w:tc>
          <w:tcPr>
            <w:tcW w:type="dxa" w:w="2200"/>
            <w:tcMar>
              <w:top w:type="dxa" w:w="80"/>
              <w:left w:type="dxa" w:w="100"/>
              <w:bottom w:type="dxa" w:w="80"/>
              <w:right w:type="dxa" w:w="100"/>
            </w:tcMar>
          </w:tcPr>
          <w:p>
            <w:r>
              <w:rPr>
                <w:color w:val="1E293B"/>
                <w:sz w:val="18"/>
                <w:szCs w:val="18"/>
              </w:rPr>
              <w:t xml:space="preserve">字串，選填</w:t>
            </w:r>
          </w:p>
        </w:tc>
        <w:tc>
          <w:tcPr>
            <w:tcW w:type="dxa" w:w="5450"/>
            <w:tcMar>
              <w:top w:type="dxa" w:w="80"/>
              <w:left w:type="dxa" w:w="100"/>
              <w:bottom w:type="dxa" w:w="80"/>
              <w:right w:type="dxa" w:w="100"/>
            </w:tcMar>
          </w:tcPr>
          <w:p>
            <w:r>
              <w:rPr>
                <w:color w:val="1E293B"/>
                <w:sz w:val="18"/>
                <w:szCs w:val="18"/>
              </w:rPr>
              <w:t xml:space="preserve">在分錄層級標示的即期／遠期／付款交單／承兌交單分類。</w:t>
            </w:r>
          </w:p>
        </w:tc>
      </w:tr>
      <w:tr>
        <w:tc>
          <w:tcPr>
            <w:tcW w:type="dxa" w:w="1700"/>
            <w:tcMar>
              <w:top w:type="dxa" w:w="80"/>
              <w:left w:type="dxa" w:w="100"/>
              <w:bottom w:type="dxa" w:w="80"/>
              <w:right w:type="dxa" w:w="100"/>
            </w:tcMar>
          </w:tcPr>
          <w:p>
            <w:r>
              <w:rPr>
                <w:color w:val="1E293B"/>
                <w:sz w:val="18"/>
                <w:szCs w:val="18"/>
              </w:rPr>
              <w:t xml:space="preserve">payAdviceMsgType／payCoverMsgType</w:t>
            </w:r>
          </w:p>
        </w:tc>
        <w:tc>
          <w:tcPr>
            <w:tcW w:type="dxa" w:w="2200"/>
            <w:tcMar>
              <w:top w:type="dxa" w:w="80"/>
              <w:left w:type="dxa" w:w="100"/>
              <w:bottom w:type="dxa" w:w="80"/>
              <w:right w:type="dxa" w:w="100"/>
            </w:tcMar>
          </w:tcPr>
          <w:p>
            <w:r>
              <w:rPr>
                <w:color w:val="1E293B"/>
                <w:sz w:val="18"/>
                <w:szCs w:val="18"/>
              </w:rPr>
              <w:t xml:space="preserve">列舉，選填（僅貸方分錄）</w:t>
            </w:r>
          </w:p>
        </w:tc>
        <w:tc>
          <w:tcPr>
            <w:tcW w:type="dxa" w:w="5450"/>
            <w:tcMar>
              <w:top w:type="dxa" w:w="80"/>
              <w:left w:type="dxa" w:w="100"/>
              <w:bottom w:type="dxa" w:w="80"/>
              <w:right w:type="dxa" w:w="100"/>
            </w:tcMar>
          </w:tcPr>
          <w:p>
            <w:r>
              <w:rPr>
                <w:color w:val="1E293B"/>
                <w:sz w:val="18"/>
                <w:szCs w:val="18"/>
              </w:rPr>
              <w:t xml:space="preserve">此貸方分錄應觸發哪一種外發 SWIFT／ISO 20022 電文——例如 MT103（客戶付款通知）或 MT202／MT202COV（往來行掩護匯款）。None 表示不產生電文。</w:t>
            </w:r>
          </w:p>
        </w:tc>
      </w:tr>
    </w:tbl>
    <w:p>
      <w:pPr>
        <w:pStyle w:val="Heading2"/>
        <w:spacing w:after="140" w:before="280"/>
      </w:pPr>
      <w:r>
        <w:rPr>
          <w:color w:val="2563EB"/>
        </w:rPr>
        <w:t xml:space="preserve">5.3 MonetaryAmount 與 ExchangeRate——十進位字串型別</w:t>
      </w:r>
    </w:p>
    <w:p>
      <w:pPr>
        <w:spacing w:after="160"/>
      </w:pPr>
      <w:r>
        <w:t xml:space="preserve">線上傳輸的每一筆金額與匯率都是經過格式驗證的十進位「字串」，絕不是二進位的 JSON 數字——例如 "800000.20"，而非數字型別的 800000.20。這是刻意的正確性要求：IEEE-754 二進位浮點數無法精確表示每一個十進位小數，即使只有一個最小貨幣單位的捨入誤差，也會使 §7.1 的餘額檢查失敗。正因如此，伺服器端運算全程使用任意精度的十進位運算，絕不使用二進位浮點數。</w:t>
      </w:r>
    </w:p>
    <w:p>
      <w:pPr>
        <w:pStyle w:val="Heading2"/>
        <w:spacing w:after="140" w:before="280"/>
      </w:pPr>
      <w:r>
        <w:rPr>
          <w:color w:val="2563EB"/>
        </w:rPr>
        <w:t xml:space="preserve">5.4 Suspense 橋接（Charge／Balance Component 整合）</w:t>
      </w:r>
    </w:p>
    <w:p>
      <w:pPr>
        <w:spacing w:after="160"/>
      </w:pPr>
      <w:r>
        <w:t xml:space="preserve">若外部的 Balance Component 或 Charge Component 已在自己帳上針對 Suspense 對方科目記錄了自己的一筆分錄（例如 Charge Component 在自己帳上記 Dr Suspense — Credit／Cr Margin、Cr Commission），即可透過在 suspenseBridge.debitEntries[]／.creditEntries[] 送出原始金額，將其橋接至 Payment Component，而不需要每個呼叫方自行重新實作自我抵銷的運算邏輯。完整機制與範例見 §7.7–§7.8。</w:t>
      </w:r>
    </w:p>
    <w:p>
      <w:pPr>
        <w:pStyle w:val="Heading1"/>
        <w:spacing w:after="160" w:before="360"/>
      </w:pPr>
      <w:r>
        <w:rPr>
          <w:color w:val="1E3A8A"/>
        </w:rPr>
        <w:t xml:space="preserve">6. 功能需求——回應結構</w:t>
      </w:r>
    </w:p>
    <w:p>
      <w:pPr>
        <w:pStyle w:val="Heading2"/>
        <w:spacing w:after="140" w:before="280"/>
      </w:pPr>
      <w:r>
        <w:rPr>
          <w:color w:val="2563EB"/>
        </w:rPr>
        <w:t xml:space="preserve">6.1 PaymentInstruction</w:t>
      </w:r>
    </w:p>
    <w:p>
      <w:pPr>
        <w:spacing w:after="160"/>
      </w:pPr>
      <w:r>
        <w:t xml:space="preserve">單一回應物件內嵌了 Confirm 流程的每一項結果——經伺服器補充欄位（accountDesc／accountCategory）豐富化後的分錄、分類結果、產生的結算分錄，以及任何 SWIFT 電文——因此不需要任何後續呼叫即可組出完整的確認結果全貌。</w:t>
      </w:r>
    </w:p>
    <w:p>
      <w:pPr>
        <w:pStyle w:val="Heading2"/>
        <w:spacing w:after="140" w:before="280"/>
      </w:pPr>
      <w:r>
        <w:rPr>
          <w:color w:val="2563EB"/>
        </w:rPr>
        <w:t xml:space="preserve">6.2 ClassificationResult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3A8A" w:val="clear"/>
            <w:tcMar>
              <w:top w:type="dxa" w:w="80"/>
              <w:left w:type="dxa" w:w="100"/>
              <w:bottom w:type="dxa" w:w="80"/>
              <w:right w:type="dxa" w:w="100"/>
            </w:tcMar>
          </w:tcPr>
          <w:p>
            <w:r>
              <w:rPr>
                <w:b/>
                <w:bCs/>
                <w:color w:val="FFFFFF"/>
                <w:sz w:val="18"/>
                <w:szCs w:val="18"/>
              </w:rPr>
              <w:t xml:space="preserve">欄位</w:t>
            </w:r>
          </w:p>
        </w:tc>
        <w:tc>
          <w:tcPr>
            <w:tcW w:type="dxa" w:w="6750"/>
            <w:shd w:fill="1E3A8A" w:val="clear"/>
            <w:tcMar>
              <w:top w:type="dxa" w:w="80"/>
              <w:left w:type="dxa" w:w="100"/>
              <w:bottom w:type="dxa" w:w="80"/>
              <w:right w:type="dxa" w:w="100"/>
            </w:tcMar>
          </w:tcPr>
          <w:p>
            <w:r>
              <w:rPr>
                <w:b/>
                <w:bCs/>
                <w:color w:val="FFFFFF"/>
                <w:sz w:val="18"/>
                <w:szCs w:val="18"/>
              </w:rPr>
              <w:t xml:space="preserve">業務意涵</w:t>
            </w:r>
          </w:p>
        </w:tc>
      </w:tr>
      <w:tr>
        <w:tc>
          <w:tcPr>
            <w:tcW w:type="dxa" w:w="2600"/>
            <w:tcMar>
              <w:top w:type="dxa" w:w="80"/>
              <w:left w:type="dxa" w:w="100"/>
              <w:bottom w:type="dxa" w:w="80"/>
              <w:right w:type="dxa" w:w="100"/>
            </w:tcMar>
          </w:tcPr>
          <w:p>
            <w:r>
              <w:rPr>
                <w:color w:val="1E293B"/>
                <w:sz w:val="18"/>
                <w:szCs w:val="18"/>
              </w:rPr>
              <w:t xml:space="preserve">debitTypes／creditTypes</w:t>
            </w:r>
          </w:p>
        </w:tc>
        <w:tc>
          <w:tcPr>
            <w:tcW w:type="dxa" w:w="6750"/>
            <w:tcMar>
              <w:top w:type="dxa" w:w="80"/>
              <w:left w:type="dxa" w:w="100"/>
              <w:bottom w:type="dxa" w:w="80"/>
              <w:right w:type="dxa" w:w="100"/>
            </w:tcMar>
          </w:tcPr>
          <w:p>
            <w:r>
              <w:rPr>
                <w:color w:val="1E293B"/>
                <w:sz w:val="18"/>
                <w:szCs w:val="18"/>
              </w:rPr>
              <w:t xml:space="preserve">所有借方／所有貸方分錄中出現的不重複帳戶類型——即下方 XOR 規則所評估的支持集合。</w:t>
            </w:r>
          </w:p>
        </w:tc>
      </w:tr>
      <w:tr>
        <w:tc>
          <w:tcPr>
            <w:tcW w:type="dxa" w:w="2600"/>
            <w:tcMar>
              <w:top w:type="dxa" w:w="80"/>
              <w:left w:type="dxa" w:w="100"/>
              <w:bottom w:type="dxa" w:w="80"/>
              <w:right w:type="dxa" w:w="100"/>
            </w:tcMar>
          </w:tcPr>
          <w:p>
            <w:r>
              <w:rPr>
                <w:color w:val="1E293B"/>
                <w:sz w:val="18"/>
                <w:szCs w:val="18"/>
              </w:rPr>
              <w:t xml:space="preserve">customerXor</w:t>
            </w:r>
          </w:p>
        </w:tc>
        <w:tc>
          <w:tcPr>
            <w:tcW w:type="dxa" w:w="6750"/>
            <w:tcMar>
              <w:top w:type="dxa" w:w="80"/>
              <w:left w:type="dxa" w:w="100"/>
              <w:bottom w:type="dxa" w:w="80"/>
              <w:right w:type="dxa" w:w="100"/>
            </w:tcMar>
          </w:tcPr>
          <w:p>
            <w:r>
              <w:rPr>
                <w:color w:val="1E293B"/>
                <w:sz w:val="18"/>
                <w:szCs w:val="18"/>
              </w:rPr>
              <w:t xml:space="preserve">當恰好只有一側（借方或貸方）存在 CUSTOMER 分錄時為真——代表真實的外部客戶結算。</w:t>
            </w:r>
          </w:p>
        </w:tc>
      </w:tr>
      <w:tr>
        <w:tc>
          <w:tcPr>
            <w:tcW w:type="dxa" w:w="2600"/>
            <w:tcMar>
              <w:top w:type="dxa" w:w="80"/>
              <w:left w:type="dxa" w:w="100"/>
              <w:bottom w:type="dxa" w:w="80"/>
              <w:right w:type="dxa" w:w="100"/>
            </w:tcMar>
          </w:tcPr>
          <w:p>
            <w:r>
              <w:rPr>
                <w:color w:val="1E293B"/>
                <w:sz w:val="18"/>
                <w:szCs w:val="18"/>
              </w:rPr>
              <w:t xml:space="preserve">nostroXor／vostroXor</w:t>
            </w:r>
          </w:p>
        </w:tc>
        <w:tc>
          <w:tcPr>
            <w:tcW w:type="dxa" w:w="6750"/>
            <w:tcMar>
              <w:top w:type="dxa" w:w="80"/>
              <w:left w:type="dxa" w:w="100"/>
              <w:bottom w:type="dxa" w:w="80"/>
              <w:right w:type="dxa" w:w="100"/>
            </w:tcMar>
          </w:tcPr>
          <w:p>
            <w:r>
              <w:rPr>
                <w:color w:val="1E293B"/>
                <w:sz w:val="18"/>
                <w:szCs w:val="18"/>
              </w:rPr>
              <w:t xml:space="preserve">當恰好只有一側存在 NOSTRO／VOSTRO 分錄時為真——代表真實的往來行結算。</w:t>
            </w:r>
          </w:p>
        </w:tc>
      </w:tr>
      <w:tr>
        <w:tc>
          <w:tcPr>
            <w:tcW w:type="dxa" w:w="2600"/>
            <w:tcMar>
              <w:top w:type="dxa" w:w="80"/>
              <w:left w:type="dxa" w:w="100"/>
              <w:bottom w:type="dxa" w:w="80"/>
              <w:right w:type="dxa" w:w="100"/>
            </w:tcMar>
          </w:tcPr>
          <w:p>
            <w:r>
              <w:rPr>
                <w:color w:val="1E293B"/>
                <w:sz w:val="18"/>
                <w:szCs w:val="18"/>
              </w:rPr>
              <w:t xml:space="preserve">paymentComponentRelated</w:t>
            </w:r>
          </w:p>
        </w:tc>
        <w:tc>
          <w:tcPr>
            <w:tcW w:type="dxa" w:w="6750"/>
            <w:tcMar>
              <w:top w:type="dxa" w:w="80"/>
              <w:left w:type="dxa" w:w="100"/>
              <w:bottom w:type="dxa" w:w="80"/>
              <w:right w:type="dxa" w:w="100"/>
            </w:tcMar>
          </w:tcPr>
          <w:p>
            <w:r>
              <w:rPr>
                <w:color w:val="1E293B"/>
                <w:sz w:val="18"/>
                <w:szCs w:val="18"/>
              </w:rPr>
              <w:t xml:space="preserve">customerXor OR nostroXor OR vostroXor——整體判定結果。僅供參考；絕不影響分錄或 SWIFT 產生。</w:t>
            </w:r>
          </w:p>
        </w:tc>
      </w:tr>
    </w:tbl>
    <w:p>
      <w:pPr>
        <w:pStyle w:val="Heading2"/>
        <w:spacing w:after="140" w:before="280"/>
      </w:pPr>
      <w:r>
        <w:rPr>
          <w:color w:val="2563EB"/>
        </w:rPr>
        <w:t xml:space="preserve">6.3 AccountEntry——總帳過帳分錄</w:t>
      </w:r>
    </w:p>
    <w:p>
      <w:pPr>
        <w:spacing w:after="160"/>
      </w:pPr>
      <w:r>
        <w:t xml:space="preserve">每一筆送入的分錄（借方與貸方）都會無條件產生一筆 AccountEntry——與該交易是否被分類為與 Payment Component 相關無關。每筆分錄都帶有總帳科目、幣別、金額、借貸方向指示、組裝完成的傳票說明，以及起息／過帳日期。依現行基準，本服務目前只會產生 SETTLEMENT 類型的分錄（voucherType: SETTLEMENT）——見 §7.4。</w:t>
      </w:r>
    </w:p>
    <w:p>
      <w:pPr>
        <w:pStyle w:val="Heading2"/>
        <w:spacing w:after="140" w:before="280"/>
      </w:pPr>
      <w:r>
        <w:rPr>
          <w:color w:val="2563EB"/>
        </w:rPr>
        <w:t xml:space="preserve">6.4 SwiftMessage</w:t>
      </w:r>
    </w:p>
    <w:p>
      <w:pPr>
        <w:spacing w:after="160"/>
      </w:pPr>
      <w:r>
        <w:t xml:space="preserve">對於 payAdviceMsgType 或 payCoverMsgType 解析為實際電文類型的每一筆貸方分錄，會產生一筆 SwiftMessage 記錄——MT103、MT202、MT202COV、PACS008、PACS009 或 PACS009COV，涵蓋 SWIFT 第一／二類電文及對應的 ISO 20022 pacs.008／pacs.009 電文家族。</w:t>
      </w:r>
    </w:p>
    <w:p>
      <w:pPr>
        <w:pStyle w:val="Heading1"/>
        <w:spacing w:after="160" w:before="360"/>
      </w:pPr>
      <w:r>
        <w:rPr>
          <w:color w:val="1E3A8A"/>
        </w:rPr>
        <w:t xml:space="preserve">7. 業務規則</w:t>
      </w:r>
    </w:p>
    <w:p>
      <w:pPr>
        <w:pStyle w:val="Heading2"/>
        <w:spacing w:after="140" w:before="280"/>
      </w:pPr>
      <w:r>
        <w:rPr>
          <w:color w:val="2563EB"/>
        </w:rPr>
        <w:t xml:space="preserve">7.1 借貸餘額驗證（「V8」）</w:t>
      </w:r>
    </w:p>
    <w:p>
      <w:pPr>
        <w:spacing w:after="160"/>
      </w:pPr>
      <w:r>
        <w:t xml:space="preserve">單一 POST 請求只攜帶兩個分錄陣列——不像原始畫面各自獨立檢查所依賴的「目標總額」欄位那樣。因此本服務實作 V8 規則：所有 debitLegs 的 amountTxCcy 總和，必須（在單一交易幣別下）與所有 creditLegs 的 amountTxCcy 總和完全相等，並可為部分遺留畫面原本允許的小額捨入誤差設定選填的容差。不平衡屬於業務規則違反——HTTP 409，代碼 LEGS_UNBALANCED——而非格式錯誤的 400。</w:t>
      </w:r>
    </w:p>
    <w:p>
      <w:pPr>
        <w:pStyle w:val="Heading2"/>
        <w:spacing w:after="140" w:before="280"/>
      </w:pPr>
      <w:r>
        <w:rPr>
          <w:color w:val="2563EB"/>
        </w:rPr>
        <w:t xml:space="preserve">7.2 Payment Component 識別規則（第 2 版）</w:t>
      </w:r>
    </w:p>
    <w:p>
      <w:pPr>
        <w:pBdr>
          <w:left w:val="single" w:color="2563EB" w:sz="24" w:space="8"/>
        </w:pBdr>
        <w:shd w:fill="F1F5F9" w:val="clear"/>
        <w:spacing w:after="160" w:before="60"/>
        <w:ind w:left="120"/>
      </w:pPr>
      <w:r>
        <w:rPr>
          <w:rFonts w:ascii="Consolas" w:cs="Consolas" w:eastAsia="Consolas" w:hAnsi="Consolas"/>
          <w:color w:val="1E293B"/>
          <w:sz w:val="18"/>
          <w:szCs w:val="18"/>
        </w:rPr>
        <w:t xml:space="preserve">paymentComponentRelated =
    (Dr 含 CUSTOMER  XOR  Cr 含 CUSTOMER)
 OR (Dr 含 NOSTRO    XOR  Cr 含 NOSTRO)
 OR (Dr 含 VOSTRO    XOR  Cr 含 VOSTRO)</w:t>
      </w:r>
    </w:p>
    <w:p>
      <w:pPr>
        <w:spacing w:after="160"/>
      </w:pPr>
      <w:r>
        <w:t xml:space="preserve">SUSPENSE 與 INTERNAL 帳戶類型刻意不參與這三個 XOR 條件中的任何一個：它們代表內部清算／橋接分錄，而非真實的外部交易對手，因此其存在本身絕不應被視為需要往來行結算的訊號。此規則在十一個模組中一律以相同方式評估——完全依操作人員實際選擇的帳戶類型驅動，從不針對特定模組或功能寫死。</w:t>
      </w:r>
    </w:p>
    <w:p>
      <w:pPr>
        <w:pStyle w:val="Heading2"/>
        <w:spacing w:after="140" w:before="280"/>
      </w:pPr>
      <w:r>
        <w:rPr>
          <w:color w:val="2563EB"/>
        </w:rPr>
        <w:t xml:space="preserve">7.3 傳票說明組裝</w:t>
      </w:r>
    </w:p>
    <w:p>
      <w:pPr>
        <w:spacing w:after="160"/>
      </w:pPr>
      <w:r>
        <w:t xml:space="preserve">每筆分錄的總帳過帳都帶有一組組裝完成的說明代碼，格式為 {MODULE}{FuncCode}NULLNULLNULL{TypeChar}——例如 IPLC03NULLNULLNULLC 代表 IPLC Pay/Accept 借方分錄。{MODULE}{FuncCode} 由呼叫功能解析而得（由呼叫方提供 sourceFunctionCode，因為單憑 originModule 在同一模組多個功能間會有歧義），{TypeChar} 則由該分錄自身的 accountType 決定（CUSTOMER 為「C」、NOSTRO 為「N」、標示 RTGS 的 NOSTRO 為「R」等）。</w:t>
      </w:r>
    </w:p>
    <w:p>
      <w:pPr>
        <w:pStyle w:val="Heading2"/>
        <w:spacing w:after="140" w:before="280"/>
      </w:pPr>
      <w:r>
        <w:rPr>
          <w:color w:val="2563EB"/>
        </w:rPr>
        <w:t xml:space="preserve">7.4 結算分錄產生</w:t>
      </w:r>
    </w:p>
    <w:p>
      <w:pPr>
        <w:spacing w:after="160"/>
      </w:pPr>
      <w:r>
        <w:t xml:space="preserve">每筆分錄都會無條件過帳一筆 SETTLEMENT 類型的分錄——此步驟從不檢查第 2 步的分類結果。基於刻意的架構決策，本服務不再自行產生收費傳票或負債傳票分錄：透過 Suspense 橋接（§7.7）參與的 Balance 或 Charge Component，應各自在自己的帳上獨立記錄收費／負債分錄，以避免同一筆資金被重複入帳的風險。</w:t>
      </w:r>
    </w:p>
    <w:p>
      <w:pPr>
        <w:pStyle w:val="Heading2"/>
        <w:spacing w:after="140" w:before="280"/>
      </w:pPr>
      <w:r>
        <w:rPr>
          <w:color w:val="2563EB"/>
        </w:rPr>
        <w:t xml:space="preserve">7.5 SWIFT／ISO 20022 電文產生</w:t>
      </w:r>
    </w:p>
    <w:p>
      <w:pPr>
        <w:spacing w:after="160"/>
      </w:pPr>
      <w:r>
        <w:t xml:space="preserve">針對每一筆貸方分錄，若 payAdviceMsgType 或 payCoverMsgType 解析為實際值（非 None），則在完成跨欄位驗證後產生對應的外發電文。這涵蓋了本行自身客戶的付款通知（MT103／PACS008）及往來行掩護匯款（MT202／MT202COV／PACS009COV）——正是往來行或受益人自身銀行完成本行帳冊之外結算所需收到的電文。</w:t>
      </w:r>
    </w:p>
    <w:p>
      <w:pPr>
        <w:pStyle w:val="Heading2"/>
        <w:spacing w:after="140" w:before="280"/>
      </w:pPr>
      <w:r>
        <w:rPr>
          <w:color w:val="2563EB"/>
        </w:rPr>
        <w:t xml:space="preserve">7.6 冪等性</w:t>
      </w:r>
    </w:p>
    <w:p>
      <w:pPr>
        <w:spacing w:after="160"/>
      </w:pPr>
      <w:r>
        <w:t xml:space="preserve">對同一（originModule、mainRef、sequence）自然鍵重複送出——例如逾時後的網路重試，或操作人員誤重複送出——會原樣回傳原始確認結果（HTTP 200），不會重新執行五個步驟中的任何一步，更重要的是，不會重新觸發總帳過帳或重複的 SWIFT 電文。真正全新的自然鍵（一筆真正的新交易，或不同的部分付款序號）則會建立新的指示（HTTP 201）。</w:t>
      </w:r>
    </w:p>
    <w:p>
      <w:pPr>
        <w:pStyle w:val="Heading2"/>
        <w:spacing w:after="140" w:before="280"/>
      </w:pPr>
      <w:r>
        <w:rPr>
          <w:color w:val="2563EB"/>
        </w:rPr>
        <w:t xml:space="preserve">7.7 Suspense／Charge Component 橋接——一般機制</w:t>
      </w:r>
    </w:p>
    <w:p>
      <w:pPr>
        <w:spacing w:after="160"/>
      </w:pPr>
      <w:r>
        <w:t xml:space="preserve">Balance Component（追蹤進／出口押匯負債）或 Charge Component（計算保證金／手續費／費用）經常需要將自己的 Suspense 科目分錄交給 Payment Component，以完成完整的記帳圖像，而 Payment Component 不需要理解或重新計算該上游組件所算出的內容。suspenseBridge.debitEntries[]／.creditEntries[] 攜帶原始金額；本服務將每一筆展開為自己的抵銷 Suspense 分錄——一律以該條目自身的全額毛額入帳，且無論來自哪一個清單一律為貸方方向——並針對幣別與交易幣別不同的條目，額外產生一組 FX Exchange 配對，使結算傳票不僅在總額層面平衡，也能按各幣別平衡。</w:t>
      </w:r>
    </w:p>
    <w:p>
      <w:pPr>
        <w:pBdr>
          <w:left w:val="single" w:color="2563EB" w:sz="24" w:space="8"/>
        </w:pBdr>
        <w:shd w:fill="F1F5F9" w:val="clear"/>
        <w:spacing w:after="160" w:before="60"/>
        <w:ind w:left="120"/>
      </w:pPr>
      <w:r>
        <w:rPr>
          <w:rFonts w:ascii="Consolas" w:cs="Consolas" w:eastAsia="Consolas" w:hAnsi="Consolas"/>
          <w:color w:val="1E293B"/>
          <w:sz w:val="18"/>
          <w:szCs w:val="18"/>
        </w:rPr>
        <w:t xml:space="preserve">範例——Balance Component 進口押匯負債橋接：
Balance Component（自身帳冊）：   Dr IBL  /  Cr Suspense
Payment Component（本服務）：     Dr Suspense  /  Cr Nostro</w:t>
      </w:r>
    </w:p>
    <w:p>
      <w:pPr>
        <w:pStyle w:val="Heading2"/>
        <w:spacing w:after="140" w:before="280"/>
      </w:pPr>
      <w:r>
        <w:rPr>
          <w:color w:val="2563EB"/>
        </w:rPr>
        <w:t xml:space="preserve">7.8 Charge Component Bridge——無貸方分錄情境</w:t>
      </w:r>
    </w:p>
    <w:p>
      <w:pPr>
        <w:spacing w:after="160"/>
      </w:pPr>
      <w:r>
        <w:t xml:space="preserve">Suspense 橋接有一項經業務需求審核確認的特定用法，值得單獨說明：信用狀開狀收費收取（§8 中 IPLC「Issue — Charge Component Bridge」情境），此情境下 Payment Component 以單一借方分錄收取客戶的總費用，而自身完全沒有真正的貸方分錄——整個貸方一側都是橋接至獨立 Charge Component 的 Suspense，由該組件在自己帳上拆分記錄 Margin／Commission／Charge 明細。</w:t>
      </w:r>
    </w:p>
    <w:p>
      <w:pPr>
        <w:spacing w:after="160"/>
      </w:pPr>
      <w:r>
        <w:rPr>
          <w:b/>
          <w:bCs/>
        </w:rPr>
        <w:t xml:space="preserve">傳輸訊號：</w:t>
      </w:r>
      <w:r>
        <w:t xml:space="preserve">請求中攜帶一個布林值 chargeComponentBridge 擴充旗標（並非正式 OAS 結構的一部分，沿用與 sourceFunctionCode 擴充欄位相同的先例）。只有當 chargeComponentBridge 為 true 且 suspenseBridge.creditEntries 非空時，creditLegs 才可以是空陣列——其餘所有請求仍須至少有一筆貸方分錄。</w:t>
      </w:r>
    </w:p>
    <w:p>
      <w:pPr>
        <w:spacing w:after="160"/>
      </w:pPr>
      <w:r>
        <w:rPr>
          <w:b/>
          <w:bCs/>
        </w:rPr>
        <w:t xml:space="preserve">FX Exchange 計算方式：</w:t>
      </w:r>
      <w:r>
        <w:t xml:space="preserve">由於此模式下真正的借方分錄位於 Suspense Credit 條目的「對側」（而非 §7.7 一般機制所比對的同一側），本服務會針對每個外幣分組，計算 Suspense Credit 金額與該幣別對應借方分錄金額之間的「差額」——只針對未被抵銷的餘額產生 FX Exchange 分錄，而非毛額，且當差額恰好為零時完全不產生任何分錄（表示該幣別的借方分錄本身即已平衡）。</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E3A8A" w:val="clear"/>
            <w:tcMar>
              <w:top w:type="dxa" w:w="80"/>
              <w:left w:type="dxa" w:w="100"/>
              <w:bottom w:type="dxa" w:w="80"/>
              <w:right w:type="dxa" w:w="100"/>
            </w:tcMar>
          </w:tcPr>
          <w:p>
            <w:r>
              <w:rPr>
                <w:b/>
                <w:bCs/>
                <w:color w:val="FFFFFF"/>
                <w:sz w:val="18"/>
                <w:szCs w:val="18"/>
              </w:rPr>
              <w:t xml:space="preserve">情境</w:t>
            </w:r>
          </w:p>
        </w:tc>
        <w:tc>
          <w:tcPr>
            <w:tcW w:type="dxa" w:w="5750"/>
            <w:shd w:fill="1E3A8A" w:val="clear"/>
            <w:tcMar>
              <w:top w:type="dxa" w:w="80"/>
              <w:left w:type="dxa" w:w="100"/>
              <w:bottom w:type="dxa" w:w="80"/>
              <w:right w:type="dxa" w:w="100"/>
            </w:tcMar>
          </w:tcPr>
          <w:p>
            <w:r>
              <w:rPr>
                <w:b/>
                <w:bCs/>
                <w:color w:val="FFFFFF"/>
                <w:sz w:val="18"/>
                <w:szCs w:val="18"/>
              </w:rPr>
              <w:t xml:space="preserve">結果</w:t>
            </w:r>
          </w:p>
        </w:tc>
      </w:tr>
      <w:tr>
        <w:tc>
          <w:tcPr>
            <w:tcW w:type="dxa" w:w="3600"/>
            <w:tcMar>
              <w:top w:type="dxa" w:w="80"/>
              <w:left w:type="dxa" w:w="100"/>
              <w:bottom w:type="dxa" w:w="80"/>
              <w:right w:type="dxa" w:w="100"/>
            </w:tcMar>
          </w:tcPr>
          <w:p>
            <w:r>
              <w:rPr>
                <w:color w:val="1E293B"/>
                <w:sz w:val="18"/>
                <w:szCs w:val="18"/>
              </w:rPr>
              <w:t xml:space="preserve">借方分錄與 Suspense Credit 依幣別完全對上</w:t>
            </w:r>
          </w:p>
        </w:tc>
        <w:tc>
          <w:tcPr>
            <w:tcW w:type="dxa" w:w="5750"/>
            <w:tcMar>
              <w:top w:type="dxa" w:w="80"/>
              <w:left w:type="dxa" w:w="100"/>
              <w:bottom w:type="dxa" w:w="80"/>
              <w:right w:type="dxa" w:w="100"/>
            </w:tcMar>
          </w:tcPr>
          <w:p>
            <w:r>
              <w:rPr>
                <w:color w:val="1E293B"/>
                <w:sz w:val="18"/>
                <w:szCs w:val="18"/>
              </w:rPr>
              <w:t xml:space="preserve">完全不產生 FX Exchange 分錄——每個幣別各自呈現乾淨的 Dr Customer A/C／Cr Suspense — Credit 分錄</w:t>
            </w:r>
          </w:p>
        </w:tc>
      </w:tr>
      <w:tr>
        <w:tc>
          <w:tcPr>
            <w:tcW w:type="dxa" w:w="3600"/>
            <w:tcMar>
              <w:top w:type="dxa" w:w="80"/>
              <w:left w:type="dxa" w:w="100"/>
              <w:bottom w:type="dxa" w:w="80"/>
              <w:right w:type="dxa" w:w="100"/>
            </w:tcMar>
          </w:tcPr>
          <w:p>
            <w:r>
              <w:rPr>
                <w:color w:val="1E293B"/>
                <w:sz w:val="18"/>
                <w:szCs w:val="18"/>
              </w:rPr>
              <w:t xml:space="preserve">該幣別完全沒有對應的借方分錄</w:t>
            </w:r>
          </w:p>
        </w:tc>
        <w:tc>
          <w:tcPr>
            <w:tcW w:type="dxa" w:w="5750"/>
            <w:tcMar>
              <w:top w:type="dxa" w:w="80"/>
              <w:left w:type="dxa" w:w="100"/>
              <w:bottom w:type="dxa" w:w="80"/>
              <w:right w:type="dxa" w:w="100"/>
            </w:tcMar>
          </w:tcPr>
          <w:p>
            <w:r>
              <w:rPr>
                <w:color w:val="1E293B"/>
                <w:sz w:val="18"/>
                <w:szCs w:val="18"/>
              </w:rPr>
              <w:t xml:space="preserve">產生涵蓋全額的完整 FX Exchange 配對（與 §7.7 一般機制相同）</w:t>
            </w:r>
          </w:p>
        </w:tc>
      </w:tr>
      <w:tr>
        <w:tc>
          <w:tcPr>
            <w:tcW w:type="dxa" w:w="3600"/>
            <w:tcMar>
              <w:top w:type="dxa" w:w="80"/>
              <w:left w:type="dxa" w:w="100"/>
              <w:bottom w:type="dxa" w:w="80"/>
              <w:right w:type="dxa" w:w="100"/>
            </w:tcMar>
          </w:tcPr>
          <w:p>
            <w:r>
              <w:rPr>
                <w:color w:val="1E293B"/>
                <w:sz w:val="18"/>
                <w:szCs w:val="18"/>
              </w:rPr>
              <w:t xml:space="preserve">借方分錄僅部分涵蓋 Suspense Credit 分組</w:t>
            </w:r>
          </w:p>
        </w:tc>
        <w:tc>
          <w:tcPr>
            <w:tcW w:type="dxa" w:w="5750"/>
            <w:tcMar>
              <w:top w:type="dxa" w:w="80"/>
              <w:left w:type="dxa" w:w="100"/>
              <w:bottom w:type="dxa" w:w="80"/>
              <w:right w:type="dxa" w:w="100"/>
            </w:tcMar>
          </w:tcPr>
          <w:p>
            <w:r>
              <w:rPr>
                <w:color w:val="1E293B"/>
                <w:sz w:val="18"/>
                <w:szCs w:val="18"/>
              </w:rPr>
              <w:t xml:space="preserve">產生僅反映未涵蓋差額的 FX Exchange 配對</w:t>
            </w:r>
          </w:p>
        </w:tc>
      </w:tr>
      <w:tr>
        <w:tc>
          <w:tcPr>
            <w:tcW w:type="dxa" w:w="3600"/>
            <w:tcMar>
              <w:top w:type="dxa" w:w="80"/>
              <w:left w:type="dxa" w:w="100"/>
              <w:bottom w:type="dxa" w:w="80"/>
              <w:right w:type="dxa" w:w="100"/>
            </w:tcMar>
          </w:tcPr>
          <w:p>
            <w:r>
              <w:rPr>
                <w:color w:val="1E293B"/>
                <w:sz w:val="18"/>
                <w:szCs w:val="18"/>
              </w:rPr>
              <w:t xml:space="preserve">借方分錄超過 Suspense Credit 分組</w:t>
            </w:r>
          </w:p>
        </w:tc>
        <w:tc>
          <w:tcPr>
            <w:tcW w:type="dxa" w:w="5750"/>
            <w:tcMar>
              <w:top w:type="dxa" w:w="80"/>
              <w:left w:type="dxa" w:w="100"/>
              <w:bottom w:type="dxa" w:w="80"/>
              <w:right w:type="dxa" w:w="100"/>
            </w:tcMar>
          </w:tcPr>
          <w:p>
            <w:r>
              <w:rPr>
                <w:color w:val="1E293B"/>
                <w:sz w:val="18"/>
                <w:szCs w:val="18"/>
              </w:rPr>
              <w:t xml:space="preserve">產生方向相反、僅反映超出差額的 FX Exchange 配對</w:t>
            </w:r>
          </w:p>
        </w:tc>
      </w:tr>
      <w:tr>
        <w:tc>
          <w:tcPr>
            <w:tcW w:type="dxa" w:w="3600"/>
            <w:tcMar>
              <w:top w:type="dxa" w:w="80"/>
              <w:left w:type="dxa" w:w="100"/>
              <w:bottom w:type="dxa" w:w="80"/>
              <w:right w:type="dxa" w:w="100"/>
            </w:tcMar>
          </w:tcPr>
          <w:p>
            <w:r>
              <w:rPr>
                <w:color w:val="1E293B"/>
                <w:sz w:val="18"/>
                <w:szCs w:val="18"/>
              </w:rPr>
              <w:t xml:space="preserve">真正無法解釋的不對等（無任何其他分錄補償）</w:t>
            </w:r>
          </w:p>
        </w:tc>
        <w:tc>
          <w:tcPr>
            <w:tcW w:type="dxa" w:w="5750"/>
            <w:tcMar>
              <w:top w:type="dxa" w:w="80"/>
              <w:left w:type="dxa" w:w="100"/>
              <w:bottom w:type="dxa" w:w="80"/>
              <w:right w:type="dxa" w:w="100"/>
            </w:tcMar>
          </w:tcPr>
          <w:p>
            <w:r>
              <w:rPr>
                <w:color w:val="1E293B"/>
                <w:sz w:val="18"/>
                <w:szCs w:val="18"/>
              </w:rPr>
              <w:t xml:space="preserve">仍會回傳 409 LEGS_UNBALANCED——此計算規則只會移除本來就多餘的分錄，絕不會掩蓋真正的失衡</w:t>
            </w:r>
          </w:p>
        </w:tc>
      </w:tr>
    </w:tbl>
    <w:p>
      <w:r>
        <w:br w:type="page"/>
      </w:r>
    </w:p>
    <w:p>
      <w:pPr>
        <w:pStyle w:val="Heading1"/>
        <w:spacing w:after="160" w:before="360"/>
      </w:pPr>
      <w:r>
        <w:rPr>
          <w:color w:val="1E3A8A"/>
        </w:rPr>
        <w:t xml:space="preserve">8. 貿易融資業務情境</w:t>
      </w:r>
    </w:p>
    <w:p>
      <w:pPr>
        <w:spacing w:after="160"/>
      </w:pPr>
      <w:r>
        <w:t xml:space="preserve">本節依模組逐一說明全部 24 個已對照本行遺留源碼驗證過的 Confirm 按鈕業務案例。每個表格列出背後的業務事件、借記與貸記的帳戶類別，以及確立該功能確實呼叫 Payment Component 的來源引用（對 RPFM／CFNC／SBLC／REIM／PYMT 而言，則說明其為何不呼叫，或僅部分呼叫）。</w:t>
      </w:r>
    </w:p>
    <w:p>
      <w:pPr>
        <w:pStyle w:val="Heading2"/>
        <w:spacing w:after="140" w:before="280"/>
      </w:pPr>
      <w:r>
        <w:rPr>
          <w:color w:val="2563EB"/>
        </w:rPr>
        <w:t xml:space="preserve">IPLC — 進口信用狀</w:t>
      </w:r>
    </w:p>
    <w:p>
      <w:pPr>
        <w:spacing w:after="160"/>
      </w:pPr>
      <w:r>
        <w:t xml:space="preserve">IPLC 涵蓋開狀行代進口商（申請人）向出口商（受益人）開立跟單信用狀後所承擔的付款義務。一旦開狀行認定提示單據符合信用狀條款，即負有不可撤銷的付款義務——無論是即期（Sight）立即到期，或遠期（Usance/Deferred）於未來某日到期。Payment Component 負責記錄這筆結算義務；另外透過 Charge Component Bridge，也記錄銀行因承擔此授信而收取的手續費。</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1350"/>
        <w:gridCol w:w="170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功能</w:t>
            </w:r>
          </w:p>
        </w:tc>
        <w:tc>
          <w:tcPr>
            <w:tcW w:type="dxa" w:w="4400"/>
            <w:shd w:fill="1E3A8A" w:val="clear"/>
            <w:tcMar>
              <w:top w:type="dxa" w:w="80"/>
              <w:left w:type="dxa" w:w="100"/>
              <w:bottom w:type="dxa" w:w="80"/>
              <w:right w:type="dxa" w:w="100"/>
            </w:tcMar>
          </w:tcPr>
          <w:p>
            <w:r>
              <w:rPr>
                <w:b/>
                <w:bCs/>
                <w:color w:val="FFFFFF"/>
                <w:sz w:val="18"/>
                <w:szCs w:val="18"/>
              </w:rPr>
              <w:t xml:space="preserve">業務情境</w:t>
            </w:r>
          </w:p>
        </w:tc>
        <w:tc>
          <w:tcPr>
            <w:tcW w:type="dxa" w:w="1350"/>
            <w:shd w:fill="1E3A8A" w:val="clear"/>
            <w:tcMar>
              <w:top w:type="dxa" w:w="80"/>
              <w:left w:type="dxa" w:w="100"/>
              <w:bottom w:type="dxa" w:w="80"/>
              <w:right w:type="dxa" w:w="100"/>
            </w:tcMar>
          </w:tcPr>
          <w:p>
            <w:r>
              <w:rPr>
                <w:b/>
                <w:bCs/>
                <w:color w:val="FFFFFF"/>
                <w:sz w:val="18"/>
                <w:szCs w:val="18"/>
              </w:rPr>
              <w:t xml:space="preserve">借方（Dr）</w:t>
            </w:r>
          </w:p>
        </w:tc>
        <w:tc>
          <w:tcPr>
            <w:tcW w:type="dxa" w:w="1700"/>
            <w:shd w:fill="1E3A8A" w:val="clear"/>
            <w:tcMar>
              <w:top w:type="dxa" w:w="80"/>
              <w:left w:type="dxa" w:w="100"/>
              <w:bottom w:type="dxa" w:w="80"/>
              <w:right w:type="dxa" w:w="100"/>
            </w:tcMar>
          </w:tcPr>
          <w:p>
            <w:r>
              <w:rPr>
                <w:b/>
                <w:bCs/>
                <w:color w:val="FFFFFF"/>
                <w:sz w:val="18"/>
                <w:szCs w:val="18"/>
              </w:rPr>
              <w:t xml:space="preserve">貸方（Cr）</w:t>
            </w:r>
          </w:p>
        </w:tc>
      </w:tr>
      <w:tr>
        <w:tc>
          <w:tcPr>
            <w:tcW w:type="dxa" w:w="1900"/>
            <w:tcMar>
              <w:top w:type="dxa" w:w="80"/>
              <w:left w:type="dxa" w:w="100"/>
              <w:bottom w:type="dxa" w:w="80"/>
              <w:right w:type="dxa" w:w="100"/>
            </w:tcMar>
          </w:tcPr>
          <w:p>
            <w:r>
              <w:rPr>
                <w:color w:val="1E293B"/>
                <w:sz w:val="18"/>
                <w:szCs w:val="18"/>
              </w:rPr>
              <w:t xml:space="preserve">Pay/Accept（付款／承兌）</w:t>
            </w:r>
          </w:p>
        </w:tc>
        <w:tc>
          <w:tcPr>
            <w:tcW w:type="dxa" w:w="4400"/>
            <w:tcMar>
              <w:top w:type="dxa" w:w="80"/>
              <w:left w:type="dxa" w:w="100"/>
              <w:bottom w:type="dxa" w:w="80"/>
              <w:right w:type="dxa" w:w="100"/>
            </w:tcMar>
          </w:tcPr>
          <w:p>
            <w:r>
              <w:rPr>
                <w:color w:val="1E293B"/>
                <w:sz w:val="18"/>
                <w:szCs w:val="18"/>
              </w:rPr>
              <w:t xml:space="preserve">一筆符合條款的即期或承兌提示單據獲得兌付：開狀行付款或承兌匯票，直接與其往來行（Nostro）結算，並借記申請人帳戶。</w:t>
            </w:r>
          </w:p>
        </w:tc>
        <w:tc>
          <w:tcPr>
            <w:tcW w:type="dxa" w:w="1350"/>
            <w:tcMar>
              <w:top w:type="dxa" w:w="80"/>
              <w:left w:type="dxa" w:w="100"/>
              <w:bottom w:type="dxa" w:w="80"/>
              <w:right w:type="dxa" w:w="100"/>
            </w:tcMar>
          </w:tcPr>
          <w:p>
            <w:r>
              <w:rPr>
                <w:color w:val="1E293B"/>
                <w:sz w:val="18"/>
                <w:szCs w:val="18"/>
              </w:rPr>
              <w:t xml:space="preserve">Customer A/C（申請人）</w:t>
            </w:r>
          </w:p>
        </w:tc>
        <w:tc>
          <w:tcPr>
            <w:tcW w:type="dxa" w:w="1700"/>
            <w:tcMar>
              <w:top w:type="dxa" w:w="80"/>
              <w:left w:type="dxa" w:w="100"/>
              <w:bottom w:type="dxa" w:w="80"/>
              <w:right w:type="dxa" w:w="100"/>
            </w:tcMar>
          </w:tcPr>
          <w:p>
            <w:r>
              <w:rPr>
                <w:color w:val="1E293B"/>
                <w:sz w:val="18"/>
                <w:szCs w:val="18"/>
              </w:rPr>
              <w:t xml:space="preserve">Nostro A/C（往來行結算）</w:t>
            </w:r>
          </w:p>
        </w:tc>
      </w:tr>
      <w:tr>
        <w:tc>
          <w:tcPr>
            <w:tcW w:type="dxa" w:w="1900"/>
            <w:tcMar>
              <w:top w:type="dxa" w:w="80"/>
              <w:left w:type="dxa" w:w="100"/>
              <w:bottom w:type="dxa" w:w="80"/>
              <w:right w:type="dxa" w:w="100"/>
            </w:tcMar>
          </w:tcPr>
          <w:p>
            <w:r>
              <w:rPr>
                <w:color w:val="1E293B"/>
                <w:sz w:val="18"/>
                <w:szCs w:val="18"/>
              </w:rPr>
              <w:t xml:space="preserve">Pay/Accept With Discount（付款／承兌並貼現）</w:t>
            </w:r>
          </w:p>
        </w:tc>
        <w:tc>
          <w:tcPr>
            <w:tcW w:type="dxa" w:w="4400"/>
            <w:tcMar>
              <w:top w:type="dxa" w:w="80"/>
              <w:left w:type="dxa" w:w="100"/>
              <w:bottom w:type="dxa" w:w="80"/>
              <w:right w:type="dxa" w:w="100"/>
            </w:tcMar>
          </w:tcPr>
          <w:p>
            <w:r>
              <w:rPr>
                <w:color w:val="1E293B"/>
                <w:sz w:val="18"/>
                <w:szCs w:val="18"/>
              </w:rPr>
              <w:t xml:space="preserve">遠期匯票以提前付款貼現方式兌付——銀行以扣除貼現息後的淨額結算，作為提前墊付資金至匯票到期日的對價。</w:t>
            </w:r>
          </w:p>
        </w:tc>
        <w:tc>
          <w:tcPr>
            <w:tcW w:type="dxa" w:w="1350"/>
            <w:tcMar>
              <w:top w:type="dxa" w:w="80"/>
              <w:left w:type="dxa" w:w="100"/>
              <w:bottom w:type="dxa" w:w="80"/>
              <w:right w:type="dxa" w:w="100"/>
            </w:tcMar>
          </w:tcPr>
          <w:p>
            <w:r>
              <w:rPr>
                <w:color w:val="1E293B"/>
                <w:sz w:val="18"/>
                <w:szCs w:val="18"/>
              </w:rPr>
              <w:t xml:space="preserve">Customer A/C（申請人）</w:t>
            </w:r>
          </w:p>
        </w:tc>
        <w:tc>
          <w:tcPr>
            <w:tcW w:type="dxa" w:w="1700"/>
            <w:tcMar>
              <w:top w:type="dxa" w:w="80"/>
              <w:left w:type="dxa" w:w="100"/>
              <w:bottom w:type="dxa" w:w="80"/>
              <w:right w:type="dxa" w:w="100"/>
            </w:tcMar>
          </w:tcPr>
          <w:p>
            <w:r>
              <w:rPr>
                <w:color w:val="1E293B"/>
                <w:sz w:val="18"/>
                <w:szCs w:val="18"/>
              </w:rPr>
              <w:t xml:space="preserve">Internal A/C（貼現清算）</w:t>
            </w:r>
          </w:p>
        </w:tc>
      </w:tr>
      <w:tr>
        <w:tc>
          <w:tcPr>
            <w:tcW w:type="dxa" w:w="1900"/>
            <w:tcMar>
              <w:top w:type="dxa" w:w="80"/>
              <w:left w:type="dxa" w:w="100"/>
              <w:bottom w:type="dxa" w:w="80"/>
              <w:right w:type="dxa" w:w="100"/>
            </w:tcMar>
          </w:tcPr>
          <w:p>
            <w:r>
              <w:rPr>
                <w:color w:val="1E293B"/>
                <w:sz w:val="18"/>
                <w:szCs w:val="18"/>
              </w:rPr>
              <w:t xml:space="preserve">Payment at Maturity（到期付款）</w:t>
            </w:r>
          </w:p>
        </w:tc>
        <w:tc>
          <w:tcPr>
            <w:tcW w:type="dxa" w:w="4400"/>
            <w:tcMar>
              <w:top w:type="dxa" w:w="80"/>
              <w:left w:type="dxa" w:w="100"/>
              <w:bottom w:type="dxa" w:w="80"/>
              <w:right w:type="dxa" w:w="100"/>
            </w:tcMar>
          </w:tcPr>
          <w:p>
            <w:r>
              <w:rPr>
                <w:color w:val="1E293B"/>
                <w:sz w:val="18"/>
                <w:szCs w:val="18"/>
              </w:rPr>
              <w:t xml:space="preserve">延期付款或遠期信用狀義務到期並於到期日結算，與先前是否曾有承兌事件無關。</w:t>
            </w:r>
          </w:p>
        </w:tc>
        <w:tc>
          <w:tcPr>
            <w:tcW w:type="dxa" w:w="1350"/>
            <w:tcMar>
              <w:top w:type="dxa" w:w="80"/>
              <w:left w:type="dxa" w:w="100"/>
              <w:bottom w:type="dxa" w:w="80"/>
              <w:right w:type="dxa" w:w="100"/>
            </w:tcMar>
          </w:tcPr>
          <w:p>
            <w:r>
              <w:rPr>
                <w:color w:val="1E293B"/>
                <w:sz w:val="18"/>
                <w:szCs w:val="18"/>
              </w:rPr>
              <w:t xml:space="preserve">Customer A/C</w:t>
            </w:r>
          </w:p>
        </w:tc>
        <w:tc>
          <w:tcPr>
            <w:tcW w:type="dxa" w:w="1700"/>
            <w:tcMar>
              <w:top w:type="dxa" w:w="80"/>
              <w:left w:type="dxa" w:w="100"/>
              <w:bottom w:type="dxa" w:w="80"/>
              <w:right w:type="dxa" w:w="100"/>
            </w:tcMar>
          </w:tcPr>
          <w:p>
            <w:r>
              <w:rPr>
                <w:color w:val="1E293B"/>
                <w:sz w:val="18"/>
                <w:szCs w:val="18"/>
              </w:rPr>
              <w:t xml:space="preserve">Customer A/C（次要結算帳戶）</w:t>
            </w:r>
          </w:p>
        </w:tc>
      </w:tr>
      <w:tr>
        <w:tc>
          <w:tcPr>
            <w:tcW w:type="dxa" w:w="1900"/>
            <w:tcMar>
              <w:top w:type="dxa" w:w="80"/>
              <w:left w:type="dxa" w:w="100"/>
              <w:bottom w:type="dxa" w:w="80"/>
              <w:right w:type="dxa" w:w="100"/>
            </w:tcMar>
          </w:tcPr>
          <w:p>
            <w:r>
              <w:rPr>
                <w:color w:val="1E293B"/>
                <w:sz w:val="18"/>
                <w:szCs w:val="18"/>
              </w:rPr>
              <w:t xml:space="preserve">Issue — Charge Component Bridge（開狀——收費橋接）（PASS——架構模式，非源碼溯源）</w:t>
            </w:r>
          </w:p>
        </w:tc>
        <w:tc>
          <w:tcPr>
            <w:tcW w:type="dxa" w:w="4400"/>
            <w:tcMar>
              <w:top w:type="dxa" w:w="80"/>
              <w:left w:type="dxa" w:w="100"/>
              <w:bottom w:type="dxa" w:w="80"/>
              <w:right w:type="dxa" w:w="100"/>
            </w:tcMar>
          </w:tcPr>
          <w:p>
            <w:r>
              <w:rPr>
                <w:color w:val="1E293B"/>
                <w:sz w:val="18"/>
                <w:szCs w:val="18"/>
              </w:rPr>
              <w:t xml:space="preserve">信用狀開立時，銀行以單一借方分錄向申請人收取開狀手續費、保證金與其他相關費用，另由獨立的 Charge Component 計算並記錄拆分後的 Margin/Commission/Charge 明細。完整機制見 §7.8。</w:t>
            </w:r>
          </w:p>
        </w:tc>
        <w:tc>
          <w:tcPr>
            <w:tcW w:type="dxa" w:w="1350"/>
            <w:tcMar>
              <w:top w:type="dxa" w:w="80"/>
              <w:left w:type="dxa" w:w="100"/>
              <w:bottom w:type="dxa" w:w="80"/>
              <w:right w:type="dxa" w:w="100"/>
            </w:tcMar>
          </w:tcPr>
          <w:p>
            <w:r>
              <w:rPr>
                <w:color w:val="1E293B"/>
                <w:sz w:val="18"/>
                <w:szCs w:val="18"/>
              </w:rPr>
              <w:t xml:space="preserve">Customer A/C（申請人）</w:t>
            </w:r>
          </w:p>
        </w:tc>
        <w:tc>
          <w:tcPr>
            <w:tcW w:type="dxa" w:w="1700"/>
            <w:tcMar>
              <w:top w:type="dxa" w:w="80"/>
              <w:left w:type="dxa" w:w="100"/>
              <w:bottom w:type="dxa" w:w="80"/>
              <w:right w:type="dxa" w:w="100"/>
            </w:tcMar>
          </w:tcPr>
          <w:p>
            <w:r>
              <w:rPr>
                <w:color w:val="1E293B"/>
                <w:sz w:val="18"/>
                <w:szCs w:val="18"/>
              </w:rPr>
              <w:t xml:space="preserve">Suspense — Credit（清算至 Charge Component）</w:t>
            </w:r>
          </w:p>
        </w:tc>
      </w:tr>
    </w:tbl>
    <w:p>
      <w:pPr>
        <w:spacing w:after="120" w:before="40"/>
      </w:pPr>
      <w:r>
        <w:rPr>
          <w:i/>
          <w:iCs/>
          <w:color w:val="64748B"/>
          <w:sz w:val="16"/>
          <w:szCs w:val="16"/>
        </w:rPr>
        <w:t xml:space="preserve">Pay/Accept（付款／承兌） —— 來源引用：</w:t>
      </w:r>
      <w:r>
        <w:rPr>
          <w:i/>
          <w:iCs/>
          <w:color w:val="64748B"/>
          <w:sz w:val="16"/>
          <w:szCs w:val="16"/>
        </w:rPr>
        <w:t xml:space="preserve">SYF_IPLC_IPLC_PayAccept.js:23</w:t>
      </w:r>
    </w:p>
    <w:p>
      <w:pPr>
        <w:spacing w:after="120" w:before="40"/>
      </w:pPr>
      <w:r>
        <w:rPr>
          <w:i/>
          <w:iCs/>
          <w:color w:val="64748B"/>
          <w:sz w:val="16"/>
          <w:szCs w:val="16"/>
        </w:rPr>
        <w:t xml:space="preserve">Pay/Accept With Discount（付款／承兌並貼現） —— 來源引用：</w:t>
      </w:r>
      <w:r>
        <w:rPr>
          <w:i/>
          <w:iCs/>
          <w:color w:val="64748B"/>
          <w:sz w:val="16"/>
          <w:szCs w:val="16"/>
        </w:rPr>
        <w:t xml:space="preserve">SYF_IPLC_IPLC_PayAcceptWithDiscount.js:23</w:t>
      </w:r>
    </w:p>
    <w:p>
      <w:pPr>
        <w:spacing w:after="120" w:before="40"/>
      </w:pPr>
      <w:r>
        <w:rPr>
          <w:i/>
          <w:iCs/>
          <w:color w:val="64748B"/>
          <w:sz w:val="16"/>
          <w:szCs w:val="16"/>
        </w:rPr>
        <w:t xml:space="preserve">Payment at Maturity（到期付款） —— 來源引用：</w:t>
      </w:r>
      <w:r>
        <w:rPr>
          <w:i/>
          <w:iCs/>
          <w:color w:val="64748B"/>
          <w:sz w:val="16"/>
          <w:szCs w:val="16"/>
        </w:rPr>
        <w:t xml:space="preserve">SYF_IPLC_IPLC_PaymentAtMaturity.js:20</w:t>
      </w:r>
    </w:p>
    <w:p>
      <w:pPr>
        <w:spacing w:after="120" w:before="40"/>
      </w:pPr>
      <w:r>
        <w:rPr>
          <w:i/>
          <w:iCs/>
          <w:color w:val="64748B"/>
          <w:sz w:val="16"/>
          <w:szCs w:val="16"/>
        </w:rPr>
        <w:t xml:space="preserve">Issue — Charge Component Bridge（開狀——收費橋接） —— 來源引用：</w:t>
      </w:r>
      <w:r>
        <w:rPr>
          <w:i/>
          <w:iCs/>
          <w:color w:val="64748B"/>
          <w:sz w:val="16"/>
          <w:szCs w:val="16"/>
        </w:rPr>
        <w:t xml:space="preserve">經審核確認的架構模式（2026-08-09）——並非 15 個已溯源的 Payment Component 調用方之一</w:t>
      </w:r>
    </w:p>
    <w:p>
      <w:pPr>
        <w:pStyle w:val="Heading2"/>
        <w:spacing w:after="140" w:before="280"/>
      </w:pPr>
      <w:r>
        <w:rPr>
          <w:color w:val="2563EB"/>
        </w:rPr>
        <w:t xml:space="preserve">EPLC — 出口信用狀</w:t>
      </w:r>
    </w:p>
    <w:p>
      <w:pPr>
        <w:spacing w:after="160"/>
      </w:pPr>
      <w:r>
        <w:t xml:space="preserve">EPLC 涵蓋通知行、保兌行或押匯行的一方，本行客戶即為信用狀之受益人（出口商）。銀行的義務方向與 IPLC 相反：先向自己的客戶付款，再向開狀行的往來行（Nostro）求償；若已貼現匯票，則需承擔該曝險直到開狀行實際償還為止。</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1350"/>
        <w:gridCol w:w="170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功能</w:t>
            </w:r>
          </w:p>
        </w:tc>
        <w:tc>
          <w:tcPr>
            <w:tcW w:type="dxa" w:w="4400"/>
            <w:shd w:fill="1E3A8A" w:val="clear"/>
            <w:tcMar>
              <w:top w:type="dxa" w:w="80"/>
              <w:left w:type="dxa" w:w="100"/>
              <w:bottom w:type="dxa" w:w="80"/>
              <w:right w:type="dxa" w:w="100"/>
            </w:tcMar>
          </w:tcPr>
          <w:p>
            <w:r>
              <w:rPr>
                <w:b/>
                <w:bCs/>
                <w:color w:val="FFFFFF"/>
                <w:sz w:val="18"/>
                <w:szCs w:val="18"/>
              </w:rPr>
              <w:t xml:space="preserve">業務情境</w:t>
            </w:r>
          </w:p>
        </w:tc>
        <w:tc>
          <w:tcPr>
            <w:tcW w:type="dxa" w:w="1350"/>
            <w:shd w:fill="1E3A8A" w:val="clear"/>
            <w:tcMar>
              <w:top w:type="dxa" w:w="80"/>
              <w:left w:type="dxa" w:w="100"/>
              <w:bottom w:type="dxa" w:w="80"/>
              <w:right w:type="dxa" w:w="100"/>
            </w:tcMar>
          </w:tcPr>
          <w:p>
            <w:r>
              <w:rPr>
                <w:b/>
                <w:bCs/>
                <w:color w:val="FFFFFF"/>
                <w:sz w:val="18"/>
                <w:szCs w:val="18"/>
              </w:rPr>
              <w:t xml:space="preserve">借方（Dr）</w:t>
            </w:r>
          </w:p>
        </w:tc>
        <w:tc>
          <w:tcPr>
            <w:tcW w:type="dxa" w:w="1700"/>
            <w:shd w:fill="1E3A8A" w:val="clear"/>
            <w:tcMar>
              <w:top w:type="dxa" w:w="80"/>
              <w:left w:type="dxa" w:w="100"/>
              <w:bottom w:type="dxa" w:w="80"/>
              <w:right w:type="dxa" w:w="100"/>
            </w:tcMar>
          </w:tcPr>
          <w:p>
            <w:r>
              <w:rPr>
                <w:b/>
                <w:bCs/>
                <w:color w:val="FFFFFF"/>
                <w:sz w:val="18"/>
                <w:szCs w:val="18"/>
              </w:rPr>
              <w:t xml:space="preserve">貸方（Cr）</w:t>
            </w:r>
          </w:p>
        </w:tc>
      </w:tr>
      <w:tr>
        <w:tc>
          <w:tcPr>
            <w:tcW w:type="dxa" w:w="1900"/>
            <w:tcMar>
              <w:top w:type="dxa" w:w="80"/>
              <w:left w:type="dxa" w:w="100"/>
              <w:bottom w:type="dxa" w:w="80"/>
              <w:right w:type="dxa" w:w="100"/>
            </w:tcMar>
          </w:tcPr>
          <w:p>
            <w:r>
              <w:rPr>
                <w:color w:val="1E293B"/>
                <w:sz w:val="18"/>
                <w:szCs w:val="18"/>
              </w:rPr>
              <w:t xml:space="preserve">Pay/Accept（付款／承兌）</w:t>
            </w:r>
          </w:p>
        </w:tc>
        <w:tc>
          <w:tcPr>
            <w:tcW w:type="dxa" w:w="4400"/>
            <w:tcMar>
              <w:top w:type="dxa" w:w="80"/>
              <w:left w:type="dxa" w:w="100"/>
              <w:bottom w:type="dxa" w:w="80"/>
              <w:right w:type="dxa" w:w="100"/>
            </w:tcMar>
          </w:tcPr>
          <w:p>
            <w:r>
              <w:rPr>
                <w:color w:val="1E293B"/>
                <w:sz w:val="18"/>
                <w:szCs w:val="18"/>
              </w:rPr>
              <w:t xml:space="preserve">銀行對一筆符合條款的提示單據兌付，付款予本行客戶（出口商／受益人），並向 Nostro 往來行求償開狀行應付款項。</w:t>
            </w:r>
          </w:p>
        </w:tc>
        <w:tc>
          <w:tcPr>
            <w:tcW w:type="dxa" w:w="1350"/>
            <w:tcMar>
              <w:top w:type="dxa" w:w="80"/>
              <w:left w:type="dxa" w:w="100"/>
              <w:bottom w:type="dxa" w:w="80"/>
              <w:right w:type="dxa" w:w="100"/>
            </w:tcMar>
          </w:tcPr>
          <w:p>
            <w:r>
              <w:rPr>
                <w:color w:val="1E293B"/>
                <w:sz w:val="18"/>
                <w:szCs w:val="18"/>
              </w:rPr>
              <w:t xml:space="preserve">Nostro A/C（應收償款）</w:t>
            </w:r>
          </w:p>
        </w:tc>
        <w:tc>
          <w:tcPr>
            <w:tcW w:type="dxa" w:w="1700"/>
            <w:tcMar>
              <w:top w:type="dxa" w:w="80"/>
              <w:left w:type="dxa" w:w="100"/>
              <w:bottom w:type="dxa" w:w="80"/>
              <w:right w:type="dxa" w:w="100"/>
            </w:tcMar>
          </w:tcPr>
          <w:p>
            <w:r>
              <w:rPr>
                <w:color w:val="1E293B"/>
                <w:sz w:val="18"/>
                <w:szCs w:val="18"/>
              </w:rPr>
              <w:t xml:space="preserve">Customer A/C（受益人）</w:t>
            </w:r>
          </w:p>
        </w:tc>
      </w:tr>
      <w:tr>
        <w:tc>
          <w:tcPr>
            <w:tcW w:type="dxa" w:w="1900"/>
            <w:tcMar>
              <w:top w:type="dxa" w:w="80"/>
              <w:left w:type="dxa" w:w="100"/>
              <w:bottom w:type="dxa" w:w="80"/>
              <w:right w:type="dxa" w:w="100"/>
            </w:tcMar>
          </w:tcPr>
          <w:p>
            <w:r>
              <w:rPr>
                <w:color w:val="1E293B"/>
                <w:sz w:val="18"/>
                <w:szCs w:val="18"/>
              </w:rPr>
              <w:t xml:space="preserve">Pay at Maturity（到期付款）</w:t>
            </w:r>
          </w:p>
        </w:tc>
        <w:tc>
          <w:tcPr>
            <w:tcW w:type="dxa" w:w="4400"/>
            <w:tcMar>
              <w:top w:type="dxa" w:w="80"/>
              <w:left w:type="dxa" w:w="100"/>
              <w:bottom w:type="dxa" w:w="80"/>
              <w:right w:type="dxa" w:w="100"/>
            </w:tcMar>
          </w:tcPr>
          <w:p>
            <w:r>
              <w:rPr>
                <w:color w:val="1E293B"/>
                <w:sz w:val="18"/>
                <w:szCs w:val="18"/>
              </w:rPr>
              <w:t xml:space="preserve">延期付款或遠期出口信用狀於到期日對受益人結算。</w:t>
            </w:r>
          </w:p>
        </w:tc>
        <w:tc>
          <w:tcPr>
            <w:tcW w:type="dxa" w:w="1350"/>
            <w:tcMar>
              <w:top w:type="dxa" w:w="80"/>
              <w:left w:type="dxa" w:w="100"/>
              <w:bottom w:type="dxa" w:w="80"/>
              <w:right w:type="dxa" w:w="100"/>
            </w:tcMar>
          </w:tcPr>
          <w:p>
            <w:r>
              <w:rPr>
                <w:color w:val="1E293B"/>
                <w:sz w:val="18"/>
                <w:szCs w:val="18"/>
              </w:rPr>
              <w:t xml:space="preserve">Nostro A/C</w:t>
            </w:r>
          </w:p>
        </w:tc>
        <w:tc>
          <w:tcPr>
            <w:tcW w:type="dxa" w:w="1700"/>
            <w:tcMar>
              <w:top w:type="dxa" w:w="80"/>
              <w:left w:type="dxa" w:w="100"/>
              <w:bottom w:type="dxa" w:w="80"/>
              <w:right w:type="dxa" w:w="100"/>
            </w:tcMar>
          </w:tcPr>
          <w:p>
            <w:r>
              <w:rPr>
                <w:color w:val="1E293B"/>
                <w:sz w:val="18"/>
                <w:szCs w:val="18"/>
              </w:rPr>
              <w:t xml:space="preserve">Customer A/C</w:t>
            </w:r>
          </w:p>
        </w:tc>
      </w:tr>
      <w:tr>
        <w:tc>
          <w:tcPr>
            <w:tcW w:type="dxa" w:w="1900"/>
            <w:tcMar>
              <w:top w:type="dxa" w:w="80"/>
              <w:left w:type="dxa" w:w="100"/>
              <w:bottom w:type="dxa" w:w="80"/>
              <w:right w:type="dxa" w:w="100"/>
            </w:tcMar>
          </w:tcPr>
          <w:p>
            <w:r>
              <w:rPr>
                <w:color w:val="1E293B"/>
                <w:sz w:val="18"/>
                <w:szCs w:val="18"/>
              </w:rPr>
              <w:t xml:space="preserve">Discount（貼現）</w:t>
            </w:r>
          </w:p>
        </w:tc>
        <w:tc>
          <w:tcPr>
            <w:tcW w:type="dxa" w:w="4400"/>
            <w:tcMar>
              <w:top w:type="dxa" w:w="80"/>
              <w:left w:type="dxa" w:w="100"/>
              <w:bottom w:type="dxa" w:w="80"/>
              <w:right w:type="dxa" w:w="100"/>
            </w:tcMar>
          </w:tcPr>
          <w:p>
            <w:r>
              <w:rPr>
                <w:color w:val="1E293B"/>
                <w:sz w:val="18"/>
                <w:szCs w:val="18"/>
              </w:rPr>
              <w:t xml:space="preserve">銀行對遠期匯票或延期付款承諾提前給予出口商資金價值——先行付款，扣除貼現費用，早於開狀行最終償還之前。</w:t>
            </w:r>
          </w:p>
        </w:tc>
        <w:tc>
          <w:tcPr>
            <w:tcW w:type="dxa" w:w="1350"/>
            <w:tcMar>
              <w:top w:type="dxa" w:w="80"/>
              <w:left w:type="dxa" w:w="100"/>
              <w:bottom w:type="dxa" w:w="80"/>
              <w:right w:type="dxa" w:w="100"/>
            </w:tcMar>
          </w:tcPr>
          <w:p>
            <w:r>
              <w:rPr>
                <w:color w:val="1E293B"/>
                <w:sz w:val="18"/>
                <w:szCs w:val="18"/>
              </w:rPr>
              <w:t xml:space="preserve">Customer A/C</w:t>
            </w:r>
          </w:p>
        </w:tc>
        <w:tc>
          <w:tcPr>
            <w:tcW w:type="dxa" w:w="1700"/>
            <w:tcMar>
              <w:top w:type="dxa" w:w="80"/>
              <w:left w:type="dxa" w:w="100"/>
              <w:bottom w:type="dxa" w:w="80"/>
              <w:right w:type="dxa" w:w="100"/>
            </w:tcMar>
          </w:tcPr>
          <w:p>
            <w:r>
              <w:rPr>
                <w:color w:val="1E293B"/>
                <w:sz w:val="18"/>
                <w:szCs w:val="18"/>
              </w:rPr>
              <w:t xml:space="preserve">Nostro A/C</w:t>
            </w:r>
          </w:p>
        </w:tc>
      </w:tr>
    </w:tbl>
    <w:p>
      <w:pPr>
        <w:spacing w:after="120" w:before="40"/>
      </w:pPr>
      <w:r>
        <w:rPr>
          <w:i/>
          <w:iCs/>
          <w:color w:val="64748B"/>
          <w:sz w:val="16"/>
          <w:szCs w:val="16"/>
        </w:rPr>
        <w:t xml:space="preserve">Pay/Accept（付款／承兌） —— 來源引用：</w:t>
      </w:r>
      <w:r>
        <w:rPr>
          <w:i/>
          <w:iCs/>
          <w:color w:val="64748B"/>
          <w:sz w:val="16"/>
          <w:szCs w:val="16"/>
        </w:rPr>
        <w:t xml:space="preserve">SYF_EPLC_EPLC_PayAccept.js:19</w:t>
      </w:r>
    </w:p>
    <w:p>
      <w:pPr>
        <w:spacing w:after="120" w:before="40"/>
      </w:pPr>
      <w:r>
        <w:rPr>
          <w:i/>
          <w:iCs/>
          <w:color w:val="64748B"/>
          <w:sz w:val="16"/>
          <w:szCs w:val="16"/>
        </w:rPr>
        <w:t xml:space="preserve">Pay at Maturity（到期付款） —— 來源引用：</w:t>
      </w:r>
      <w:r>
        <w:rPr>
          <w:i/>
          <w:iCs/>
          <w:color w:val="64748B"/>
          <w:sz w:val="16"/>
          <w:szCs w:val="16"/>
        </w:rPr>
        <w:t xml:space="preserve">SYF_EPLC_EPLC_PayAtMaturity.js:16</w:t>
      </w:r>
    </w:p>
    <w:p>
      <w:pPr>
        <w:spacing w:after="120" w:before="40"/>
      </w:pPr>
      <w:r>
        <w:rPr>
          <w:i/>
          <w:iCs/>
          <w:color w:val="64748B"/>
          <w:sz w:val="16"/>
          <w:szCs w:val="16"/>
        </w:rPr>
        <w:t xml:space="preserve">Discount（貼現） —— 來源引用：</w:t>
      </w:r>
      <w:r>
        <w:rPr>
          <w:i/>
          <w:iCs/>
          <w:color w:val="64748B"/>
          <w:sz w:val="16"/>
          <w:szCs w:val="16"/>
        </w:rPr>
        <w:t xml:space="preserve">SYF_EPLC_EPLC_Discount.js:48</w:t>
      </w:r>
    </w:p>
    <w:p>
      <w:pPr>
        <w:pStyle w:val="Heading2"/>
        <w:spacing w:after="140" w:before="280"/>
      </w:pPr>
      <w:r>
        <w:rPr>
          <w:color w:val="2563EB"/>
        </w:rPr>
        <w:t xml:space="preserve">IMCO — 進口託收</w:t>
      </w:r>
    </w:p>
    <w:p>
      <w:pPr>
        <w:spacing w:after="160"/>
      </w:pPr>
      <w:r>
        <w:t xml:space="preserve">IMCO 涵蓋本行代表海外託收行擔任提示行的跟單託收業務，依 URC 522 規則，憑進口商付款或承兌方式交付貨運單據。與信用狀不同，銀行在此並不承擔獨立的付款承諾——純粹作為託收代理人，因此每一筆分錄都只是客戶與往來行之間的單純結算。</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1350"/>
        <w:gridCol w:w="170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功能</w:t>
            </w:r>
          </w:p>
        </w:tc>
        <w:tc>
          <w:tcPr>
            <w:tcW w:type="dxa" w:w="4400"/>
            <w:shd w:fill="1E3A8A" w:val="clear"/>
            <w:tcMar>
              <w:top w:type="dxa" w:w="80"/>
              <w:left w:type="dxa" w:w="100"/>
              <w:bottom w:type="dxa" w:w="80"/>
              <w:right w:type="dxa" w:w="100"/>
            </w:tcMar>
          </w:tcPr>
          <w:p>
            <w:r>
              <w:rPr>
                <w:b/>
                <w:bCs/>
                <w:color w:val="FFFFFF"/>
                <w:sz w:val="18"/>
                <w:szCs w:val="18"/>
              </w:rPr>
              <w:t xml:space="preserve">業務情境</w:t>
            </w:r>
          </w:p>
        </w:tc>
        <w:tc>
          <w:tcPr>
            <w:tcW w:type="dxa" w:w="1350"/>
            <w:shd w:fill="1E3A8A" w:val="clear"/>
            <w:tcMar>
              <w:top w:type="dxa" w:w="80"/>
              <w:left w:type="dxa" w:w="100"/>
              <w:bottom w:type="dxa" w:w="80"/>
              <w:right w:type="dxa" w:w="100"/>
            </w:tcMar>
          </w:tcPr>
          <w:p>
            <w:r>
              <w:rPr>
                <w:b/>
                <w:bCs/>
                <w:color w:val="FFFFFF"/>
                <w:sz w:val="18"/>
                <w:szCs w:val="18"/>
              </w:rPr>
              <w:t xml:space="preserve">借方（Dr）</w:t>
            </w:r>
          </w:p>
        </w:tc>
        <w:tc>
          <w:tcPr>
            <w:tcW w:type="dxa" w:w="1700"/>
            <w:shd w:fill="1E3A8A" w:val="clear"/>
            <w:tcMar>
              <w:top w:type="dxa" w:w="80"/>
              <w:left w:type="dxa" w:w="100"/>
              <w:bottom w:type="dxa" w:w="80"/>
              <w:right w:type="dxa" w:w="100"/>
            </w:tcMar>
          </w:tcPr>
          <w:p>
            <w:r>
              <w:rPr>
                <w:b/>
                <w:bCs/>
                <w:color w:val="FFFFFF"/>
                <w:sz w:val="18"/>
                <w:szCs w:val="18"/>
              </w:rPr>
              <w:t xml:space="preserve">貸方（Cr）</w:t>
            </w:r>
          </w:p>
        </w:tc>
      </w:tr>
      <w:tr>
        <w:tc>
          <w:tcPr>
            <w:tcW w:type="dxa" w:w="1900"/>
            <w:tcMar>
              <w:top w:type="dxa" w:w="80"/>
              <w:left w:type="dxa" w:w="100"/>
              <w:bottom w:type="dxa" w:w="80"/>
              <w:right w:type="dxa" w:w="100"/>
            </w:tcMar>
          </w:tcPr>
          <w:p>
            <w:r>
              <w:rPr>
                <w:color w:val="1E293B"/>
                <w:sz w:val="18"/>
                <w:szCs w:val="18"/>
              </w:rPr>
              <w:t xml:space="preserve">Pre-Payment（預付款）</w:t>
            </w:r>
          </w:p>
        </w:tc>
        <w:tc>
          <w:tcPr>
            <w:tcW w:type="dxa" w:w="4400"/>
            <w:tcMar>
              <w:top w:type="dxa" w:w="80"/>
              <w:left w:type="dxa" w:w="100"/>
              <w:bottom w:type="dxa" w:w="80"/>
              <w:right w:type="dxa" w:w="100"/>
            </w:tcMar>
          </w:tcPr>
          <w:p>
            <w:r>
              <w:rPr>
                <w:color w:val="1E293B"/>
                <w:sz w:val="18"/>
                <w:szCs w:val="18"/>
              </w:rPr>
              <w:t xml:space="preserve">進口商在單據交付前即先行付款（預期性安排，或銀行本身風險偏好要求先取得已兌現資金）。</w:t>
            </w:r>
          </w:p>
        </w:tc>
        <w:tc>
          <w:tcPr>
            <w:tcW w:type="dxa" w:w="1350"/>
            <w:tcMar>
              <w:top w:type="dxa" w:w="80"/>
              <w:left w:type="dxa" w:w="100"/>
              <w:bottom w:type="dxa" w:w="80"/>
              <w:right w:type="dxa" w:w="100"/>
            </w:tcMar>
          </w:tcPr>
          <w:p>
            <w:r>
              <w:rPr>
                <w:color w:val="1E293B"/>
                <w:sz w:val="18"/>
                <w:szCs w:val="18"/>
              </w:rPr>
              <w:t xml:space="preserve">Customer A/C（進口商）</w:t>
            </w:r>
          </w:p>
        </w:tc>
        <w:tc>
          <w:tcPr>
            <w:tcW w:type="dxa" w:w="1700"/>
            <w:tcMar>
              <w:top w:type="dxa" w:w="80"/>
              <w:left w:type="dxa" w:w="100"/>
              <w:bottom w:type="dxa" w:w="80"/>
              <w:right w:type="dxa" w:w="100"/>
            </w:tcMar>
          </w:tcPr>
          <w:p>
            <w:r>
              <w:rPr>
                <w:color w:val="1E293B"/>
                <w:sz w:val="18"/>
                <w:szCs w:val="18"/>
              </w:rPr>
              <w:t xml:space="preserve">Nostro A/C</w:t>
            </w:r>
          </w:p>
        </w:tc>
      </w:tr>
      <w:tr>
        <w:tc>
          <w:tcPr>
            <w:tcW w:type="dxa" w:w="1900"/>
            <w:tcMar>
              <w:top w:type="dxa" w:w="80"/>
              <w:left w:type="dxa" w:w="100"/>
              <w:bottom w:type="dxa" w:w="80"/>
              <w:right w:type="dxa" w:w="100"/>
            </w:tcMar>
          </w:tcPr>
          <w:p>
            <w:r>
              <w:rPr>
                <w:color w:val="1E293B"/>
                <w:sz w:val="18"/>
                <w:szCs w:val="18"/>
              </w:rPr>
              <w:t xml:space="preserve">Payment D/P（付款交單）</w:t>
            </w:r>
          </w:p>
        </w:tc>
        <w:tc>
          <w:tcPr>
            <w:tcW w:type="dxa" w:w="4400"/>
            <w:tcMar>
              <w:top w:type="dxa" w:w="80"/>
              <w:left w:type="dxa" w:w="100"/>
              <w:bottom w:type="dxa" w:w="80"/>
              <w:right w:type="dxa" w:w="100"/>
            </w:tcMar>
          </w:tcPr>
          <w:p>
            <w:r>
              <w:rPr>
                <w:color w:val="1E293B"/>
                <w:sz w:val="18"/>
                <w:szCs w:val="18"/>
              </w:rPr>
              <w:t xml:space="preserve">進口商立即付款以取得貨運單據——典型的 D/P 託收結算。</w:t>
            </w:r>
          </w:p>
        </w:tc>
        <w:tc>
          <w:tcPr>
            <w:tcW w:type="dxa" w:w="1350"/>
            <w:tcMar>
              <w:top w:type="dxa" w:w="80"/>
              <w:left w:type="dxa" w:w="100"/>
              <w:bottom w:type="dxa" w:w="80"/>
              <w:right w:type="dxa" w:w="100"/>
            </w:tcMar>
          </w:tcPr>
          <w:p>
            <w:r>
              <w:rPr>
                <w:color w:val="1E293B"/>
                <w:sz w:val="18"/>
                <w:szCs w:val="18"/>
              </w:rPr>
              <w:t xml:space="preserve">Customer A/C</w:t>
            </w:r>
          </w:p>
        </w:tc>
        <w:tc>
          <w:tcPr>
            <w:tcW w:type="dxa" w:w="1700"/>
            <w:tcMar>
              <w:top w:type="dxa" w:w="80"/>
              <w:left w:type="dxa" w:w="100"/>
              <w:bottom w:type="dxa" w:w="80"/>
              <w:right w:type="dxa" w:w="100"/>
            </w:tcMar>
          </w:tcPr>
          <w:p>
            <w:r>
              <w:rPr>
                <w:color w:val="1E293B"/>
                <w:sz w:val="18"/>
                <w:szCs w:val="18"/>
              </w:rPr>
              <w:t xml:space="preserve">Nostro A/C</w:t>
            </w:r>
          </w:p>
        </w:tc>
      </w:tr>
      <w:tr>
        <w:tc>
          <w:tcPr>
            <w:tcW w:type="dxa" w:w="1900"/>
            <w:tcMar>
              <w:top w:type="dxa" w:w="80"/>
              <w:left w:type="dxa" w:w="100"/>
              <w:bottom w:type="dxa" w:w="80"/>
              <w:right w:type="dxa" w:w="100"/>
            </w:tcMar>
          </w:tcPr>
          <w:p>
            <w:r>
              <w:rPr>
                <w:color w:val="1E293B"/>
                <w:sz w:val="18"/>
                <w:szCs w:val="18"/>
              </w:rPr>
              <w:t xml:space="preserve">Settlement D/A（承兌交單）</w:t>
            </w:r>
          </w:p>
        </w:tc>
        <w:tc>
          <w:tcPr>
            <w:tcW w:type="dxa" w:w="4400"/>
            <w:tcMar>
              <w:top w:type="dxa" w:w="80"/>
              <w:left w:type="dxa" w:w="100"/>
              <w:bottom w:type="dxa" w:w="80"/>
              <w:right w:type="dxa" w:w="100"/>
            </w:tcMar>
          </w:tcPr>
          <w:p>
            <w:r>
              <w:rPr>
                <w:color w:val="1E293B"/>
                <w:sz w:val="18"/>
                <w:szCs w:val="18"/>
              </w:rPr>
              <w:t xml:space="preserve">進口商承兌遠期匯票以立即取得單據，實際付款則遞延至未來到期日——唯一同時產生 Liability Voucher 的 IMCO 功能，因為在到期前一直存在尚未結清的承兌義務。</w:t>
            </w:r>
          </w:p>
        </w:tc>
        <w:tc>
          <w:tcPr>
            <w:tcW w:type="dxa" w:w="1350"/>
            <w:tcMar>
              <w:top w:type="dxa" w:w="80"/>
              <w:left w:type="dxa" w:w="100"/>
              <w:bottom w:type="dxa" w:w="80"/>
              <w:right w:type="dxa" w:w="100"/>
            </w:tcMar>
          </w:tcPr>
          <w:p>
            <w:r>
              <w:rPr>
                <w:color w:val="1E293B"/>
                <w:sz w:val="18"/>
                <w:szCs w:val="18"/>
              </w:rPr>
              <w:t xml:space="preserve">Customer A/C</w:t>
            </w:r>
          </w:p>
        </w:tc>
        <w:tc>
          <w:tcPr>
            <w:tcW w:type="dxa" w:w="1700"/>
            <w:tcMar>
              <w:top w:type="dxa" w:w="80"/>
              <w:left w:type="dxa" w:w="100"/>
              <w:bottom w:type="dxa" w:w="80"/>
              <w:right w:type="dxa" w:w="100"/>
            </w:tcMar>
          </w:tcPr>
          <w:p>
            <w:r>
              <w:rPr>
                <w:color w:val="1E293B"/>
                <w:sz w:val="18"/>
                <w:szCs w:val="18"/>
              </w:rPr>
              <w:t xml:space="preserve">Nostro A/C</w:t>
            </w:r>
          </w:p>
        </w:tc>
      </w:tr>
    </w:tbl>
    <w:p>
      <w:pPr>
        <w:spacing w:after="120" w:before="40"/>
      </w:pPr>
      <w:r>
        <w:rPr>
          <w:i/>
          <w:iCs/>
          <w:color w:val="64748B"/>
          <w:sz w:val="16"/>
          <w:szCs w:val="16"/>
        </w:rPr>
        <w:t xml:space="preserve">Pre-Payment（預付款） —— 來源引用：</w:t>
      </w:r>
      <w:r>
        <w:rPr>
          <w:i/>
          <w:iCs/>
          <w:color w:val="64748B"/>
          <w:sz w:val="16"/>
          <w:szCs w:val="16"/>
        </w:rPr>
        <w:t xml:space="preserve">SYF_IMCO_PrePayment.js:184</w:t>
      </w:r>
    </w:p>
    <w:p>
      <w:pPr>
        <w:spacing w:after="120" w:before="40"/>
      </w:pPr>
      <w:r>
        <w:rPr>
          <w:i/>
          <w:iCs/>
          <w:color w:val="64748B"/>
          <w:sz w:val="16"/>
          <w:szCs w:val="16"/>
        </w:rPr>
        <w:t xml:space="preserve">Payment D/P（付款交單） —— 來源引用：</w:t>
      </w:r>
      <w:r>
        <w:rPr>
          <w:i/>
          <w:iCs/>
          <w:color w:val="64748B"/>
          <w:sz w:val="16"/>
          <w:szCs w:val="16"/>
        </w:rPr>
        <w:t xml:space="preserve">SYF_IMCO_PaymentDP.js:187</w:t>
      </w:r>
    </w:p>
    <w:p>
      <w:pPr>
        <w:spacing w:after="120" w:before="40"/>
      </w:pPr>
      <w:r>
        <w:rPr>
          <w:i/>
          <w:iCs/>
          <w:color w:val="64748B"/>
          <w:sz w:val="16"/>
          <w:szCs w:val="16"/>
        </w:rPr>
        <w:t xml:space="preserve">Settlement D/A（承兌交單） —— 來源引用：</w:t>
      </w:r>
      <w:r>
        <w:rPr>
          <w:i/>
          <w:iCs/>
          <w:color w:val="64748B"/>
          <w:sz w:val="16"/>
          <w:szCs w:val="16"/>
        </w:rPr>
        <w:t xml:space="preserve">SYF_IMCO_SettlementDA.js:228</w:t>
      </w:r>
    </w:p>
    <w:p>
      <w:pPr>
        <w:pStyle w:val="Heading2"/>
        <w:spacing w:after="140" w:before="280"/>
      </w:pPr>
      <w:r>
        <w:rPr>
          <w:color w:val="2563EB"/>
        </w:rPr>
        <w:t xml:space="preserve">EXCO — 出口託收</w:t>
      </w:r>
    </w:p>
    <w:p>
      <w:pPr>
        <w:spacing w:after="160"/>
      </w:pPr>
      <w:r>
        <w:t xml:space="preserve">EXCO 是 IMCO 的鏡像業務：本行將自家出口商客戶的貨運單據轉交海外託收行，待收妥款項後（或若選擇提前貼現）與出口商結算。</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1350"/>
        <w:gridCol w:w="170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功能</w:t>
            </w:r>
          </w:p>
        </w:tc>
        <w:tc>
          <w:tcPr>
            <w:tcW w:type="dxa" w:w="4400"/>
            <w:shd w:fill="1E3A8A" w:val="clear"/>
            <w:tcMar>
              <w:top w:type="dxa" w:w="80"/>
              <w:left w:type="dxa" w:w="100"/>
              <w:bottom w:type="dxa" w:w="80"/>
              <w:right w:type="dxa" w:w="100"/>
            </w:tcMar>
          </w:tcPr>
          <w:p>
            <w:r>
              <w:rPr>
                <w:b/>
                <w:bCs/>
                <w:color w:val="FFFFFF"/>
                <w:sz w:val="18"/>
                <w:szCs w:val="18"/>
              </w:rPr>
              <w:t xml:space="preserve">業務情境</w:t>
            </w:r>
          </w:p>
        </w:tc>
        <w:tc>
          <w:tcPr>
            <w:tcW w:type="dxa" w:w="1350"/>
            <w:shd w:fill="1E3A8A" w:val="clear"/>
            <w:tcMar>
              <w:top w:type="dxa" w:w="80"/>
              <w:left w:type="dxa" w:w="100"/>
              <w:bottom w:type="dxa" w:w="80"/>
              <w:right w:type="dxa" w:w="100"/>
            </w:tcMar>
          </w:tcPr>
          <w:p>
            <w:r>
              <w:rPr>
                <w:b/>
                <w:bCs/>
                <w:color w:val="FFFFFF"/>
                <w:sz w:val="18"/>
                <w:szCs w:val="18"/>
              </w:rPr>
              <w:t xml:space="preserve">借方（Dr）</w:t>
            </w:r>
          </w:p>
        </w:tc>
        <w:tc>
          <w:tcPr>
            <w:tcW w:type="dxa" w:w="1700"/>
            <w:shd w:fill="1E3A8A" w:val="clear"/>
            <w:tcMar>
              <w:top w:type="dxa" w:w="80"/>
              <w:left w:type="dxa" w:w="100"/>
              <w:bottom w:type="dxa" w:w="80"/>
              <w:right w:type="dxa" w:w="100"/>
            </w:tcMar>
          </w:tcPr>
          <w:p>
            <w:r>
              <w:rPr>
                <w:b/>
                <w:bCs/>
                <w:color w:val="FFFFFF"/>
                <w:sz w:val="18"/>
                <w:szCs w:val="18"/>
              </w:rPr>
              <w:t xml:space="preserve">貸方（Cr）</w:t>
            </w:r>
          </w:p>
        </w:tc>
      </w:tr>
      <w:tr>
        <w:tc>
          <w:tcPr>
            <w:tcW w:type="dxa" w:w="1900"/>
            <w:tcMar>
              <w:top w:type="dxa" w:w="80"/>
              <w:left w:type="dxa" w:w="100"/>
              <w:bottom w:type="dxa" w:w="80"/>
              <w:right w:type="dxa" w:w="100"/>
            </w:tcMar>
          </w:tcPr>
          <w:p>
            <w:r>
              <w:rPr>
                <w:color w:val="1E293B"/>
                <w:sz w:val="18"/>
                <w:szCs w:val="18"/>
              </w:rPr>
              <w:t xml:space="preserve">Payment（付款）</w:t>
            </w:r>
          </w:p>
        </w:tc>
        <w:tc>
          <w:tcPr>
            <w:tcW w:type="dxa" w:w="4400"/>
            <w:tcMar>
              <w:top w:type="dxa" w:w="80"/>
              <w:left w:type="dxa" w:w="100"/>
              <w:bottom w:type="dxa" w:w="80"/>
              <w:right w:type="dxa" w:w="100"/>
            </w:tcMar>
          </w:tcPr>
          <w:p>
            <w:r>
              <w:rPr>
                <w:color w:val="1E293B"/>
                <w:sz w:val="18"/>
                <w:szCs w:val="18"/>
              </w:rPr>
              <w:t xml:space="preserve">從往來行收妥託收款項後支付予出口商。</w:t>
            </w:r>
          </w:p>
        </w:tc>
        <w:tc>
          <w:tcPr>
            <w:tcW w:type="dxa" w:w="1350"/>
            <w:tcMar>
              <w:top w:type="dxa" w:w="80"/>
              <w:left w:type="dxa" w:w="100"/>
              <w:bottom w:type="dxa" w:w="80"/>
              <w:right w:type="dxa" w:w="100"/>
            </w:tcMar>
          </w:tcPr>
          <w:p>
            <w:r>
              <w:rPr>
                <w:color w:val="1E293B"/>
                <w:sz w:val="18"/>
                <w:szCs w:val="18"/>
              </w:rPr>
              <w:t xml:space="preserve">Nostro A/C</w:t>
            </w:r>
          </w:p>
        </w:tc>
        <w:tc>
          <w:tcPr>
            <w:tcW w:type="dxa" w:w="1700"/>
            <w:tcMar>
              <w:top w:type="dxa" w:w="80"/>
              <w:left w:type="dxa" w:w="100"/>
              <w:bottom w:type="dxa" w:w="80"/>
              <w:right w:type="dxa" w:w="100"/>
            </w:tcMar>
          </w:tcPr>
          <w:p>
            <w:r>
              <w:rPr>
                <w:color w:val="1E293B"/>
                <w:sz w:val="18"/>
                <w:szCs w:val="18"/>
              </w:rPr>
              <w:t xml:space="preserve">Customer A/C（出口商）</w:t>
            </w:r>
          </w:p>
        </w:tc>
      </w:tr>
      <w:tr>
        <w:tc>
          <w:tcPr>
            <w:tcW w:type="dxa" w:w="1900"/>
            <w:tcMar>
              <w:top w:type="dxa" w:w="80"/>
              <w:left w:type="dxa" w:w="100"/>
              <w:bottom w:type="dxa" w:w="80"/>
              <w:right w:type="dxa" w:w="100"/>
            </w:tcMar>
          </w:tcPr>
          <w:p>
            <w:r>
              <w:rPr>
                <w:color w:val="1E293B"/>
                <w:sz w:val="18"/>
                <w:szCs w:val="18"/>
              </w:rPr>
              <w:t xml:space="preserve">Discount（貼現）</w:t>
            </w:r>
          </w:p>
        </w:tc>
        <w:tc>
          <w:tcPr>
            <w:tcW w:type="dxa" w:w="4400"/>
            <w:tcMar>
              <w:top w:type="dxa" w:w="80"/>
              <w:left w:type="dxa" w:w="100"/>
              <w:bottom w:type="dxa" w:w="80"/>
              <w:right w:type="dxa" w:w="100"/>
            </w:tcMar>
          </w:tcPr>
          <w:p>
            <w:r>
              <w:rPr>
                <w:color w:val="1E293B"/>
                <w:sz w:val="18"/>
                <w:szCs w:val="18"/>
              </w:rPr>
              <w:t xml:space="preserve">在實際收妥託收款項之前，銀行先行給予出口商資金價值，於此期間自行承擔曝險。</w:t>
            </w:r>
          </w:p>
        </w:tc>
        <w:tc>
          <w:tcPr>
            <w:tcW w:type="dxa" w:w="1350"/>
            <w:tcMar>
              <w:top w:type="dxa" w:w="80"/>
              <w:left w:type="dxa" w:w="100"/>
              <w:bottom w:type="dxa" w:w="80"/>
              <w:right w:type="dxa" w:w="100"/>
            </w:tcMar>
          </w:tcPr>
          <w:p>
            <w:r>
              <w:rPr>
                <w:color w:val="1E293B"/>
                <w:sz w:val="18"/>
                <w:szCs w:val="18"/>
              </w:rPr>
              <w:t xml:space="preserve">Customer A/C</w:t>
            </w:r>
          </w:p>
        </w:tc>
        <w:tc>
          <w:tcPr>
            <w:tcW w:type="dxa" w:w="1700"/>
            <w:tcMar>
              <w:top w:type="dxa" w:w="80"/>
              <w:left w:type="dxa" w:w="100"/>
              <w:bottom w:type="dxa" w:w="80"/>
              <w:right w:type="dxa" w:w="100"/>
            </w:tcMar>
          </w:tcPr>
          <w:p>
            <w:r>
              <w:rPr>
                <w:color w:val="1E293B"/>
                <w:sz w:val="18"/>
                <w:szCs w:val="18"/>
              </w:rPr>
              <w:t xml:space="preserve">Nostro A/C</w:t>
            </w:r>
          </w:p>
        </w:tc>
      </w:tr>
      <w:tr>
        <w:tc>
          <w:tcPr>
            <w:tcW w:type="dxa" w:w="1900"/>
            <w:tcMar>
              <w:top w:type="dxa" w:w="80"/>
              <w:left w:type="dxa" w:w="100"/>
              <w:bottom w:type="dxa" w:w="80"/>
              <w:right w:type="dxa" w:w="100"/>
            </w:tcMar>
          </w:tcPr>
          <w:p>
            <w:r>
              <w:rPr>
                <w:color w:val="1E293B"/>
                <w:sz w:val="18"/>
                <w:szCs w:val="18"/>
              </w:rPr>
              <w:t xml:space="preserve">Process 400（修改／拒付處理）</w:t>
            </w:r>
          </w:p>
        </w:tc>
        <w:tc>
          <w:tcPr>
            <w:tcW w:type="dxa" w:w="4400"/>
            <w:tcMar>
              <w:top w:type="dxa" w:w="80"/>
              <w:left w:type="dxa" w:w="100"/>
              <w:bottom w:type="dxa" w:w="80"/>
              <w:right w:type="dxa" w:w="100"/>
            </w:tcMar>
          </w:tcPr>
          <w:p>
            <w:r>
              <w:rPr>
                <w:color w:val="1E293B"/>
                <w:sz w:val="18"/>
                <w:szCs w:val="18"/>
              </w:rPr>
              <w:t xml:space="preserve">處理遭拒付或修改的託收案件——例如當進口商往來行提出異議或修改條款時，沖銷或調整先前的結算。</w:t>
            </w:r>
          </w:p>
        </w:tc>
        <w:tc>
          <w:tcPr>
            <w:tcW w:type="dxa" w:w="1350"/>
            <w:tcMar>
              <w:top w:type="dxa" w:w="80"/>
              <w:left w:type="dxa" w:w="100"/>
              <w:bottom w:type="dxa" w:w="80"/>
              <w:right w:type="dxa" w:w="100"/>
            </w:tcMar>
          </w:tcPr>
          <w:p>
            <w:r>
              <w:rPr>
                <w:color w:val="1E293B"/>
                <w:sz w:val="18"/>
                <w:szCs w:val="18"/>
              </w:rPr>
              <w:t xml:space="preserve">Nostro A/C</w:t>
            </w:r>
          </w:p>
        </w:tc>
        <w:tc>
          <w:tcPr>
            <w:tcW w:type="dxa" w:w="1700"/>
            <w:tcMar>
              <w:top w:type="dxa" w:w="80"/>
              <w:left w:type="dxa" w:w="100"/>
              <w:bottom w:type="dxa" w:w="80"/>
              <w:right w:type="dxa" w:w="100"/>
            </w:tcMar>
          </w:tcPr>
          <w:p>
            <w:r>
              <w:rPr>
                <w:color w:val="1E293B"/>
                <w:sz w:val="18"/>
                <w:szCs w:val="18"/>
              </w:rPr>
              <w:t xml:space="preserve">Customer A/C</w:t>
            </w:r>
          </w:p>
        </w:tc>
      </w:tr>
      <w:tr>
        <w:tc>
          <w:tcPr>
            <w:tcW w:type="dxa" w:w="1900"/>
            <w:tcMar>
              <w:top w:type="dxa" w:w="80"/>
              <w:left w:type="dxa" w:w="100"/>
              <w:bottom w:type="dxa" w:w="80"/>
              <w:right w:type="dxa" w:w="100"/>
            </w:tcMar>
          </w:tcPr>
          <w:p>
            <w:r>
              <w:rPr>
                <w:color w:val="1E293B"/>
                <w:sz w:val="18"/>
                <w:szCs w:val="18"/>
              </w:rPr>
              <w:t xml:space="preserve">Settlement at Maturity（到期結算）</w:t>
            </w:r>
          </w:p>
        </w:tc>
        <w:tc>
          <w:tcPr>
            <w:tcW w:type="dxa" w:w="4400"/>
            <w:tcMar>
              <w:top w:type="dxa" w:w="80"/>
              <w:left w:type="dxa" w:w="100"/>
              <w:bottom w:type="dxa" w:w="80"/>
              <w:right w:type="dxa" w:w="100"/>
            </w:tcMar>
          </w:tcPr>
          <w:p>
            <w:r>
              <w:rPr>
                <w:color w:val="1E293B"/>
                <w:sz w:val="18"/>
                <w:szCs w:val="18"/>
              </w:rPr>
              <w:t xml:space="preserve">遠期出口託收於約定到期日對出口商結算。</w:t>
            </w:r>
          </w:p>
        </w:tc>
        <w:tc>
          <w:tcPr>
            <w:tcW w:type="dxa" w:w="1350"/>
            <w:tcMar>
              <w:top w:type="dxa" w:w="80"/>
              <w:left w:type="dxa" w:w="100"/>
              <w:bottom w:type="dxa" w:w="80"/>
              <w:right w:type="dxa" w:w="100"/>
            </w:tcMar>
          </w:tcPr>
          <w:p>
            <w:r>
              <w:rPr>
                <w:color w:val="1E293B"/>
                <w:sz w:val="18"/>
                <w:szCs w:val="18"/>
              </w:rPr>
              <w:t xml:space="preserve">Nostro A/C</w:t>
            </w:r>
          </w:p>
        </w:tc>
        <w:tc>
          <w:tcPr>
            <w:tcW w:type="dxa" w:w="1700"/>
            <w:tcMar>
              <w:top w:type="dxa" w:w="80"/>
              <w:left w:type="dxa" w:w="100"/>
              <w:bottom w:type="dxa" w:w="80"/>
              <w:right w:type="dxa" w:w="100"/>
            </w:tcMar>
          </w:tcPr>
          <w:p>
            <w:r>
              <w:rPr>
                <w:color w:val="1E293B"/>
                <w:sz w:val="18"/>
                <w:szCs w:val="18"/>
              </w:rPr>
              <w:t xml:space="preserve">Customer A/C</w:t>
            </w:r>
          </w:p>
        </w:tc>
      </w:tr>
    </w:tbl>
    <w:p>
      <w:pPr>
        <w:spacing w:after="120" w:before="40"/>
      </w:pPr>
      <w:r>
        <w:rPr>
          <w:i/>
          <w:iCs/>
          <w:color w:val="64748B"/>
          <w:sz w:val="16"/>
          <w:szCs w:val="16"/>
        </w:rPr>
        <w:t xml:space="preserve">Payment（付款） —— 來源引用：</w:t>
      </w:r>
      <w:r>
        <w:rPr>
          <w:i/>
          <w:iCs/>
          <w:color w:val="64748B"/>
          <w:sz w:val="16"/>
          <w:szCs w:val="16"/>
        </w:rPr>
        <w:t xml:space="preserve">SYF_EXCO_EXCO_Payment.js:43</w:t>
      </w:r>
    </w:p>
    <w:p>
      <w:pPr>
        <w:spacing w:after="120" w:before="40"/>
      </w:pPr>
      <w:r>
        <w:rPr>
          <w:i/>
          <w:iCs/>
          <w:color w:val="64748B"/>
          <w:sz w:val="16"/>
          <w:szCs w:val="16"/>
        </w:rPr>
        <w:t xml:space="preserve">Discount（貼現） —— 來源引用：</w:t>
      </w:r>
      <w:r>
        <w:rPr>
          <w:i/>
          <w:iCs/>
          <w:color w:val="64748B"/>
          <w:sz w:val="16"/>
          <w:szCs w:val="16"/>
        </w:rPr>
        <w:t xml:space="preserve">SYF_EXCO_EXCO_Discount.js:30</w:t>
      </w:r>
    </w:p>
    <w:p>
      <w:pPr>
        <w:spacing w:after="120" w:before="40"/>
      </w:pPr>
      <w:r>
        <w:rPr>
          <w:i/>
          <w:iCs/>
          <w:color w:val="64748B"/>
          <w:sz w:val="16"/>
          <w:szCs w:val="16"/>
        </w:rPr>
        <w:t xml:space="preserve">Process 400（修改／拒付處理） —— 來源引用：</w:t>
      </w:r>
      <w:r>
        <w:rPr>
          <w:i/>
          <w:iCs/>
          <w:color w:val="64748B"/>
          <w:sz w:val="16"/>
          <w:szCs w:val="16"/>
        </w:rPr>
        <w:t xml:space="preserve">SYF_EXCO_EXCO_Process400.js:237</w:t>
      </w:r>
    </w:p>
    <w:p>
      <w:pPr>
        <w:spacing w:after="120" w:before="40"/>
      </w:pPr>
      <w:r>
        <w:rPr>
          <w:i/>
          <w:iCs/>
          <w:color w:val="64748B"/>
          <w:sz w:val="16"/>
          <w:szCs w:val="16"/>
        </w:rPr>
        <w:t xml:space="preserve">Settlement at Maturity（到期結算） —— 來源引用：</w:t>
      </w:r>
      <w:r>
        <w:rPr>
          <w:i/>
          <w:iCs/>
          <w:color w:val="64748B"/>
          <w:sz w:val="16"/>
          <w:szCs w:val="16"/>
        </w:rPr>
        <w:t xml:space="preserve">SYF_EXCO_EXCO_SettlementAtMaturity.js:52</w:t>
      </w:r>
    </w:p>
    <w:p>
      <w:pPr>
        <w:pStyle w:val="Heading2"/>
        <w:spacing w:after="140" w:before="280"/>
      </w:pPr>
      <w:r>
        <w:rPr>
          <w:color w:val="2563EB"/>
        </w:rPr>
        <w:t xml:space="preserve">GTEE — 出立保證函</w:t>
      </w:r>
    </w:p>
    <w:p>
      <w:pPr>
        <w:spacing w:after="160"/>
      </w:pPr>
      <w:r>
        <w:t xml:space="preserve">GTEE 涵蓋本行代客戶（申請人）向第三方受益人出立的保證函／擔保信用狀。此模組約 55 個非 CE Confirm 功能中，只有一個——受益人求償結算——會進入共用的 Payment Component 結算層；開立、修改及大部分生命週期事件都是保證函專屬記帳，完全不涉及 Dr/Cr 分類。</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1350"/>
        <w:gridCol w:w="170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功能</w:t>
            </w:r>
          </w:p>
        </w:tc>
        <w:tc>
          <w:tcPr>
            <w:tcW w:type="dxa" w:w="4400"/>
            <w:shd w:fill="1E3A8A" w:val="clear"/>
            <w:tcMar>
              <w:top w:type="dxa" w:w="80"/>
              <w:left w:type="dxa" w:w="100"/>
              <w:bottom w:type="dxa" w:w="80"/>
              <w:right w:type="dxa" w:w="100"/>
            </w:tcMar>
          </w:tcPr>
          <w:p>
            <w:r>
              <w:rPr>
                <w:b/>
                <w:bCs/>
                <w:color w:val="FFFFFF"/>
                <w:sz w:val="18"/>
                <w:szCs w:val="18"/>
              </w:rPr>
              <w:t xml:space="preserve">業務情境</w:t>
            </w:r>
          </w:p>
        </w:tc>
        <w:tc>
          <w:tcPr>
            <w:tcW w:type="dxa" w:w="1350"/>
            <w:shd w:fill="1E3A8A" w:val="clear"/>
            <w:tcMar>
              <w:top w:type="dxa" w:w="80"/>
              <w:left w:type="dxa" w:w="100"/>
              <w:bottom w:type="dxa" w:w="80"/>
              <w:right w:type="dxa" w:w="100"/>
            </w:tcMar>
          </w:tcPr>
          <w:p>
            <w:r>
              <w:rPr>
                <w:b/>
                <w:bCs/>
                <w:color w:val="FFFFFF"/>
                <w:sz w:val="18"/>
                <w:szCs w:val="18"/>
              </w:rPr>
              <w:t xml:space="preserve">借方（Dr）</w:t>
            </w:r>
          </w:p>
        </w:tc>
        <w:tc>
          <w:tcPr>
            <w:tcW w:type="dxa" w:w="1700"/>
            <w:shd w:fill="1E3A8A" w:val="clear"/>
            <w:tcMar>
              <w:top w:type="dxa" w:w="80"/>
              <w:left w:type="dxa" w:w="100"/>
              <w:bottom w:type="dxa" w:w="80"/>
              <w:right w:type="dxa" w:w="100"/>
            </w:tcMar>
          </w:tcPr>
          <w:p>
            <w:r>
              <w:rPr>
                <w:b/>
                <w:bCs/>
                <w:color w:val="FFFFFF"/>
                <w:sz w:val="18"/>
                <w:szCs w:val="18"/>
              </w:rPr>
              <w:t xml:space="preserve">貸方（Cr）</w:t>
            </w:r>
          </w:p>
        </w:tc>
      </w:tr>
      <w:tr>
        <w:tc>
          <w:tcPr>
            <w:tcW w:type="dxa" w:w="1900"/>
            <w:tcMar>
              <w:top w:type="dxa" w:w="80"/>
              <w:left w:type="dxa" w:w="100"/>
              <w:bottom w:type="dxa" w:w="80"/>
              <w:right w:type="dxa" w:w="100"/>
            </w:tcMar>
          </w:tcPr>
          <w:p>
            <w:r>
              <w:rPr>
                <w:color w:val="1E293B"/>
                <w:sz w:val="18"/>
                <w:szCs w:val="18"/>
              </w:rPr>
              <w:t xml:space="preserve">Outward Claim Settlement（出立保證求償結算）</w:t>
            </w:r>
          </w:p>
        </w:tc>
        <w:tc>
          <w:tcPr>
            <w:tcW w:type="dxa" w:w="4400"/>
            <w:tcMar>
              <w:top w:type="dxa" w:w="80"/>
              <w:left w:type="dxa" w:w="100"/>
              <w:bottom w:type="dxa" w:w="80"/>
              <w:right w:type="dxa" w:w="100"/>
            </w:tcMar>
          </w:tcPr>
          <w:p>
            <w:r>
              <w:rPr>
                <w:color w:val="1E293B"/>
                <w:sz w:val="18"/>
                <w:szCs w:val="18"/>
              </w:rPr>
              <w:t xml:space="preserve">受益人依保證函提出有效求償，銀行先行付款，再向本行申請人／客戶求償。</w:t>
            </w:r>
          </w:p>
        </w:tc>
        <w:tc>
          <w:tcPr>
            <w:tcW w:type="dxa" w:w="1350"/>
            <w:tcMar>
              <w:top w:type="dxa" w:w="80"/>
              <w:left w:type="dxa" w:w="100"/>
              <w:bottom w:type="dxa" w:w="80"/>
              <w:right w:type="dxa" w:w="100"/>
            </w:tcMar>
          </w:tcPr>
          <w:p>
            <w:r>
              <w:rPr>
                <w:color w:val="1E293B"/>
                <w:sz w:val="18"/>
                <w:szCs w:val="18"/>
              </w:rPr>
              <w:t xml:space="preserve">Nostro A/C</w:t>
            </w:r>
          </w:p>
        </w:tc>
        <w:tc>
          <w:tcPr>
            <w:tcW w:type="dxa" w:w="1700"/>
            <w:tcMar>
              <w:top w:type="dxa" w:w="80"/>
              <w:left w:type="dxa" w:w="100"/>
              <w:bottom w:type="dxa" w:w="80"/>
              <w:right w:type="dxa" w:w="100"/>
            </w:tcMar>
          </w:tcPr>
          <w:p>
            <w:r>
              <w:rPr>
                <w:color w:val="1E293B"/>
                <w:sz w:val="18"/>
                <w:szCs w:val="18"/>
              </w:rPr>
              <w:t xml:space="preserve">Vostro A/C</w:t>
            </w:r>
          </w:p>
        </w:tc>
      </w:tr>
    </w:tbl>
    <w:p>
      <w:pPr>
        <w:spacing w:after="120" w:before="40"/>
      </w:pPr>
      <w:r>
        <w:rPr>
          <w:i/>
          <w:iCs/>
          <w:color w:val="64748B"/>
          <w:sz w:val="16"/>
          <w:szCs w:val="16"/>
        </w:rPr>
        <w:t xml:space="preserve">Outward Claim Settlement（出立保證求償結算） —— 來源引用：</w:t>
      </w:r>
      <w:r>
        <w:rPr>
          <w:i/>
          <w:iCs/>
          <w:color w:val="64748B"/>
          <w:sz w:val="16"/>
          <w:szCs w:val="16"/>
        </w:rPr>
        <w:t xml:space="preserve">SYF_GTEE_OutwardClaimSettlement.js:43</w:t>
      </w:r>
    </w:p>
    <w:p>
      <w:pPr>
        <w:pStyle w:val="Heading2"/>
        <w:spacing w:after="140" w:before="280"/>
      </w:pPr>
      <w:r>
        <w:rPr>
          <w:color w:val="2563EB"/>
        </w:rPr>
        <w:t xml:space="preserve">IWGT — 收到保證函</w:t>
      </w:r>
    </w:p>
    <w:p>
      <w:pPr>
        <w:spacing w:after="160"/>
      </w:pPr>
      <w:r>
        <w:t xml:space="preserve">IWGT 為反擔保的一方：本行擔任海外往來行所出立保證函的反擔保行或通知／保兌行，以 Vostro 關係代表該往來行。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1350"/>
        <w:gridCol w:w="170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功能</w:t>
            </w:r>
          </w:p>
        </w:tc>
        <w:tc>
          <w:tcPr>
            <w:tcW w:type="dxa" w:w="4400"/>
            <w:shd w:fill="1E3A8A" w:val="clear"/>
            <w:tcMar>
              <w:top w:type="dxa" w:w="80"/>
              <w:left w:type="dxa" w:w="100"/>
              <w:bottom w:type="dxa" w:w="80"/>
              <w:right w:type="dxa" w:w="100"/>
            </w:tcMar>
          </w:tcPr>
          <w:p>
            <w:r>
              <w:rPr>
                <w:b/>
                <w:bCs/>
                <w:color w:val="FFFFFF"/>
                <w:sz w:val="18"/>
                <w:szCs w:val="18"/>
              </w:rPr>
              <w:t xml:space="preserve">業務情境</w:t>
            </w:r>
          </w:p>
        </w:tc>
        <w:tc>
          <w:tcPr>
            <w:tcW w:type="dxa" w:w="1350"/>
            <w:shd w:fill="1E3A8A" w:val="clear"/>
            <w:tcMar>
              <w:top w:type="dxa" w:w="80"/>
              <w:left w:type="dxa" w:w="100"/>
              <w:bottom w:type="dxa" w:w="80"/>
              <w:right w:type="dxa" w:w="100"/>
            </w:tcMar>
          </w:tcPr>
          <w:p>
            <w:r>
              <w:rPr>
                <w:b/>
                <w:bCs/>
                <w:color w:val="FFFFFF"/>
                <w:sz w:val="18"/>
                <w:szCs w:val="18"/>
              </w:rPr>
              <w:t xml:space="preserve">借方（Dr）</w:t>
            </w:r>
          </w:p>
        </w:tc>
        <w:tc>
          <w:tcPr>
            <w:tcW w:type="dxa" w:w="1700"/>
            <w:shd w:fill="1E3A8A" w:val="clear"/>
            <w:tcMar>
              <w:top w:type="dxa" w:w="80"/>
              <w:left w:type="dxa" w:w="100"/>
              <w:bottom w:type="dxa" w:w="80"/>
              <w:right w:type="dxa" w:w="100"/>
            </w:tcMar>
          </w:tcPr>
          <w:p>
            <w:r>
              <w:rPr>
                <w:b/>
                <w:bCs/>
                <w:color w:val="FFFFFF"/>
                <w:sz w:val="18"/>
                <w:szCs w:val="18"/>
              </w:rPr>
              <w:t xml:space="preserve">貸方（Cr）</w:t>
            </w:r>
          </w:p>
        </w:tc>
      </w:tr>
      <w:tr>
        <w:tc>
          <w:tcPr>
            <w:tcW w:type="dxa" w:w="1900"/>
            <w:tcMar>
              <w:top w:type="dxa" w:w="80"/>
              <w:left w:type="dxa" w:w="100"/>
              <w:bottom w:type="dxa" w:w="80"/>
              <w:right w:type="dxa" w:w="100"/>
            </w:tcMar>
          </w:tcPr>
          <w:p>
            <w:r>
              <w:rPr>
                <w:color w:val="1E293B"/>
                <w:sz w:val="18"/>
                <w:szCs w:val="18"/>
              </w:rPr>
              <w:t xml:space="preserve">Settle Inward Claim（收到求償結算）</w:t>
            </w:r>
          </w:p>
        </w:tc>
        <w:tc>
          <w:tcPr>
            <w:tcW w:type="dxa" w:w="4400"/>
            <w:tcMar>
              <w:top w:type="dxa" w:w="80"/>
              <w:left w:type="dxa" w:w="100"/>
              <w:bottom w:type="dxa" w:w="80"/>
              <w:right w:type="dxa" w:w="100"/>
            </w:tcMar>
          </w:tcPr>
          <w:p>
            <w:r>
              <w:rPr>
                <w:color w:val="1E293B"/>
                <w:sz w:val="18"/>
                <w:szCs w:val="18"/>
              </w:rPr>
              <w:t xml:space="preserve">收到轉入保證函項下的求償並付款，銀行再向出具原始保證函的往來行求償。僅當保證函的出立方式為「Issue」（而非「Advice」）時才會產生 Liability Voucher——單純通知性質的保證函在此不產生負債分錄。</w:t>
            </w:r>
          </w:p>
        </w:tc>
        <w:tc>
          <w:tcPr>
            <w:tcW w:type="dxa" w:w="1350"/>
            <w:tcMar>
              <w:top w:type="dxa" w:w="80"/>
              <w:left w:type="dxa" w:w="100"/>
              <w:bottom w:type="dxa" w:w="80"/>
              <w:right w:type="dxa" w:w="100"/>
            </w:tcMar>
          </w:tcPr>
          <w:p>
            <w:r>
              <w:rPr>
                <w:color w:val="1E293B"/>
                <w:sz w:val="18"/>
                <w:szCs w:val="18"/>
              </w:rPr>
              <w:t xml:space="preserve">Vostro A/C</w:t>
            </w:r>
          </w:p>
        </w:tc>
        <w:tc>
          <w:tcPr>
            <w:tcW w:type="dxa" w:w="1700"/>
            <w:tcMar>
              <w:top w:type="dxa" w:w="80"/>
              <w:left w:type="dxa" w:w="100"/>
              <w:bottom w:type="dxa" w:w="80"/>
              <w:right w:type="dxa" w:w="100"/>
            </w:tcMar>
          </w:tcPr>
          <w:p>
            <w:r>
              <w:rPr>
                <w:color w:val="1E293B"/>
                <w:sz w:val="18"/>
                <w:szCs w:val="18"/>
              </w:rPr>
              <w:t xml:space="preserve">Customer A/C</w:t>
            </w:r>
          </w:p>
        </w:tc>
      </w:tr>
    </w:tbl>
    <w:p>
      <w:pPr>
        <w:spacing w:after="120" w:before="40"/>
      </w:pPr>
      <w:r>
        <w:rPr>
          <w:i/>
          <w:iCs/>
          <w:color w:val="64748B"/>
          <w:sz w:val="16"/>
          <w:szCs w:val="16"/>
        </w:rPr>
        <w:t xml:space="preserve">Settle Inward Claim（收到求償結算） —— 來源引用：</w:t>
      </w:r>
      <w:r>
        <w:rPr>
          <w:i/>
          <w:iCs/>
          <w:color w:val="64748B"/>
          <w:sz w:val="16"/>
          <w:szCs w:val="16"/>
        </w:rPr>
        <w:t xml:space="preserve">SYF_IWGT_SettleInwClaim.js:49</w:t>
      </w:r>
    </w:p>
    <w:p>
      <w:pPr>
        <w:pStyle w:val="Heading2"/>
        <w:spacing w:after="140" w:before="280"/>
      </w:pPr>
      <w:r>
        <w:rPr>
          <w:color w:val="2563EB"/>
        </w:rPr>
        <w:t xml:space="preserve">RPFM — 風險參貸融資（部分整合）</w:t>
      </w:r>
    </w:p>
    <w:p>
      <w:pPr>
        <w:spacing w:after="160"/>
      </w:pPr>
      <w:r>
        <w:t xml:space="preserve">風險參貸讓本行（持有基礎貿易融資授信的「發起行 Grantor」）將部分曝險出售給另一家銀行（「參貸行 Participant」）以換取資金，並分攤資金成本與信用風險。RPFM 全部四個 Confirm 功能都會填入其借／貸分錄——包括 RPFM 專屬的 RTGS 境內清算指示——但都未呼叫任何 Payment Component 分錄組裝流程，因此本組件可以對交易分類（Payment Component 識別規則），卻無法端到端 Confirm／過帳。這是已記錄的 GAP，不是缺陷：反映的是現行遺留系統本身的限制；以下四個功能中有三個，經深入溯源後發現，實際資金情境也找不到其他過帳機制——這是遺留系統本身的真實缺口，與本次整合無關。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1350"/>
        <w:gridCol w:w="170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功能</w:t>
            </w:r>
          </w:p>
        </w:tc>
        <w:tc>
          <w:tcPr>
            <w:tcW w:type="dxa" w:w="4400"/>
            <w:shd w:fill="1E3A8A" w:val="clear"/>
            <w:tcMar>
              <w:top w:type="dxa" w:w="80"/>
              <w:left w:type="dxa" w:w="100"/>
              <w:bottom w:type="dxa" w:w="80"/>
              <w:right w:type="dxa" w:w="100"/>
            </w:tcMar>
          </w:tcPr>
          <w:p>
            <w:r>
              <w:rPr>
                <w:b/>
                <w:bCs/>
                <w:color w:val="FFFFFF"/>
                <w:sz w:val="18"/>
                <w:szCs w:val="18"/>
              </w:rPr>
              <w:t xml:space="preserve">業務情境</w:t>
            </w:r>
          </w:p>
        </w:tc>
        <w:tc>
          <w:tcPr>
            <w:tcW w:type="dxa" w:w="1350"/>
            <w:shd w:fill="1E3A8A" w:val="clear"/>
            <w:tcMar>
              <w:top w:type="dxa" w:w="80"/>
              <w:left w:type="dxa" w:w="100"/>
              <w:bottom w:type="dxa" w:w="80"/>
              <w:right w:type="dxa" w:w="100"/>
            </w:tcMar>
          </w:tcPr>
          <w:p>
            <w:r>
              <w:rPr>
                <w:b/>
                <w:bCs/>
                <w:color w:val="FFFFFF"/>
                <w:sz w:val="18"/>
                <w:szCs w:val="18"/>
              </w:rPr>
              <w:t xml:space="preserve">借方（Dr）</w:t>
            </w:r>
          </w:p>
        </w:tc>
        <w:tc>
          <w:tcPr>
            <w:tcW w:type="dxa" w:w="1700"/>
            <w:shd w:fill="1E3A8A" w:val="clear"/>
            <w:tcMar>
              <w:top w:type="dxa" w:w="80"/>
              <w:left w:type="dxa" w:w="100"/>
              <w:bottom w:type="dxa" w:w="80"/>
              <w:right w:type="dxa" w:w="100"/>
            </w:tcMar>
          </w:tcPr>
          <w:p>
            <w:r>
              <w:rPr>
                <w:b/>
                <w:bCs/>
                <w:color w:val="FFFFFF"/>
                <w:sz w:val="18"/>
                <w:szCs w:val="18"/>
              </w:rPr>
              <w:t xml:space="preserve">貸方（Cr）</w:t>
            </w:r>
          </w:p>
        </w:tc>
      </w:tr>
      <w:tr>
        <w:tc>
          <w:tcPr>
            <w:tcW w:type="dxa" w:w="1900"/>
            <w:tcMar>
              <w:top w:type="dxa" w:w="80"/>
              <w:left w:type="dxa" w:w="100"/>
              <w:bottom w:type="dxa" w:w="80"/>
              <w:right w:type="dxa" w:w="100"/>
            </w:tcMar>
          </w:tcPr>
          <w:p>
            <w:r>
              <w:rPr>
                <w:color w:val="1E293B"/>
                <w:sz w:val="18"/>
                <w:szCs w:val="18"/>
              </w:rPr>
              <w:t xml:space="preserve">Process Grantor（處理發起行）（GAP）</w:t>
            </w:r>
          </w:p>
        </w:tc>
        <w:tc>
          <w:tcPr>
            <w:tcW w:type="dxa" w:w="4400"/>
            <w:tcMar>
              <w:top w:type="dxa" w:w="80"/>
              <w:left w:type="dxa" w:w="100"/>
              <w:bottom w:type="dxa" w:w="80"/>
              <w:right w:type="dxa" w:w="100"/>
            </w:tcMar>
          </w:tcPr>
          <w:p>
            <w:r>
              <w:rPr>
                <w:color w:val="1E293B"/>
                <w:sz w:val="18"/>
                <w:szCs w:val="18"/>
              </w:rPr>
              <w:t xml:space="preserve">發起行收到參貸行就其出售曝險所提供的資金。</w:t>
            </w:r>
          </w:p>
        </w:tc>
        <w:tc>
          <w:tcPr>
            <w:tcW w:type="dxa" w:w="1350"/>
            <w:tcMar>
              <w:top w:type="dxa" w:w="80"/>
              <w:left w:type="dxa" w:w="100"/>
              <w:bottom w:type="dxa" w:w="80"/>
              <w:right w:type="dxa" w:w="100"/>
            </w:tcMar>
          </w:tcPr>
          <w:p>
            <w:r>
              <w:rPr>
                <w:color w:val="1E293B"/>
                <w:sz w:val="18"/>
                <w:szCs w:val="18"/>
              </w:rPr>
              <w:t xml:space="preserve">Nostro/RTGS A/C</w:t>
            </w:r>
          </w:p>
        </w:tc>
        <w:tc>
          <w:tcPr>
            <w:tcW w:type="dxa" w:w="1700"/>
            <w:tcMar>
              <w:top w:type="dxa" w:w="80"/>
              <w:left w:type="dxa" w:w="100"/>
              <w:bottom w:type="dxa" w:w="80"/>
              <w:right w:type="dxa" w:w="100"/>
            </w:tcMar>
          </w:tcPr>
          <w:p>
            <w:r>
              <w:rPr>
                <w:color w:val="1E293B"/>
                <w:sz w:val="18"/>
                <w:szCs w:val="18"/>
              </w:rPr>
              <w:t xml:space="preserve">Internal A/C（「參貸資金應付」）</w:t>
            </w:r>
          </w:p>
        </w:tc>
      </w:tr>
      <w:tr>
        <w:tc>
          <w:tcPr>
            <w:tcW w:type="dxa" w:w="1900"/>
            <w:tcMar>
              <w:top w:type="dxa" w:w="80"/>
              <w:left w:type="dxa" w:w="100"/>
              <w:bottom w:type="dxa" w:w="80"/>
              <w:right w:type="dxa" w:w="100"/>
            </w:tcMar>
          </w:tcPr>
          <w:p>
            <w:r>
              <w:rPr>
                <w:color w:val="1E293B"/>
                <w:sz w:val="18"/>
                <w:szCs w:val="18"/>
              </w:rPr>
              <w:t xml:space="preserve">Repay Grantor（償還發起行）（GAP）</w:t>
            </w:r>
          </w:p>
        </w:tc>
        <w:tc>
          <w:tcPr>
            <w:tcW w:type="dxa" w:w="4400"/>
            <w:tcMar>
              <w:top w:type="dxa" w:w="80"/>
              <w:left w:type="dxa" w:w="100"/>
              <w:bottom w:type="dxa" w:w="80"/>
              <w:right w:type="dxa" w:w="100"/>
            </w:tcMar>
          </w:tcPr>
          <w:p>
            <w:r>
              <w:rPr>
                <w:color w:val="1E293B"/>
                <w:sz w:val="18"/>
                <w:szCs w:val="18"/>
              </w:rPr>
              <w:t xml:space="preserve">發起行償還參貸行的出資，或（鏡像情境）將借款人還款按比例撥付予參貸行。</w:t>
            </w:r>
          </w:p>
        </w:tc>
        <w:tc>
          <w:tcPr>
            <w:tcW w:type="dxa" w:w="1350"/>
            <w:tcMar>
              <w:top w:type="dxa" w:w="80"/>
              <w:left w:type="dxa" w:w="100"/>
              <w:bottom w:type="dxa" w:w="80"/>
              <w:right w:type="dxa" w:w="100"/>
            </w:tcMar>
          </w:tcPr>
          <w:p>
            <w:r>
              <w:rPr>
                <w:color w:val="1E293B"/>
                <w:sz w:val="18"/>
                <w:szCs w:val="18"/>
              </w:rPr>
              <w:t xml:space="preserve">Nostro/RTGS A/C</w:t>
            </w:r>
          </w:p>
        </w:tc>
        <w:tc>
          <w:tcPr>
            <w:tcW w:type="dxa" w:w="1700"/>
            <w:tcMar>
              <w:top w:type="dxa" w:w="80"/>
              <w:left w:type="dxa" w:w="100"/>
              <w:bottom w:type="dxa" w:w="80"/>
              <w:right w:type="dxa" w:w="100"/>
            </w:tcMar>
          </w:tcPr>
          <w:p>
            <w:r>
              <w:rPr>
                <w:color w:val="1E293B"/>
                <w:sz w:val="18"/>
                <w:szCs w:val="18"/>
              </w:rPr>
              <w:t xml:space="preserve">Internal A/C</w:t>
            </w:r>
          </w:p>
        </w:tc>
      </w:tr>
      <w:tr>
        <w:tc>
          <w:tcPr>
            <w:tcW w:type="dxa" w:w="1900"/>
            <w:tcMar>
              <w:top w:type="dxa" w:w="80"/>
              <w:left w:type="dxa" w:w="100"/>
              <w:bottom w:type="dxa" w:w="80"/>
              <w:right w:type="dxa" w:w="100"/>
            </w:tcMar>
          </w:tcPr>
          <w:p>
            <w:r>
              <w:rPr>
                <w:color w:val="1E293B"/>
                <w:sz w:val="18"/>
                <w:szCs w:val="18"/>
              </w:rPr>
              <w:t xml:space="preserve">Process Participant（處理參貸行）（GAP）</w:t>
            </w:r>
          </w:p>
        </w:tc>
        <w:tc>
          <w:tcPr>
            <w:tcW w:type="dxa" w:w="4400"/>
            <w:tcMar>
              <w:top w:type="dxa" w:w="80"/>
              <w:left w:type="dxa" w:w="100"/>
              <w:bottom w:type="dxa" w:w="80"/>
              <w:right w:type="dxa" w:w="100"/>
            </w:tcMar>
          </w:tcPr>
          <w:p>
            <w:r>
              <w:rPr>
                <w:color w:val="1E293B"/>
                <w:sz w:val="18"/>
                <w:szCs w:val="18"/>
              </w:rPr>
              <w:t xml:space="preserve">參貸行將其應出資比例匯付予發起行。</w:t>
            </w:r>
          </w:p>
        </w:tc>
        <w:tc>
          <w:tcPr>
            <w:tcW w:type="dxa" w:w="1350"/>
            <w:tcMar>
              <w:top w:type="dxa" w:w="80"/>
              <w:left w:type="dxa" w:w="100"/>
              <w:bottom w:type="dxa" w:w="80"/>
              <w:right w:type="dxa" w:w="100"/>
            </w:tcMar>
          </w:tcPr>
          <w:p>
            <w:r>
              <w:rPr>
                <w:color w:val="1E293B"/>
                <w:sz w:val="18"/>
                <w:szCs w:val="18"/>
              </w:rPr>
              <w:t xml:space="preserve">Internal A/C</w:t>
            </w:r>
          </w:p>
        </w:tc>
        <w:tc>
          <w:tcPr>
            <w:tcW w:type="dxa" w:w="1700"/>
            <w:tcMar>
              <w:top w:type="dxa" w:w="80"/>
              <w:left w:type="dxa" w:w="100"/>
              <w:bottom w:type="dxa" w:w="80"/>
              <w:right w:type="dxa" w:w="100"/>
            </w:tcMar>
          </w:tcPr>
          <w:p>
            <w:r>
              <w:rPr>
                <w:color w:val="1E293B"/>
                <w:sz w:val="18"/>
                <w:szCs w:val="18"/>
              </w:rPr>
              <w:t xml:space="preserve">Nostro/RTGS A/C</w:t>
            </w:r>
          </w:p>
        </w:tc>
      </w:tr>
      <w:tr>
        <w:tc>
          <w:tcPr>
            <w:tcW w:type="dxa" w:w="1900"/>
            <w:tcMar>
              <w:top w:type="dxa" w:w="80"/>
              <w:left w:type="dxa" w:w="100"/>
              <w:bottom w:type="dxa" w:w="80"/>
              <w:right w:type="dxa" w:w="100"/>
            </w:tcMar>
          </w:tcPr>
          <w:p>
            <w:r>
              <w:rPr>
                <w:color w:val="1E293B"/>
                <w:sz w:val="18"/>
                <w:szCs w:val="18"/>
              </w:rPr>
              <w:t xml:space="preserve">Settle Participant（結算參貸行）（GAP）</w:t>
            </w:r>
          </w:p>
        </w:tc>
        <w:tc>
          <w:tcPr>
            <w:tcW w:type="dxa" w:w="4400"/>
            <w:tcMar>
              <w:top w:type="dxa" w:w="80"/>
              <w:left w:type="dxa" w:w="100"/>
              <w:bottom w:type="dxa" w:w="80"/>
              <w:right w:type="dxa" w:w="100"/>
            </w:tcMar>
          </w:tcPr>
          <w:p>
            <w:r>
              <w:rPr>
                <w:color w:val="1E293B"/>
                <w:sz w:val="18"/>
                <w:szCs w:val="18"/>
              </w:rPr>
              <w:t xml:space="preserve">參貸行於到期或結算時收取本金及／或利息（預付制或後付制計息方式）。</w:t>
            </w:r>
          </w:p>
        </w:tc>
        <w:tc>
          <w:tcPr>
            <w:tcW w:type="dxa" w:w="1350"/>
            <w:tcMar>
              <w:top w:type="dxa" w:w="80"/>
              <w:left w:type="dxa" w:w="100"/>
              <w:bottom w:type="dxa" w:w="80"/>
              <w:right w:type="dxa" w:w="100"/>
            </w:tcMar>
          </w:tcPr>
          <w:p>
            <w:r>
              <w:rPr>
                <w:color w:val="1E293B"/>
                <w:sz w:val="18"/>
                <w:szCs w:val="18"/>
              </w:rPr>
              <w:t xml:space="preserve">Nostro/RTGS A/C</w:t>
            </w:r>
          </w:p>
        </w:tc>
        <w:tc>
          <w:tcPr>
            <w:tcW w:type="dxa" w:w="1700"/>
            <w:tcMar>
              <w:top w:type="dxa" w:w="80"/>
              <w:left w:type="dxa" w:w="100"/>
              <w:bottom w:type="dxa" w:w="80"/>
              <w:right w:type="dxa" w:w="100"/>
            </w:tcMar>
          </w:tcPr>
          <w:p>
            <w:r>
              <w:rPr>
                <w:color w:val="1E293B"/>
                <w:sz w:val="18"/>
                <w:szCs w:val="18"/>
              </w:rPr>
              <w:t xml:space="preserve">Internal A/C</w:t>
            </w:r>
          </w:p>
        </w:tc>
      </w:tr>
    </w:tbl>
    <w:p>
      <w:pPr>
        <w:spacing w:after="120" w:before="40"/>
      </w:pPr>
      <w:r>
        <w:rPr>
          <w:i/>
          <w:iCs/>
          <w:color w:val="64748B"/>
          <w:sz w:val="16"/>
          <w:szCs w:val="16"/>
        </w:rPr>
        <w:t xml:space="preserve">Process Grantor（處理發起行） —— 來源引用：</w:t>
      </w:r>
      <w:r>
        <w:rPr>
          <w:i/>
          <w:iCs/>
          <w:color w:val="64748B"/>
          <w:sz w:val="16"/>
          <w:szCs w:val="16"/>
        </w:rPr>
        <w:t xml:space="preserve">SYF_RPFM_ProcessGrantor.js——分錄已填入，但此確切事件目前已透過另一套獨立、可運作的非 Payment Component 傳票範本完整過帳</w:t>
      </w:r>
    </w:p>
    <w:p>
      <w:pPr>
        <w:spacing w:after="120" w:before="40"/>
      </w:pPr>
      <w:r>
        <w:rPr>
          <w:i/>
          <w:iCs/>
          <w:color w:val="64748B"/>
          <w:sz w:val="16"/>
          <w:szCs w:val="16"/>
        </w:rPr>
        <w:t xml:space="preserve">Repay Grantor（償還發起行） —— 來源引用：</w:t>
      </w:r>
      <w:r>
        <w:rPr>
          <w:i/>
          <w:iCs/>
          <w:color w:val="64748B"/>
          <w:sz w:val="16"/>
          <w:szCs w:val="16"/>
        </w:rPr>
        <w:t xml:space="preserve">SYF_RPFM_RepayGrantor.js——在現行基準中，實際出資情境似乎完全沒有可運作的過帳機制</w:t>
      </w:r>
    </w:p>
    <w:p>
      <w:pPr>
        <w:spacing w:after="120" w:before="40"/>
      </w:pPr>
      <w:r>
        <w:rPr>
          <w:i/>
          <w:iCs/>
          <w:color w:val="64748B"/>
          <w:sz w:val="16"/>
          <w:szCs w:val="16"/>
        </w:rPr>
        <w:t xml:space="preserve">Process Participant（處理參貸行） —— 來源引用：</w:t>
      </w:r>
      <w:r>
        <w:rPr>
          <w:i/>
          <w:iCs/>
          <w:color w:val="64748B"/>
          <w:sz w:val="16"/>
          <w:szCs w:val="16"/>
        </w:rPr>
        <w:t xml:space="preserve">SYF_RPFM_ProcessParticipant.js:59——此借貸配對似乎沒有可運作的過帳機制</w:t>
      </w:r>
    </w:p>
    <w:p>
      <w:pPr>
        <w:spacing w:after="120" w:before="40"/>
      </w:pPr>
      <w:r>
        <w:rPr>
          <w:i/>
          <w:iCs/>
          <w:color w:val="64748B"/>
          <w:sz w:val="16"/>
          <w:szCs w:val="16"/>
        </w:rPr>
        <w:t xml:space="preserve">Settle Participant（結算參貸行） —— 來源引用：</w:t>
      </w:r>
      <w:r>
        <w:rPr>
          <w:i/>
          <w:iCs/>
          <w:color w:val="64748B"/>
          <w:sz w:val="16"/>
          <w:szCs w:val="16"/>
        </w:rPr>
        <w:t xml:space="preserve">SYF_RPFM_SettleParticipant.js:583——唯一可能承載此事件的傳票範本在現行基準中已被註解停用或格式有誤</w:t>
      </w:r>
    </w:p>
    <w:p>
      <w:pPr>
        <w:pStyle w:val="Heading2"/>
        <w:spacing w:after="140" w:before="280"/>
      </w:pPr>
      <w:r>
        <w:rPr>
          <w:color w:val="2563EB"/>
        </w:rPr>
        <w:t xml:space="preserve">CFNC／SBLC／REIM／PYMT — 已確認非使用方</w:t>
      </w:r>
    </w:p>
    <w:p>
      <w:pPr>
        <w:spacing w:after="160"/>
      </w:pPr>
      <w:r>
        <w:t xml:space="preserve">為求完整性，本文件也納入這四個模組——明確以源碼驗證的方式陳述它們並未使用 Payment Component，而不是留下懸而未決的疑問。每個模組各自代表一塊刻意由其他機制處理結算邏輯的業務領域：</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1350"/>
        <w:gridCol w:w="170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功能</w:t>
            </w:r>
          </w:p>
        </w:tc>
        <w:tc>
          <w:tcPr>
            <w:tcW w:type="dxa" w:w="4400"/>
            <w:shd w:fill="1E3A8A" w:val="clear"/>
            <w:tcMar>
              <w:top w:type="dxa" w:w="80"/>
              <w:left w:type="dxa" w:w="100"/>
              <w:bottom w:type="dxa" w:w="80"/>
              <w:right w:type="dxa" w:w="100"/>
            </w:tcMar>
          </w:tcPr>
          <w:p>
            <w:r>
              <w:rPr>
                <w:b/>
                <w:bCs/>
                <w:color w:val="FFFFFF"/>
                <w:sz w:val="18"/>
                <w:szCs w:val="18"/>
              </w:rPr>
              <w:t xml:space="preserve">業務情境</w:t>
            </w:r>
          </w:p>
        </w:tc>
        <w:tc>
          <w:tcPr>
            <w:tcW w:type="dxa" w:w="1350"/>
            <w:shd w:fill="1E3A8A" w:val="clear"/>
            <w:tcMar>
              <w:top w:type="dxa" w:w="80"/>
              <w:left w:type="dxa" w:w="100"/>
              <w:bottom w:type="dxa" w:w="80"/>
              <w:right w:type="dxa" w:w="100"/>
            </w:tcMar>
          </w:tcPr>
          <w:p>
            <w:r>
              <w:rPr>
                <w:b/>
                <w:bCs/>
                <w:color w:val="FFFFFF"/>
                <w:sz w:val="18"/>
                <w:szCs w:val="18"/>
              </w:rPr>
              <w:t xml:space="preserve">借方（Dr）</w:t>
            </w:r>
          </w:p>
        </w:tc>
        <w:tc>
          <w:tcPr>
            <w:tcW w:type="dxa" w:w="1700"/>
            <w:shd w:fill="1E3A8A" w:val="clear"/>
            <w:tcMar>
              <w:top w:type="dxa" w:w="80"/>
              <w:left w:type="dxa" w:w="100"/>
              <w:bottom w:type="dxa" w:w="80"/>
              <w:right w:type="dxa" w:w="100"/>
            </w:tcMar>
          </w:tcPr>
          <w:p>
            <w:r>
              <w:rPr>
                <w:b/>
                <w:bCs/>
                <w:color w:val="FFFFFF"/>
                <w:sz w:val="18"/>
                <w:szCs w:val="18"/>
              </w:rPr>
              <w:t xml:space="preserve">貸方（Cr）</w:t>
            </w:r>
          </w:p>
        </w:tc>
      </w:tr>
      <w:tr>
        <w:tc>
          <w:tcPr>
            <w:tcW w:type="dxa" w:w="1900"/>
            <w:tcMar>
              <w:top w:type="dxa" w:w="80"/>
              <w:left w:type="dxa" w:w="100"/>
              <w:bottom w:type="dxa" w:w="80"/>
              <w:right w:type="dxa" w:w="100"/>
            </w:tcMar>
          </w:tcPr>
          <w:p>
            <w:r>
              <w:rPr>
                <w:color w:val="1E293B"/>
                <w:sz w:val="18"/>
                <w:szCs w:val="18"/>
              </w:rPr>
              <w:t xml:space="preserve">CFNC — 中央財務（N/A）</w:t>
            </w:r>
          </w:p>
        </w:tc>
        <w:tc>
          <w:tcPr>
            <w:tcW w:type="dxa" w:w="4400"/>
            <w:tcMar>
              <w:top w:type="dxa" w:w="80"/>
              <w:left w:type="dxa" w:w="100"/>
              <w:bottom w:type="dxa" w:w="80"/>
              <w:right w:type="dxa" w:w="100"/>
            </w:tcMar>
          </w:tcPr>
          <w:p>
            <w:r>
              <w:rPr>
                <w:color w:val="1E293B"/>
                <w:sz w:val="18"/>
                <w:szCs w:val="18"/>
              </w:rPr>
              <w:t xml:space="preserve">逾期額度處理。8 個 Confirm 層級檔案中，只有一個定義了 Confirm 處理函式，且完全不呼叫任何傳票流程——四者中最徹底的非使用方。</w:t>
            </w:r>
          </w:p>
        </w:tc>
        <w:tc>
          <w:tcPr>
            <w:tcW w:type="dxa" w:w="1350"/>
            <w:tcMar>
              <w:top w:type="dxa" w:w="80"/>
              <w:left w:type="dxa" w:w="100"/>
              <w:bottom w:type="dxa" w:w="80"/>
              <w:right w:type="dxa" w:w="100"/>
            </w:tcMar>
          </w:tcPr>
          <w:p>
            <w:r>
              <w:rPr>
                <w:color w:val="1E293B"/>
                <w:sz w:val="18"/>
                <w:szCs w:val="18"/>
              </w:rPr>
              <w:t xml:space="preserve">—</w:t>
            </w:r>
          </w:p>
        </w:tc>
        <w:tc>
          <w:tcPr>
            <w:tcW w:type="dxa" w:w="1700"/>
            <w:tcMar>
              <w:top w:type="dxa" w:w="80"/>
              <w:left w:type="dxa" w:w="100"/>
              <w:bottom w:type="dxa" w:w="80"/>
              <w:right w:type="dxa" w:w="100"/>
            </w:tcMar>
          </w:tcPr>
          <w:p>
            <w:r>
              <w:rPr>
                <w:color w:val="1E293B"/>
                <w:sz w:val="18"/>
                <w:szCs w:val="18"/>
              </w:rPr>
              <w:t xml:space="preserve">—</w:t>
            </w:r>
          </w:p>
        </w:tc>
      </w:tr>
      <w:tr>
        <w:tc>
          <w:tcPr>
            <w:tcW w:type="dxa" w:w="1900"/>
            <w:tcMar>
              <w:top w:type="dxa" w:w="80"/>
              <w:left w:type="dxa" w:w="100"/>
              <w:bottom w:type="dxa" w:w="80"/>
              <w:right w:type="dxa" w:w="100"/>
            </w:tcMar>
          </w:tcPr>
          <w:p>
            <w:r>
              <w:rPr>
                <w:color w:val="1E293B"/>
                <w:sz w:val="18"/>
                <w:szCs w:val="18"/>
              </w:rPr>
              <w:t xml:space="preserve">SBLC — 備用信用狀（N/A）</w:t>
            </w:r>
          </w:p>
        </w:tc>
        <w:tc>
          <w:tcPr>
            <w:tcW w:type="dxa" w:w="4400"/>
            <w:tcMar>
              <w:top w:type="dxa" w:w="80"/>
              <w:left w:type="dxa" w:w="100"/>
              <w:bottom w:type="dxa" w:w="80"/>
              <w:right w:type="dxa" w:w="100"/>
            </w:tcMar>
          </w:tcPr>
          <w:p>
            <w:r>
              <w:rPr>
                <w:color w:val="1E293B"/>
                <w:sz w:val="18"/>
                <w:szCs w:val="18"/>
              </w:rPr>
              <w:t xml:space="preserve">備用信用狀的開立、修改與求償，透過 SBLC 自身的一般性收費傳票流程過帳，從未進入 Payment Component 的 Dr/Cr 分類。</w:t>
            </w:r>
          </w:p>
        </w:tc>
        <w:tc>
          <w:tcPr>
            <w:tcW w:type="dxa" w:w="1350"/>
            <w:tcMar>
              <w:top w:type="dxa" w:w="80"/>
              <w:left w:type="dxa" w:w="100"/>
              <w:bottom w:type="dxa" w:w="80"/>
              <w:right w:type="dxa" w:w="100"/>
            </w:tcMar>
          </w:tcPr>
          <w:p>
            <w:r>
              <w:rPr>
                <w:color w:val="1E293B"/>
                <w:sz w:val="18"/>
                <w:szCs w:val="18"/>
              </w:rPr>
              <w:t xml:space="preserve">—</w:t>
            </w:r>
          </w:p>
        </w:tc>
        <w:tc>
          <w:tcPr>
            <w:tcW w:type="dxa" w:w="1700"/>
            <w:tcMar>
              <w:top w:type="dxa" w:w="80"/>
              <w:left w:type="dxa" w:w="100"/>
              <w:bottom w:type="dxa" w:w="80"/>
              <w:right w:type="dxa" w:w="100"/>
            </w:tcMar>
          </w:tcPr>
          <w:p>
            <w:r>
              <w:rPr>
                <w:color w:val="1E293B"/>
                <w:sz w:val="18"/>
                <w:szCs w:val="18"/>
              </w:rPr>
              <w:t xml:space="preserve">—</w:t>
            </w:r>
          </w:p>
        </w:tc>
      </w:tr>
      <w:tr>
        <w:tc>
          <w:tcPr>
            <w:tcW w:type="dxa" w:w="1900"/>
            <w:tcMar>
              <w:top w:type="dxa" w:w="80"/>
              <w:left w:type="dxa" w:w="100"/>
              <w:bottom w:type="dxa" w:w="80"/>
              <w:right w:type="dxa" w:w="100"/>
            </w:tcMar>
          </w:tcPr>
          <w:p>
            <w:r>
              <w:rPr>
                <w:color w:val="1E293B"/>
                <w:sz w:val="18"/>
                <w:szCs w:val="18"/>
              </w:rPr>
              <w:t xml:space="preserve">REIM — 償還行（N/A）</w:t>
            </w:r>
          </w:p>
        </w:tc>
        <w:tc>
          <w:tcPr>
            <w:tcW w:type="dxa" w:w="4400"/>
            <w:tcMar>
              <w:top w:type="dxa" w:w="80"/>
              <w:left w:type="dxa" w:w="100"/>
              <w:bottom w:type="dxa" w:w="80"/>
              <w:right w:type="dxa" w:w="100"/>
            </w:tcMar>
          </w:tcPr>
          <w:p>
            <w:r>
              <w:rPr>
                <w:color w:val="1E293B"/>
                <w:sz w:val="18"/>
                <w:szCs w:val="18"/>
              </w:rPr>
              <w:t xml:space="preserve">信用狀求償的償還行往來與收費——完全在 Payment Component 之外處理。</w:t>
            </w:r>
          </w:p>
        </w:tc>
        <w:tc>
          <w:tcPr>
            <w:tcW w:type="dxa" w:w="1350"/>
            <w:tcMar>
              <w:top w:type="dxa" w:w="80"/>
              <w:left w:type="dxa" w:w="100"/>
              <w:bottom w:type="dxa" w:w="80"/>
              <w:right w:type="dxa" w:w="100"/>
            </w:tcMar>
          </w:tcPr>
          <w:p>
            <w:r>
              <w:rPr>
                <w:color w:val="1E293B"/>
                <w:sz w:val="18"/>
                <w:szCs w:val="18"/>
              </w:rPr>
              <w:t xml:space="preserve">—</w:t>
            </w:r>
          </w:p>
        </w:tc>
        <w:tc>
          <w:tcPr>
            <w:tcW w:type="dxa" w:w="1700"/>
            <w:tcMar>
              <w:top w:type="dxa" w:w="80"/>
              <w:left w:type="dxa" w:w="100"/>
              <w:bottom w:type="dxa" w:w="80"/>
              <w:right w:type="dxa" w:w="100"/>
            </w:tcMar>
          </w:tcPr>
          <w:p>
            <w:r>
              <w:rPr>
                <w:color w:val="1E293B"/>
                <w:sz w:val="18"/>
                <w:szCs w:val="18"/>
              </w:rPr>
              <w:t xml:space="preserve">—</w:t>
            </w:r>
          </w:p>
        </w:tc>
      </w:tr>
      <w:tr>
        <w:tc>
          <w:tcPr>
            <w:tcW w:type="dxa" w:w="1900"/>
            <w:tcMar>
              <w:top w:type="dxa" w:w="80"/>
              <w:left w:type="dxa" w:w="100"/>
              <w:bottom w:type="dxa" w:w="80"/>
              <w:right w:type="dxa" w:w="100"/>
            </w:tcMar>
          </w:tcPr>
          <w:p>
            <w:r>
              <w:rPr>
                <w:color w:val="1E293B"/>
                <w:sz w:val="18"/>
                <w:szCs w:val="18"/>
              </w:rPr>
              <w:t xml:space="preserve">PYMT — IMLC Payment（進口信用狀付款）（N/A）</w:t>
            </w:r>
          </w:p>
        </w:tc>
        <w:tc>
          <w:tcPr>
            <w:tcW w:type="dxa" w:w="4400"/>
            <w:tcMar>
              <w:top w:type="dxa" w:w="80"/>
              <w:left w:type="dxa" w:w="100"/>
              <w:bottom w:type="dxa" w:w="80"/>
              <w:right w:type="dxa" w:w="100"/>
            </w:tcMar>
          </w:tcPr>
          <w:p>
            <w:r>
              <w:rPr>
                <w:color w:val="1E293B"/>
                <w:sz w:val="18"/>
                <w:szCs w:val="18"/>
              </w:rPr>
              <w:t xml:space="preserve">一個舊有的「支付跟單提示」畫面，功能上已被上述 IPLC/EPLC 流程取代——僅產生一組參考編號與一般性收費傳票。</w:t>
            </w:r>
          </w:p>
        </w:tc>
        <w:tc>
          <w:tcPr>
            <w:tcW w:type="dxa" w:w="1350"/>
            <w:tcMar>
              <w:top w:type="dxa" w:w="80"/>
              <w:left w:type="dxa" w:w="100"/>
              <w:bottom w:type="dxa" w:w="80"/>
              <w:right w:type="dxa" w:w="100"/>
            </w:tcMar>
          </w:tcPr>
          <w:p>
            <w:r>
              <w:rPr>
                <w:color w:val="1E293B"/>
                <w:sz w:val="18"/>
                <w:szCs w:val="18"/>
              </w:rPr>
              <w:t xml:space="preserve">—</w:t>
            </w:r>
          </w:p>
        </w:tc>
        <w:tc>
          <w:tcPr>
            <w:tcW w:type="dxa" w:w="1700"/>
            <w:tcMar>
              <w:top w:type="dxa" w:w="80"/>
              <w:left w:type="dxa" w:w="100"/>
              <w:bottom w:type="dxa" w:w="80"/>
              <w:right w:type="dxa" w:w="100"/>
            </w:tcMar>
          </w:tcPr>
          <w:p>
            <w:r>
              <w:rPr>
                <w:color w:val="1E293B"/>
                <w:sz w:val="18"/>
                <w:szCs w:val="18"/>
              </w:rPr>
              <w:t xml:space="preserve">—</w:t>
            </w:r>
          </w:p>
        </w:tc>
      </w:tr>
    </w:tbl>
    <w:p>
      <w:pPr>
        <w:spacing w:after="120" w:before="40"/>
      </w:pPr>
      <w:r>
        <w:rPr>
          <w:i/>
          <w:iCs/>
          <w:color w:val="64748B"/>
          <w:sz w:val="16"/>
          <w:szCs w:val="16"/>
        </w:rPr>
        <w:t xml:space="preserve">CFNC — 中央財務 —— 來源引用：</w:t>
      </w:r>
      <w:r>
        <w:rPr>
          <w:i/>
          <w:iCs/>
          <w:color w:val="64748B"/>
          <w:sz w:val="16"/>
          <w:szCs w:val="16"/>
        </w:rPr>
        <w:t xml:space="preserve">SYF_CFNC_Overdue.js:32–39</w:t>
      </w:r>
    </w:p>
    <w:p>
      <w:pPr>
        <w:spacing w:after="120" w:before="40"/>
      </w:pPr>
      <w:r>
        <w:rPr>
          <w:i/>
          <w:iCs/>
          <w:color w:val="64748B"/>
          <w:sz w:val="16"/>
          <w:szCs w:val="16"/>
        </w:rPr>
        <w:t xml:space="preserve">SBLC — 備用信用狀 —— 來源引用：</w:t>
      </w:r>
      <w:r>
        <w:rPr>
          <w:i/>
          <w:iCs/>
          <w:color w:val="64748B"/>
          <w:sz w:val="16"/>
          <w:szCs w:val="16"/>
        </w:rPr>
        <w:t xml:space="preserve">例如 SYF_SBLC_SBLCIssue.js:334–346</w:t>
      </w:r>
    </w:p>
    <w:p>
      <w:pPr>
        <w:spacing w:after="120" w:before="40"/>
      </w:pPr>
      <w:r>
        <w:rPr>
          <w:i/>
          <w:iCs/>
          <w:color w:val="64748B"/>
          <w:sz w:val="16"/>
          <w:szCs w:val="16"/>
        </w:rPr>
        <w:t xml:space="preserve">REIM — 償還行 —— 來源引用：</w:t>
      </w:r>
      <w:r>
        <w:rPr>
          <w:i/>
          <w:iCs/>
          <w:color w:val="64748B"/>
          <w:sz w:val="16"/>
          <w:szCs w:val="16"/>
        </w:rPr>
        <w:t xml:space="preserve">例如 SYF_REIM_SettleClaim.js:183–207</w:t>
      </w:r>
    </w:p>
    <w:p>
      <w:pPr>
        <w:spacing w:after="120" w:before="40"/>
      </w:pPr>
      <w:r>
        <w:rPr>
          <w:i/>
          <w:iCs/>
          <w:color w:val="64748B"/>
          <w:sz w:val="16"/>
          <w:szCs w:val="16"/>
        </w:rPr>
        <w:t xml:space="preserve">PYMT — IMLC Payment（進口信用狀付款） —— 來源引用：</w:t>
      </w:r>
      <w:r>
        <w:rPr>
          <w:i/>
          <w:iCs/>
          <w:color w:val="64748B"/>
          <w:sz w:val="16"/>
          <w:szCs w:val="16"/>
        </w:rPr>
        <w:t xml:space="preserve">PYMT_IMLCPayment ConfirmBusinessCall:136–144</w:t>
      </w:r>
    </w:p>
    <w:p>
      <w:r>
        <w:br w:type="page"/>
      </w:r>
    </w:p>
    <w:p>
      <w:pPr>
        <w:pStyle w:val="Heading1"/>
        <w:spacing w:after="160" w:before="360"/>
      </w:pPr>
      <w:r>
        <w:rPr>
          <w:color w:val="1E3A8A"/>
        </w:rPr>
        <w:t xml:space="preserve">9. 錯誤處理</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3650"/>
      </w:tblGrid>
      <w:tr>
        <w:trPr>
          <w:tblHeader/>
        </w:trPr>
        <w:tc>
          <w:tcPr>
            <w:tcW w:type="dxa" w:w="1400"/>
            <w:shd w:fill="1E3A8A" w:val="clear"/>
            <w:tcMar>
              <w:top w:type="dxa" w:w="80"/>
              <w:left w:type="dxa" w:w="100"/>
              <w:bottom w:type="dxa" w:w="80"/>
              <w:right w:type="dxa" w:w="100"/>
            </w:tcMar>
          </w:tcPr>
          <w:p>
            <w:r>
              <w:rPr>
                <w:b/>
                <w:bCs/>
                <w:color w:val="FFFFFF"/>
                <w:sz w:val="18"/>
                <w:szCs w:val="18"/>
              </w:rPr>
              <w:t xml:space="preserve">HTTP 狀態碼</w:t>
            </w:r>
          </w:p>
        </w:tc>
        <w:tc>
          <w:tcPr>
            <w:tcW w:type="dxa" w:w="3300"/>
            <w:shd w:fill="1E3A8A" w:val="clear"/>
            <w:tcMar>
              <w:top w:type="dxa" w:w="80"/>
              <w:left w:type="dxa" w:w="100"/>
              <w:bottom w:type="dxa" w:w="80"/>
              <w:right w:type="dxa" w:w="100"/>
            </w:tcMar>
          </w:tcPr>
          <w:p>
            <w:r>
              <w:rPr>
                <w:b/>
                <w:bCs/>
                <w:color w:val="FFFFFF"/>
                <w:sz w:val="18"/>
                <w:szCs w:val="18"/>
              </w:rPr>
              <w:t xml:space="preserve">意涵</w:t>
            </w:r>
          </w:p>
        </w:tc>
        <w:tc>
          <w:tcPr>
            <w:tcW w:type="dxa" w:w="3650"/>
            <w:shd w:fill="1E3A8A" w:val="clear"/>
            <w:tcMar>
              <w:top w:type="dxa" w:w="80"/>
              <w:left w:type="dxa" w:w="100"/>
              <w:bottom w:type="dxa" w:w="80"/>
              <w:right w:type="dxa" w:w="100"/>
            </w:tcMar>
          </w:tcPr>
          <w:p>
            <w:r>
              <w:rPr>
                <w:b/>
                <w:bCs/>
                <w:color w:val="FFFFFF"/>
                <w:sz w:val="18"/>
                <w:szCs w:val="18"/>
              </w:rPr>
              <w:t xml:space="preserve">範例</w:t>
            </w:r>
          </w:p>
        </w:tc>
      </w:tr>
      <w:tr>
        <w:tc>
          <w:tcPr>
            <w:tcW w:type="dxa" w:w="1400"/>
            <w:tcMar>
              <w:top w:type="dxa" w:w="80"/>
              <w:left w:type="dxa" w:w="100"/>
              <w:bottom w:type="dxa" w:w="80"/>
              <w:right w:type="dxa" w:w="100"/>
            </w:tcMar>
          </w:tcPr>
          <w:p>
            <w:r>
              <w:rPr>
                <w:color w:val="1E293B"/>
                <w:sz w:val="18"/>
                <w:szCs w:val="18"/>
              </w:rPr>
              <w:t xml:space="preserve">400</w:t>
            </w:r>
          </w:p>
        </w:tc>
        <w:tc>
          <w:tcPr>
            <w:tcW w:type="dxa" w:w="3300"/>
            <w:tcMar>
              <w:top w:type="dxa" w:w="80"/>
              <w:left w:type="dxa" w:w="100"/>
              <w:bottom w:type="dxa" w:w="80"/>
              <w:right w:type="dxa" w:w="100"/>
            </w:tcMar>
          </w:tcPr>
          <w:p>
            <w:r>
              <w:rPr>
                <w:color w:val="1E293B"/>
                <w:sz w:val="18"/>
                <w:szCs w:val="18"/>
              </w:rPr>
              <w:t xml:space="preserve">請求驗證失敗——欄位格式錯誤或缺漏必填欄位，在任何業務邏輯執行之前即被攔截。</w:t>
            </w:r>
          </w:p>
        </w:tc>
        <w:tc>
          <w:tcPr>
            <w:tcW w:type="dxa" w:w="3650"/>
            <w:tcMar>
              <w:top w:type="dxa" w:w="80"/>
              <w:left w:type="dxa" w:w="100"/>
              <w:bottom w:type="dxa" w:w="80"/>
              <w:right w:type="dxa" w:w="100"/>
            </w:tcMar>
          </w:tcPr>
          <w:p>
            <w:r>
              <w:rPr>
                <w:color w:val="1E293B"/>
                <w:sz w:val="18"/>
                <w:szCs w:val="18"/>
              </w:rPr>
              <w:t xml:space="preserve">分錄缺少 accountType；金額不是合法的十進位字串；creditLegs 為空但未符合 chargeComponentBridge 豁免條件（§7.8）</w:t>
            </w:r>
          </w:p>
        </w:tc>
      </w:tr>
      <w:tr>
        <w:tc>
          <w:tcPr>
            <w:tcW w:type="dxa" w:w="1400"/>
            <w:tcMar>
              <w:top w:type="dxa" w:w="80"/>
              <w:left w:type="dxa" w:w="100"/>
              <w:bottom w:type="dxa" w:w="80"/>
              <w:right w:type="dxa" w:w="100"/>
            </w:tcMar>
          </w:tcPr>
          <w:p>
            <w:r>
              <w:rPr>
                <w:color w:val="1E293B"/>
                <w:sz w:val="18"/>
                <w:szCs w:val="18"/>
              </w:rPr>
              <w:t xml:space="preserve">409</w:t>
            </w:r>
          </w:p>
        </w:tc>
        <w:tc>
          <w:tcPr>
            <w:tcW w:type="dxa" w:w="3300"/>
            <w:tcMar>
              <w:top w:type="dxa" w:w="80"/>
              <w:left w:type="dxa" w:w="100"/>
              <w:bottom w:type="dxa" w:w="80"/>
              <w:right w:type="dxa" w:w="100"/>
            </w:tcMar>
          </w:tcPr>
          <w:p>
            <w:r>
              <w:rPr>
                <w:color w:val="1E293B"/>
                <w:sz w:val="18"/>
                <w:szCs w:val="18"/>
              </w:rPr>
              <w:t xml:space="preserve">業務驗證失敗——請求格式正確，但違反業務規則。</w:t>
            </w:r>
          </w:p>
        </w:tc>
        <w:tc>
          <w:tcPr>
            <w:tcW w:type="dxa" w:w="3650"/>
            <w:tcMar>
              <w:top w:type="dxa" w:w="80"/>
              <w:left w:type="dxa" w:w="100"/>
              <w:bottom w:type="dxa" w:w="80"/>
              <w:right w:type="dxa" w:w="100"/>
            </w:tcMar>
          </w:tcPr>
          <w:p>
            <w:r>
              <w:rPr>
                <w:color w:val="1E293B"/>
                <w:sz w:val="18"/>
                <w:szCs w:val="18"/>
              </w:rPr>
              <w:t xml:space="preserve">LEGS_UNBALANCED（§7.1）；SWIFT 跨欄位驗證失敗（§7.5）</w:t>
            </w:r>
          </w:p>
        </w:tc>
      </w:tr>
      <w:tr>
        <w:tc>
          <w:tcPr>
            <w:tcW w:type="dxa" w:w="1400"/>
            <w:tcMar>
              <w:top w:type="dxa" w:w="80"/>
              <w:left w:type="dxa" w:w="100"/>
              <w:bottom w:type="dxa" w:w="80"/>
              <w:right w:type="dxa" w:w="100"/>
            </w:tcMar>
          </w:tcPr>
          <w:p>
            <w:r>
              <w:rPr>
                <w:color w:val="1E293B"/>
                <w:sz w:val="18"/>
                <w:szCs w:val="18"/>
              </w:rPr>
              <w:t xml:space="preserve">201</w:t>
            </w:r>
          </w:p>
        </w:tc>
        <w:tc>
          <w:tcPr>
            <w:tcW w:type="dxa" w:w="3300"/>
            <w:tcMar>
              <w:top w:type="dxa" w:w="80"/>
              <w:left w:type="dxa" w:w="100"/>
              <w:bottom w:type="dxa" w:w="80"/>
              <w:right w:type="dxa" w:w="100"/>
            </w:tcMar>
          </w:tcPr>
          <w:p>
            <w:r>
              <w:rPr>
                <w:color w:val="1E293B"/>
                <w:sz w:val="18"/>
                <w:szCs w:val="18"/>
              </w:rPr>
              <w:t xml:space="preserve">成功建立並確認一筆全新的付款指示。</w:t>
            </w:r>
          </w:p>
        </w:tc>
        <w:tc>
          <w:tcPr>
            <w:tcW w:type="dxa" w:w="3650"/>
            <w:tcMar>
              <w:top w:type="dxa" w:w="80"/>
              <w:left w:type="dxa" w:w="100"/>
              <w:bottom w:type="dxa" w:w="80"/>
              <w:right w:type="dxa" w:w="100"/>
            </w:tcMar>
          </w:tcPr>
          <w:p>
            <w:r>
              <w:rPr>
                <w:color w:val="1E293B"/>
                <w:sz w:val="18"/>
                <w:szCs w:val="18"/>
              </w:rPr>
              <w:t xml:space="preserve">一組真正全新的（originModule、mainRef、sequence）自然鍵</w:t>
            </w:r>
          </w:p>
        </w:tc>
      </w:tr>
      <w:tr>
        <w:tc>
          <w:tcPr>
            <w:tcW w:type="dxa" w:w="1400"/>
            <w:tcMar>
              <w:top w:type="dxa" w:w="80"/>
              <w:left w:type="dxa" w:w="100"/>
              <w:bottom w:type="dxa" w:w="80"/>
              <w:right w:type="dxa" w:w="100"/>
            </w:tcMar>
          </w:tcPr>
          <w:p>
            <w:r>
              <w:rPr>
                <w:color w:val="1E293B"/>
                <w:sz w:val="18"/>
                <w:szCs w:val="18"/>
              </w:rPr>
              <w:t xml:space="preserve">200</w:t>
            </w:r>
          </w:p>
        </w:tc>
        <w:tc>
          <w:tcPr>
            <w:tcW w:type="dxa" w:w="3300"/>
            <w:tcMar>
              <w:top w:type="dxa" w:w="80"/>
              <w:left w:type="dxa" w:w="100"/>
              <w:bottom w:type="dxa" w:w="80"/>
              <w:right w:type="dxa" w:w="100"/>
            </w:tcMar>
          </w:tcPr>
          <w:p>
            <w:r>
              <w:rPr>
                <w:color w:val="1E293B"/>
                <w:sz w:val="18"/>
                <w:szCs w:val="18"/>
              </w:rPr>
              <w:t xml:space="preserve">冪等重放——原樣回傳既有自然鍵的原始結果。</w:t>
            </w:r>
          </w:p>
        </w:tc>
        <w:tc>
          <w:tcPr>
            <w:tcW w:type="dxa" w:w="3650"/>
            <w:tcMar>
              <w:top w:type="dxa" w:w="80"/>
              <w:left w:type="dxa" w:w="100"/>
              <w:bottom w:type="dxa" w:w="80"/>
              <w:right w:type="dxa" w:w="100"/>
            </w:tcMar>
          </w:tcPr>
          <w:p>
            <w:r>
              <w:rPr>
                <w:color w:val="1E293B"/>
                <w:sz w:val="18"/>
                <w:szCs w:val="18"/>
              </w:rPr>
              <w:t xml:space="preserve">網路逾時後的重複送出</w:t>
            </w:r>
          </w:p>
        </w:tc>
      </w:tr>
    </w:tbl>
    <w:p>
      <w:pPr>
        <w:pStyle w:val="Heading1"/>
        <w:spacing w:after="160" w:before="360"/>
      </w:pPr>
      <w:r>
        <w:rPr>
          <w:color w:val="1E3A8A"/>
        </w:rPr>
        <w:t xml:space="preserve">10. 非功能性需求</w:t>
      </w:r>
    </w:p>
    <w:p>
      <w:pPr>
        <w:spacing w:after="160"/>
      </w:pPr>
      <w:r>
        <w:rPr>
          <w:b/>
          <w:bCs/>
          <w:color w:val="1E293B"/>
        </w:rPr>
        <w:t xml:space="preserve">十進位精度：</w:t>
      </w:r>
      <w:r>
        <w:t xml:space="preserve">所有金額與匯率一律為十進位字串，絕非二進位浮點數——伺服器端運算全程使用任意精度的十進位運算。</w:t>
      </w:r>
    </w:p>
    <w:p>
      <w:pPr>
        <w:spacing w:after="160"/>
      </w:pPr>
      <w:r>
        <w:rPr>
          <w:b/>
          <w:bCs/>
          <w:color w:val="1E293B"/>
        </w:rPr>
        <w:t xml:space="preserve">依幣別平衡：</w:t>
      </w:r>
      <w:r>
        <w:t xml:space="preserve">除了 §7.1 的整體交易幣別餘額檢查之外，Suspense／FX Exchange 橋接（§7.7–§7.8）也確保每張結算傳票逐一幣別平衡，而非只在總額層面平衡。</w:t>
      </w:r>
    </w:p>
    <w:p>
      <w:pPr>
        <w:spacing w:after="160"/>
      </w:pPr>
      <w:r>
        <w:rPr>
          <w:b/>
          <w:bCs/>
          <w:color w:val="1E293B"/>
        </w:rPr>
        <w:t xml:space="preserve">同步、單次呼叫處理：</w:t>
      </w:r>
      <w:r>
        <w:t xml:space="preserve">Confirm 流程的全部五個步驟皆在同一次請求／回應循環內執行——不需要輪詢或後續呼叫即可取得分類、結算分錄或 SWIFT 電文。</w:t>
      </w:r>
    </w:p>
    <w:p>
      <w:pPr>
        <w:spacing w:after="160"/>
      </w:pPr>
      <w:r>
        <w:rPr>
          <w:b/>
          <w:bCs/>
          <w:color w:val="1E293B"/>
        </w:rPr>
        <w:t xml:space="preserve">冪等性／重放安全：</w:t>
      </w:r>
      <w:r>
        <w:t xml:space="preserve">對既有自然鍵的重複送出永遠安全——絕不會重新觸發總帳過帳或產生重複的 SWIFT 輸出（§7.6）。</w:t>
      </w:r>
    </w:p>
    <w:p>
      <w:pPr>
        <w:spacing w:after="160"/>
      </w:pPr>
      <w:r>
        <w:rPr>
          <w:b/>
          <w:bCs/>
          <w:color w:val="1E293B"/>
        </w:rPr>
        <w:t xml:space="preserve">範圍外：匯率解析、洗錢防制／制裁、身分驗證／授權：</w:t>
      </w:r>
      <w:r>
        <w:t xml:space="preserve">明確委由上游系統／閘道處理——本服務假設在被呼叫時，匯率與授權皆已解析完成。</w:t>
      </w:r>
    </w:p>
    <w:p>
      <w:pPr>
        <w:pStyle w:val="Heading1"/>
        <w:spacing w:after="160" w:before="360"/>
      </w:pPr>
      <w:r>
        <w:rPr>
          <w:color w:val="1E3A8A"/>
        </w:rPr>
        <w:t xml:space="preserve">11. 附錄 A——名詞解釋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E3A8A" w:val="clear"/>
            <w:tcMar>
              <w:top w:type="dxa" w:w="80"/>
              <w:left w:type="dxa" w:w="100"/>
              <w:bottom w:type="dxa" w:w="80"/>
              <w:right w:type="dxa" w:w="100"/>
            </w:tcMar>
          </w:tcPr>
          <w:p>
            <w:r>
              <w:rPr>
                <w:b/>
                <w:bCs/>
                <w:color w:val="FFFFFF"/>
                <w:sz w:val="18"/>
                <w:szCs w:val="18"/>
              </w:rPr>
              <w:t xml:space="preserve">名詞</w:t>
            </w:r>
          </w:p>
        </w:tc>
        <w:tc>
          <w:tcPr>
            <w:tcW w:type="dxa" w:w="7150"/>
            <w:shd w:fill="1E3A8A" w:val="clear"/>
            <w:tcMar>
              <w:top w:type="dxa" w:w="80"/>
              <w:left w:type="dxa" w:w="100"/>
              <w:bottom w:type="dxa" w:w="80"/>
              <w:right w:type="dxa" w:w="100"/>
            </w:tcMar>
          </w:tcPr>
          <w:p>
            <w:r>
              <w:rPr>
                <w:b/>
                <w:bCs/>
                <w:color w:val="FFFFFF"/>
                <w:sz w:val="18"/>
                <w:szCs w:val="18"/>
              </w:rPr>
              <w:t xml:space="preserve">意涵</w:t>
            </w:r>
          </w:p>
        </w:tc>
      </w:tr>
      <w:tr>
        <w:tc>
          <w:tcPr>
            <w:tcW w:type="dxa" w:w="2200"/>
            <w:tcMar>
              <w:top w:type="dxa" w:w="80"/>
              <w:left w:type="dxa" w:w="100"/>
              <w:bottom w:type="dxa" w:w="80"/>
              <w:right w:type="dxa" w:w="100"/>
            </w:tcMar>
          </w:tcPr>
          <w:p>
            <w:r>
              <w:rPr>
                <w:color w:val="1E293B"/>
                <w:sz w:val="18"/>
                <w:szCs w:val="18"/>
              </w:rPr>
              <w:t xml:space="preserve">LC</w:t>
            </w:r>
          </w:p>
        </w:tc>
        <w:tc>
          <w:tcPr>
            <w:tcW w:type="dxa" w:w="7150"/>
            <w:tcMar>
              <w:top w:type="dxa" w:w="80"/>
              <w:left w:type="dxa" w:w="100"/>
              <w:bottom w:type="dxa" w:w="80"/>
              <w:right w:type="dxa" w:w="100"/>
            </w:tcMar>
          </w:tcPr>
          <w:p>
            <w:r>
              <w:rPr>
                <w:color w:val="1E293B"/>
                <w:sz w:val="18"/>
                <w:szCs w:val="18"/>
              </w:rPr>
              <w:t xml:space="preserve">信用狀（Letter of Credit）——銀行代進口商向出口商出立的條件式付款承諾，以符合條款的跟單提示為前提。</w:t>
            </w:r>
          </w:p>
        </w:tc>
      </w:tr>
      <w:tr>
        <w:tc>
          <w:tcPr>
            <w:tcW w:type="dxa" w:w="2200"/>
            <w:tcMar>
              <w:top w:type="dxa" w:w="80"/>
              <w:left w:type="dxa" w:w="100"/>
              <w:bottom w:type="dxa" w:w="80"/>
              <w:right w:type="dxa" w:w="100"/>
            </w:tcMar>
          </w:tcPr>
          <w:p>
            <w:r>
              <w:rPr>
                <w:color w:val="1E293B"/>
                <w:sz w:val="18"/>
                <w:szCs w:val="18"/>
              </w:rPr>
              <w:t xml:space="preserve">即期／遠期（Sight／Usance）</w:t>
            </w:r>
          </w:p>
        </w:tc>
        <w:tc>
          <w:tcPr>
            <w:tcW w:type="dxa" w:w="7150"/>
            <w:tcMar>
              <w:top w:type="dxa" w:w="80"/>
              <w:left w:type="dxa" w:w="100"/>
              <w:bottom w:type="dxa" w:w="80"/>
              <w:right w:type="dxa" w:w="100"/>
            </w:tcMar>
          </w:tcPr>
          <w:p>
            <w:r>
              <w:rPr>
                <w:color w:val="1E293B"/>
                <w:sz w:val="18"/>
                <w:szCs w:val="18"/>
              </w:rPr>
              <w:t xml:space="preserve">即期＝憑提示即應付款；遠期＝於未來某日付款（定期匯票或延期付款承諾）。</w:t>
            </w:r>
          </w:p>
        </w:tc>
      </w:tr>
      <w:tr>
        <w:tc>
          <w:tcPr>
            <w:tcW w:type="dxa" w:w="2200"/>
            <w:tcMar>
              <w:top w:type="dxa" w:w="80"/>
              <w:left w:type="dxa" w:w="100"/>
              <w:bottom w:type="dxa" w:w="80"/>
              <w:right w:type="dxa" w:w="100"/>
            </w:tcMar>
          </w:tcPr>
          <w:p>
            <w:r>
              <w:rPr>
                <w:color w:val="1E293B"/>
                <w:sz w:val="18"/>
                <w:szCs w:val="18"/>
              </w:rPr>
              <w:t xml:space="preserve">D/P、D/A</w:t>
            </w:r>
          </w:p>
        </w:tc>
        <w:tc>
          <w:tcPr>
            <w:tcW w:type="dxa" w:w="7150"/>
            <w:tcMar>
              <w:top w:type="dxa" w:w="80"/>
              <w:left w:type="dxa" w:w="100"/>
              <w:bottom w:type="dxa" w:w="80"/>
              <w:right w:type="dxa" w:w="100"/>
            </w:tcMar>
          </w:tcPr>
          <w:p>
            <w:r>
              <w:rPr>
                <w:color w:val="1E293B"/>
                <w:sz w:val="18"/>
                <w:szCs w:val="18"/>
              </w:rPr>
              <w:t xml:space="preserve">付款交單／承兌交單——URC 522 規則下跟單託收的兩種單據交付條件。</w:t>
            </w:r>
          </w:p>
        </w:tc>
      </w:tr>
      <w:tr>
        <w:tc>
          <w:tcPr>
            <w:tcW w:type="dxa" w:w="2200"/>
            <w:tcMar>
              <w:top w:type="dxa" w:w="80"/>
              <w:left w:type="dxa" w:w="100"/>
              <w:bottom w:type="dxa" w:w="80"/>
              <w:right w:type="dxa" w:w="100"/>
            </w:tcMar>
          </w:tcPr>
          <w:p>
            <w:r>
              <w:rPr>
                <w:color w:val="1E293B"/>
                <w:sz w:val="18"/>
                <w:szCs w:val="18"/>
              </w:rPr>
              <w:t xml:space="preserve">Nostro／Vostro</w:t>
            </w:r>
          </w:p>
        </w:tc>
        <w:tc>
          <w:tcPr>
            <w:tcW w:type="dxa" w:w="7150"/>
            <w:tcMar>
              <w:top w:type="dxa" w:w="80"/>
              <w:left w:type="dxa" w:w="100"/>
              <w:bottom w:type="dxa" w:w="80"/>
              <w:right w:type="dxa" w:w="100"/>
            </w:tcMar>
          </w:tcPr>
          <w:p>
            <w:r>
              <w:rPr>
                <w:color w:val="1E293B"/>
                <w:sz w:val="18"/>
                <w:szCs w:val="18"/>
              </w:rPr>
              <w:t xml:space="preserve">Nostro＝「我方存於貴行的帳戶」（本行在海外往來行的帳戶）。Vostro＝「貴方存於我行的帳戶」（往來行存放在本行境內的帳戶）。</w:t>
            </w:r>
          </w:p>
        </w:tc>
      </w:tr>
      <w:tr>
        <w:tc>
          <w:tcPr>
            <w:tcW w:type="dxa" w:w="2200"/>
            <w:tcMar>
              <w:top w:type="dxa" w:w="80"/>
              <w:left w:type="dxa" w:w="100"/>
              <w:bottom w:type="dxa" w:w="80"/>
              <w:right w:type="dxa" w:w="100"/>
            </w:tcMar>
          </w:tcPr>
          <w:p>
            <w:r>
              <w:rPr>
                <w:color w:val="1E293B"/>
                <w:sz w:val="18"/>
                <w:szCs w:val="18"/>
              </w:rPr>
              <w:t xml:space="preserve">申請人／受益人</w:t>
            </w:r>
          </w:p>
        </w:tc>
        <w:tc>
          <w:tcPr>
            <w:tcW w:type="dxa" w:w="7150"/>
            <w:tcMar>
              <w:top w:type="dxa" w:w="80"/>
              <w:left w:type="dxa" w:w="100"/>
              <w:bottom w:type="dxa" w:w="80"/>
              <w:right w:type="dxa" w:w="100"/>
            </w:tcMar>
          </w:tcPr>
          <w:p>
            <w:r>
              <w:rPr>
                <w:color w:val="1E293B"/>
                <w:sz w:val="18"/>
                <w:szCs w:val="18"/>
              </w:rPr>
              <w:t xml:space="preserve">申請人＝要求開立信用狀／保證函的一方（通常為進口商／被保證人）。受益人＝有權依其求償／動用的一方（通常為出口商／求償人）。</w:t>
            </w:r>
          </w:p>
        </w:tc>
      </w:tr>
      <w:tr>
        <w:tc>
          <w:tcPr>
            <w:tcW w:type="dxa" w:w="2200"/>
            <w:tcMar>
              <w:top w:type="dxa" w:w="80"/>
              <w:left w:type="dxa" w:w="100"/>
              <w:bottom w:type="dxa" w:w="80"/>
              <w:right w:type="dxa" w:w="100"/>
            </w:tcMar>
          </w:tcPr>
          <w:p>
            <w:r>
              <w:rPr>
                <w:color w:val="1E293B"/>
                <w:sz w:val="18"/>
                <w:szCs w:val="18"/>
              </w:rPr>
              <w:t xml:space="preserve">風險參貸</w:t>
            </w:r>
          </w:p>
        </w:tc>
        <w:tc>
          <w:tcPr>
            <w:tcW w:type="dxa" w:w="7150"/>
            <w:tcMar>
              <w:top w:type="dxa" w:w="80"/>
              <w:left w:type="dxa" w:w="100"/>
              <w:bottom w:type="dxa" w:w="80"/>
              <w:right w:type="dxa" w:w="100"/>
            </w:tcMar>
          </w:tcPr>
          <w:p>
            <w:r>
              <w:rPr>
                <w:color w:val="1E293B"/>
                <w:sz w:val="18"/>
                <w:szCs w:val="18"/>
              </w:rPr>
              <w:t xml:space="preserve">一種安排：銀行（發起行）將部分貿易融資授信曝險出售給另一家銀行（參貸行），以換取資金。</w:t>
            </w:r>
          </w:p>
        </w:tc>
      </w:tr>
      <w:tr>
        <w:tc>
          <w:tcPr>
            <w:tcW w:type="dxa" w:w="2200"/>
            <w:tcMar>
              <w:top w:type="dxa" w:w="80"/>
              <w:left w:type="dxa" w:w="100"/>
              <w:bottom w:type="dxa" w:w="80"/>
              <w:right w:type="dxa" w:w="100"/>
            </w:tcMar>
          </w:tcPr>
          <w:p>
            <w:r>
              <w:rPr>
                <w:color w:val="1E293B"/>
                <w:sz w:val="18"/>
                <w:szCs w:val="18"/>
              </w:rPr>
              <w:t xml:space="preserve">Suspense 帳戶</w:t>
            </w:r>
          </w:p>
        </w:tc>
        <w:tc>
          <w:tcPr>
            <w:tcW w:type="dxa" w:w="7150"/>
            <w:tcMar>
              <w:top w:type="dxa" w:w="80"/>
              <w:left w:type="dxa" w:w="100"/>
              <w:bottom w:type="dxa" w:w="80"/>
              <w:right w:type="dxa" w:w="100"/>
            </w:tcMar>
          </w:tcPr>
          <w:p>
            <w:r>
              <w:rPr>
                <w:color w:val="1E293B"/>
                <w:sz w:val="18"/>
                <w:szCs w:val="18"/>
              </w:rPr>
              <w:t xml:space="preserve">一種內部清算帳戶，用於在兩個組件／系統之間過渡金額，直到分錄雙方都已入帳為止——從不代表真實的外部交易對手。</w:t>
            </w:r>
          </w:p>
        </w:tc>
      </w:tr>
      <w:tr>
        <w:tc>
          <w:tcPr>
            <w:tcW w:type="dxa" w:w="2200"/>
            <w:tcMar>
              <w:top w:type="dxa" w:w="80"/>
              <w:left w:type="dxa" w:w="100"/>
              <w:bottom w:type="dxa" w:w="80"/>
              <w:right w:type="dxa" w:w="100"/>
            </w:tcMar>
          </w:tcPr>
          <w:p>
            <w:r>
              <w:rPr>
                <w:color w:val="1E293B"/>
                <w:sz w:val="18"/>
                <w:szCs w:val="18"/>
              </w:rPr>
              <w:t xml:space="preserve">V8</w:t>
            </w:r>
          </w:p>
        </w:tc>
        <w:tc>
          <w:tcPr>
            <w:tcW w:type="dxa" w:w="7150"/>
            <w:tcMar>
              <w:top w:type="dxa" w:w="80"/>
              <w:left w:type="dxa" w:w="100"/>
              <w:bottom w:type="dxa" w:w="80"/>
              <w:right w:type="dxa" w:w="100"/>
            </w:tcMar>
          </w:tcPr>
          <w:p>
            <w:r>
              <w:rPr>
                <w:color w:val="1E293B"/>
                <w:sz w:val="18"/>
                <w:szCs w:val="18"/>
              </w:rPr>
              <w:t xml:space="preserve">本服務內部對借貸總額平衡規則（§7.1）的簡稱——以最初訂定此規則的規格書章節命名。</w:t>
            </w:r>
          </w:p>
        </w:tc>
      </w:tr>
      <w:tr>
        <w:tc>
          <w:tcPr>
            <w:tcW w:type="dxa" w:w="2200"/>
            <w:tcMar>
              <w:top w:type="dxa" w:w="80"/>
              <w:left w:type="dxa" w:w="100"/>
              <w:bottom w:type="dxa" w:w="80"/>
              <w:right w:type="dxa" w:w="100"/>
            </w:tcMar>
          </w:tcPr>
          <w:p>
            <w:r>
              <w:rPr>
                <w:color w:val="1E293B"/>
                <w:sz w:val="18"/>
                <w:szCs w:val="18"/>
              </w:rPr>
              <w:t xml:space="preserve">XOR（分類用語）</w:t>
            </w:r>
          </w:p>
        </w:tc>
        <w:tc>
          <w:tcPr>
            <w:tcW w:type="dxa" w:w="7150"/>
            <w:tcMar>
              <w:top w:type="dxa" w:w="80"/>
              <w:left w:type="dxa" w:w="100"/>
              <w:bottom w:type="dxa" w:w="80"/>
              <w:right w:type="dxa" w:w="100"/>
            </w:tcMar>
          </w:tcPr>
          <w:p>
            <w:r>
              <w:rPr>
                <w:color w:val="1E293B"/>
                <w:sz w:val="18"/>
                <w:szCs w:val="18"/>
              </w:rPr>
              <w:t xml:space="preserve">互斥或：當交易的借方或貸方恰好只有一側存在指定帳戶類型的分錄時為真——代表資金確實在兩種不同結算類別之間移動的訊號。</w:t>
            </w:r>
          </w:p>
        </w:tc>
      </w:tr>
    </w:tbl>
    <w:p>
      <w:pPr>
        <w:pStyle w:val="Heading1"/>
        <w:spacing w:after="160" w:before="360"/>
      </w:pPr>
      <w:r>
        <w:rPr>
          <w:color w:val="1E3A8A"/>
        </w:rPr>
        <w:t xml:space="preserve">12. 附錄 B——OAS 版本歷程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1E3A8A" w:val="clear"/>
            <w:tcMar>
              <w:top w:type="dxa" w:w="80"/>
              <w:left w:type="dxa" w:w="100"/>
              <w:bottom w:type="dxa" w:w="80"/>
              <w:right w:type="dxa" w:w="100"/>
            </w:tcMar>
          </w:tcPr>
          <w:p>
            <w:r>
              <w:rPr>
                <w:b/>
                <w:bCs/>
                <w:color w:val="FFFFFF"/>
                <w:sz w:val="18"/>
                <w:szCs w:val="18"/>
              </w:rPr>
              <w:t xml:space="preserve">版本</w:t>
            </w:r>
          </w:p>
        </w:tc>
        <w:tc>
          <w:tcPr>
            <w:tcW w:type="dxa" w:w="7850"/>
            <w:shd w:fill="1E3A8A" w:val="clear"/>
            <w:tcMar>
              <w:top w:type="dxa" w:w="80"/>
              <w:left w:type="dxa" w:w="100"/>
              <w:bottom w:type="dxa" w:w="80"/>
              <w:right w:type="dxa" w:w="100"/>
            </w:tcMar>
          </w:tcPr>
          <w:p>
            <w:r>
              <w:rPr>
                <w:b/>
                <w:bCs/>
                <w:color w:val="FFFFFF"/>
                <w:sz w:val="18"/>
                <w:szCs w:val="18"/>
              </w:rPr>
              <w:t xml:space="preserve">摘要</w:t>
            </w:r>
          </w:p>
        </w:tc>
      </w:tr>
      <w:tr>
        <w:tc>
          <w:tcPr>
            <w:tcW w:type="dxa" w:w="1500"/>
            <w:tcMar>
              <w:top w:type="dxa" w:w="80"/>
              <w:left w:type="dxa" w:w="100"/>
              <w:bottom w:type="dxa" w:w="80"/>
              <w:right w:type="dxa" w:w="100"/>
            </w:tcMar>
          </w:tcPr>
          <w:p>
            <w:r>
              <w:rPr>
                <w:color w:val="1E293B"/>
                <w:sz w:val="18"/>
                <w:szCs w:val="18"/>
              </w:rPr>
              <w:t xml:space="preserve">v1.1.0</w:t>
            </w:r>
          </w:p>
        </w:tc>
        <w:tc>
          <w:tcPr>
            <w:tcW w:type="dxa" w:w="7850"/>
            <w:tcMar>
              <w:top w:type="dxa" w:w="80"/>
              <w:left w:type="dxa" w:w="100"/>
              <w:bottom w:type="dxa" w:w="80"/>
              <w:right w:type="dxa" w:w="100"/>
            </w:tcMar>
          </w:tcPr>
          <w:p>
            <w:r>
              <w:rPr>
                <w:color w:val="1E293B"/>
                <w:sz w:val="18"/>
                <w:szCs w:val="18"/>
              </w:rPr>
              <w:t xml:space="preserve">為 AccountType 新增 RTGS（RPFM）；將單一 exchangeRate 欄位拆分為 4 個獨立匯率欄位；新增 payInstrFlag。</w:t>
            </w:r>
          </w:p>
        </w:tc>
      </w:tr>
      <w:tr>
        <w:tc>
          <w:tcPr>
            <w:tcW w:type="dxa" w:w="1500"/>
            <w:tcMar>
              <w:top w:type="dxa" w:w="80"/>
              <w:left w:type="dxa" w:w="100"/>
              <w:bottom w:type="dxa" w:w="80"/>
              <w:right w:type="dxa" w:w="100"/>
            </w:tcMar>
          </w:tcPr>
          <w:p>
            <w:r>
              <w:rPr>
                <w:color w:val="1E293B"/>
                <w:sz w:val="18"/>
                <w:szCs w:val="18"/>
              </w:rPr>
              <w:t xml:space="preserve">v1.2.0</w:t>
            </w:r>
          </w:p>
        </w:tc>
        <w:tc>
          <w:tcPr>
            <w:tcW w:type="dxa" w:w="7850"/>
            <w:tcMar>
              <w:top w:type="dxa" w:w="80"/>
              <w:left w:type="dxa" w:w="100"/>
              <w:bottom w:type="dxa" w:w="80"/>
              <w:right w:type="dxa" w:w="100"/>
            </w:tcMar>
          </w:tcPr>
          <w:p>
            <w:r>
              <w:rPr>
                <w:color w:val="1E293B"/>
                <w:sz w:val="18"/>
                <w:szCs w:val="18"/>
              </w:rPr>
              <w:t xml:space="preserve">將所有金額／匯率改為十進位字串型別；將 sequence 訂為必填的冪等性欄位；修正 RTGS 說明文字。</w:t>
            </w:r>
          </w:p>
        </w:tc>
      </w:tr>
      <w:tr>
        <w:tc>
          <w:tcPr>
            <w:tcW w:type="dxa" w:w="1500"/>
            <w:tcMar>
              <w:top w:type="dxa" w:w="80"/>
              <w:left w:type="dxa" w:w="100"/>
              <w:bottom w:type="dxa" w:w="80"/>
              <w:right w:type="dxa" w:w="100"/>
            </w:tcMar>
          </w:tcPr>
          <w:p>
            <w:r>
              <w:rPr>
                <w:color w:val="1E293B"/>
                <w:sz w:val="18"/>
                <w:szCs w:val="18"/>
              </w:rPr>
              <w:t xml:space="preserve">v1.3.0</w:t>
            </w:r>
          </w:p>
        </w:tc>
        <w:tc>
          <w:tcPr>
            <w:tcW w:type="dxa" w:w="7850"/>
            <w:tcMar>
              <w:top w:type="dxa" w:w="80"/>
              <w:left w:type="dxa" w:w="100"/>
              <w:bottom w:type="dxa" w:w="80"/>
              <w:right w:type="dxa" w:w="100"/>
            </w:tcMar>
          </w:tcPr>
          <w:p>
            <w:r>
              <w:rPr>
                <w:color w:val="1E293B"/>
                <w:sz w:val="18"/>
                <w:szCs w:val="18"/>
              </w:rPr>
              <w:t xml:space="preserve">移除 RTGS 作為獨立的 AccountType——改以 accountType=NOSTRO ＋ 新增的 rtgsIndicator 旗標取代，因為遺留邏輯從未針對它獨立分支處理。</w:t>
            </w:r>
          </w:p>
        </w:tc>
      </w:tr>
      <w:tr>
        <w:tc>
          <w:tcPr>
            <w:tcW w:type="dxa" w:w="1500"/>
            <w:tcMar>
              <w:top w:type="dxa" w:w="80"/>
              <w:left w:type="dxa" w:w="100"/>
              <w:bottom w:type="dxa" w:w="80"/>
              <w:right w:type="dxa" w:w="100"/>
            </w:tcMar>
          </w:tcPr>
          <w:p>
            <w:r>
              <w:rPr>
                <w:color w:val="1E293B"/>
                <w:sz w:val="18"/>
                <w:szCs w:val="18"/>
              </w:rPr>
              <w:t xml:space="preserve">v1.4.0</w:t>
            </w:r>
          </w:p>
        </w:tc>
        <w:tc>
          <w:tcPr>
            <w:tcW w:type="dxa" w:w="7850"/>
            <w:tcMar>
              <w:top w:type="dxa" w:w="80"/>
              <w:left w:type="dxa" w:w="100"/>
              <w:bottom w:type="dxa" w:w="80"/>
              <w:right w:type="dxa" w:w="100"/>
            </w:tcMar>
          </w:tcPr>
          <w:p>
            <w:r>
              <w:rPr>
                <w:color w:val="1E293B"/>
                <w:sz w:val="18"/>
                <w:szCs w:val="18"/>
              </w:rPr>
              <w:t xml:space="preserve">新增選填的 suspenseBridge 請求欄位——Charge／Balance Component 記帳橋接。</w:t>
            </w:r>
          </w:p>
        </w:tc>
      </w:tr>
      <w:tr>
        <w:tc>
          <w:tcPr>
            <w:tcW w:type="dxa" w:w="1500"/>
            <w:tcMar>
              <w:top w:type="dxa" w:w="80"/>
              <w:left w:type="dxa" w:w="100"/>
              <w:bottom w:type="dxa" w:w="80"/>
              <w:right w:type="dxa" w:w="100"/>
            </w:tcMar>
          </w:tcPr>
          <w:p>
            <w:r>
              <w:rPr>
                <w:color w:val="1E293B"/>
                <w:sz w:val="18"/>
                <w:szCs w:val="18"/>
              </w:rPr>
              <w:t xml:space="preserve">v1.5.0</w:t>
            </w:r>
          </w:p>
        </w:tc>
        <w:tc>
          <w:tcPr>
            <w:tcW w:type="dxa" w:w="7850"/>
            <w:tcMar>
              <w:top w:type="dxa" w:w="80"/>
              <w:left w:type="dxa" w:w="100"/>
              <w:bottom w:type="dxa" w:w="80"/>
              <w:right w:type="dxa" w:w="100"/>
            </w:tcMar>
          </w:tcPr>
          <w:p>
            <w:r>
              <w:rPr>
                <w:color w:val="1E293B"/>
                <w:sz w:val="18"/>
                <w:szCs w:val="18"/>
              </w:rPr>
              <w:t xml:space="preserve">新增 SuspenseEntry.sourceComponent／.balanceModule 溯源中繼資料。</w:t>
            </w:r>
          </w:p>
        </w:tc>
      </w:tr>
      <w:tr>
        <w:tc>
          <w:tcPr>
            <w:tcW w:type="dxa" w:w="1500"/>
            <w:tcMar>
              <w:top w:type="dxa" w:w="80"/>
              <w:left w:type="dxa" w:w="100"/>
              <w:bottom w:type="dxa" w:w="80"/>
              <w:right w:type="dxa" w:w="100"/>
            </w:tcMar>
          </w:tcPr>
          <w:p>
            <w:r>
              <w:rPr>
                <w:color w:val="1E293B"/>
                <w:sz w:val="18"/>
                <w:szCs w:val="18"/>
              </w:rPr>
              <w:t xml:space="preserve">v1.6.0</w:t>
            </w:r>
          </w:p>
        </w:tc>
        <w:tc>
          <w:tcPr>
            <w:tcW w:type="dxa" w:w="7850"/>
            <w:tcMar>
              <w:top w:type="dxa" w:w="80"/>
              <w:left w:type="dxa" w:w="100"/>
              <w:bottom w:type="dxa" w:w="80"/>
              <w:right w:type="dxa" w:w="100"/>
            </w:tcMar>
          </w:tcPr>
          <w:p>
            <w:r>
              <w:rPr>
                <w:color w:val="1E293B"/>
                <w:sz w:val="18"/>
                <w:szCs w:val="18"/>
              </w:rPr>
              <w:t xml:space="preserve">完全移除收費傳票／負債傳票產生——本服務目前只會產生 SETTLEMENT 分錄。</w:t>
            </w:r>
          </w:p>
        </w:tc>
      </w:tr>
      <w:tr>
        <w:tc>
          <w:tcPr>
            <w:tcW w:type="dxa" w:w="1500"/>
            <w:tcMar>
              <w:top w:type="dxa" w:w="80"/>
              <w:left w:type="dxa" w:w="100"/>
              <w:bottom w:type="dxa" w:w="80"/>
              <w:right w:type="dxa" w:w="100"/>
            </w:tcMar>
          </w:tcPr>
          <w:p>
            <w:r>
              <w:rPr>
                <w:color w:val="1E293B"/>
                <w:sz w:val="18"/>
                <w:szCs w:val="18"/>
              </w:rPr>
              <w:t xml:space="preserve">v1.7.0 – v1.7.5</w:t>
            </w:r>
          </w:p>
        </w:tc>
        <w:tc>
          <w:tcPr>
            <w:tcW w:type="dxa" w:w="7850"/>
            <w:tcMar>
              <w:top w:type="dxa" w:w="80"/>
              <w:left w:type="dxa" w:w="100"/>
              <w:bottom w:type="dxa" w:w="80"/>
              <w:right w:type="dxa" w:w="100"/>
            </w:tcMar>
          </w:tcPr>
          <w:p>
            <w:r>
              <w:rPr>
                <w:color w:val="1E293B"/>
                <w:sz w:val="18"/>
                <w:szCs w:val="18"/>
              </w:rPr>
              <w:t xml:space="preserve">Suspense／FX Exchange 橋接依幣別平衡的多輪疊代改進（已由 v1.8.0 取代）。</w:t>
            </w:r>
          </w:p>
        </w:tc>
      </w:tr>
      <w:tr>
        <w:tc>
          <w:tcPr>
            <w:tcW w:type="dxa" w:w="1500"/>
            <w:tcMar>
              <w:top w:type="dxa" w:w="80"/>
              <w:left w:type="dxa" w:w="100"/>
              <w:bottom w:type="dxa" w:w="80"/>
              <w:right w:type="dxa" w:w="100"/>
            </w:tcMar>
          </w:tcPr>
          <w:p>
            <w:r>
              <w:rPr>
                <w:color w:val="1E293B"/>
                <w:sz w:val="18"/>
                <w:szCs w:val="18"/>
              </w:rPr>
              <w:t xml:space="preserve">v1.8.0</w:t>
            </w:r>
          </w:p>
        </w:tc>
        <w:tc>
          <w:tcPr>
            <w:tcW w:type="dxa" w:w="7850"/>
            <w:tcMar>
              <w:top w:type="dxa" w:w="80"/>
              <w:left w:type="dxa" w:w="100"/>
              <w:bottom w:type="dxa" w:w="80"/>
              <w:right w:type="dxa" w:w="100"/>
            </w:tcMar>
          </w:tcPr>
          <w:p>
            <w:r>
              <w:rPr>
                <w:color w:val="1E293B"/>
                <w:sz w:val="18"/>
                <w:szCs w:val="18"/>
              </w:rPr>
              <w:t xml:space="preserve">伺服器端修正，以每個外幣分組產生兩組獨立、各自自平衡的 FX Exchange 配對來補上依幣別顯示的落差，並（經業務需求審核確認，2026-08-09）新增 Charge Component Bridge 無貸方分錄模式與差額式 FX Exchange 分錄（§7.8）。</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Payment Component OAS —— 功能規格書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2026-08-09T12:11:40.972Z</dcterms:created>
  <dcterms:modified xsi:type="dcterms:W3CDTF">2026-08-09T12:11:40.972Z</dcterms:modified>
</cp:coreProperties>
</file>

<file path=docProps/custom.xml><?xml version="1.0" encoding="utf-8"?>
<Properties xmlns="http://schemas.openxmlformats.org/officeDocument/2006/custom-properties" xmlns:vt="http://schemas.openxmlformats.org/officeDocument/2006/docPropsVTypes"/>
</file>