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3A5F"/>
          <w:sz w:val="40"/>
          <w:szCs w:val="40"/>
        </w:rPr>
        <w:t xml:space="preserve">IDP 與資安/法遵框架對照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SOC 2 Type II / ISO 27001 / PCI-DSS 4.0 / HIPAA / FedRAMP / EU DORA</w:t>
      </w:r>
    </w:p>
    <w:p>
      <w:pPr>
        <w:spacing w:after="360"/>
        <w:jc w:val="center"/>
      </w:pPr>
      <w:r>
        <w:rPr>
          <w:i/>
          <w:iCs/>
          <w:color w:val="888888"/>
          <w:sz w:val="19"/>
          <w:szCs w:val="19"/>
        </w:rPr>
        <w:t xml:space="preserve">供 GRC、資安主管、審計準備團隊參考</w:t>
      </w:r>
    </w:p>
    <w:p>
      <w:pPr>
        <w:pStyle w:val="Heading1"/>
        <w:pageBreakBefore/>
        <w:spacing w:after="200" w:before="0"/>
      </w:pPr>
      <w:r>
        <w:t xml:space="preserve">執行摘要</w:t>
      </w:r>
    </w:p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IDP（Internal Developer Platform）並非任何法遵框架的「強制要求」，但能讓多項合規控制的「實作」與「舉證」變成自動化副產物。</w:t>
      </w:r>
    </w:p>
    <w:p>
      <w:pPr>
        <w:spacing w:after="120" w:line="240"/>
      </w:pPr>
      <w:r>
        <w:rPr>
          <w:sz w:val="19"/>
          <w:szCs w:val="19"/>
        </w:rPr>
        <w:t xml:space="preserve">本文針對六個主流法遵框架，評估 IDP 的對應價值。核心結論：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不要為了合規才導入 IDP</w:t>
      </w:r>
      <w:r>
        <w:rPr>
          <w:sz w:val="19"/>
          <w:szCs w:val="19"/>
        </w:rPr>
        <w:t xml:space="preserve">──IDP 的核心價值是開發者體驗與規模化，合規是副產物。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IDP 對 SOC 2 / ISO 27001 / PCI-DSS 的審計準備時程</w:t>
      </w:r>
      <w:r>
        <w:rPr>
          <w:sz w:val="19"/>
          <w:szCs w:val="19"/>
        </w:rPr>
        <w:t xml:space="preserve">可縮短 30-50%（依組織規模），主因是 GitOps 與 Catalog 自帶 audit trail。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FedRAMP 與 EU DORA 的持續監控強度極高</w:t>
      </w:r>
      <w:r>
        <w:rPr>
          <w:sz w:val="19"/>
          <w:szCs w:val="19"/>
        </w:rPr>
        <w:t xml:space="preserve">──這類嚴格框架幾乎強制需要 IDP 等級的自動化。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沒有 IDP 仍可通過 SOC 2 Type II</w:t>
      </w:r>
      <w:r>
        <w:rPr>
          <w:sz w:val="19"/>
          <w:szCs w:val="19"/>
        </w:rPr>
        <w:t xml:space="preserve">──但需要更多人力與 GRC 工具填補空缺，總成本通常較高。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b/>
          <w:bCs/>
          <w:sz w:val="19"/>
          <w:szCs w:val="19"/>
        </w:rPr>
        <w:t xml:space="preserve">IDP 做不好反而可能拖累合規</w:t>
      </w:r>
      <w:r>
        <w:rPr>
          <w:sz w:val="19"/>
          <w:szCs w:val="19"/>
        </w:rPr>
        <w:t xml:space="preserve">──Audit 模式的政策、Catalog 與叢集不同步、允許繞過 GitOps，都會讓審計師質疑控制有效性。</w:t>
      </w:r>
    </w:p>
    <w:p>
      <w:pPr>
        <w:spacing w:after="120" w:line="240"/>
      </w:pPr>
      <w:r>
        <w:rPr>
          <w:sz w:val="19"/>
          <w:szCs w:val="19"/>
        </w:rPr>
        <w:t xml:space="preserve"/>
      </w:r>
    </w:p>
    <w:p>
      <w:pPr>
        <w:shd w:fill="EFF6FF" w:val="clear"/>
        <w:spacing w:after="200" w:before="100" w:line="240"/>
      </w:pPr>
      <w:r>
        <w:rPr>
          <w:b/>
          <w:bCs/>
          <w:color w:val="1F3A5F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審計師接受度：四大事務所（Deloitte / PwC / E&amp;Y / KPMG）+ A-LIGN / Schellman 等專家事務所對 GitOps + IDP 的證據已熟悉，不需額外解釋。</w:t>
      </w:r>
    </w:p>
    <w:p>
      <w:pPr>
        <w:pStyle w:val="Heading1"/>
        <w:pageBreakBefore/>
        <w:spacing w:after="200" w:before="0"/>
      </w:pPr>
      <w:r>
        <w:t xml:space="preserve">一、SOC 2 Type II 概論</w:t>
      </w:r>
    </w:p>
    <w:p>
      <w:pPr>
        <w:spacing w:after="120" w:line="240"/>
      </w:pPr>
      <w:r>
        <w:rPr>
          <w:sz w:val="19"/>
          <w:szCs w:val="19"/>
        </w:rPr>
        <w:t xml:space="preserve">SOC 2 是 AICPA（美國註冊會計師協會）的 Trust Services Criteria（TSC）框架。Type II 與 Type I 的核心差別是「審計期間」：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Type I：</w:t>
      </w:r>
      <w:r>
        <w:rPr>
          <w:sz w:val="19"/>
          <w:szCs w:val="19"/>
        </w:rPr>
        <w:t xml:space="preserve">某一時間點的「設計」與「實施」狀態（snapshot）。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Type II：</w:t>
      </w:r>
      <w:r>
        <w:rPr>
          <w:sz w:val="19"/>
          <w:szCs w:val="19"/>
        </w:rPr>
        <w:t xml:space="preserve">整段審計期間（通常 6–12 個月）的「持續運作有效性」（operating effectiveness）。</w:t>
      </w:r>
    </w:p>
    <w:p>
      <w:pPr>
        <w:spacing w:after="120" w:line="240"/>
      </w:pPr>
      <w:r>
        <w:rPr>
          <w:sz w:val="19"/>
          <w:szCs w:val="19"/>
        </w:rPr>
        <w:t xml:space="preserve">Type II 才是 B2B SaaS 客戶通常要求的版本，因為它證明你「整段時間都做對」，而非「審計當天臨時做樣子」。</w:t>
      </w:r>
    </w:p>
    <w:p>
      <w:pPr>
        <w:pStyle w:val="Heading2"/>
        <w:spacing w:after="160" w:before="280"/>
      </w:pPr>
      <w:r>
        <w:t xml:space="preserve">1.1 五個 TSC（Trust Services Criteria）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TSC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強制？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範圍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Security（CC1–CC9 共同準則）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強制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邏輯/實體存取、變更管理、監控、事件回應、風險評估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選用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系統可用性 SLA、災難復原、容量規劃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Processing Integrity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選用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處理完整性（完整、有效、準時、授權）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選用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機密資料的識別、保護、處置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Privacy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選用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個資生命週期管理（GDPR / CCPA 對齊）</w:t>
            </w:r>
          </w:p>
        </w:tc>
      </w:tr>
    </w:tbl>
    <w:p>
      <w:pPr>
        <w:spacing w:after="120" w:line="240"/>
      </w:pPr>
      <w:r>
        <w:rPr>
          <w:sz w:val="19"/>
          <w:szCs w:val="19"/>
        </w:rPr>
        <w:t xml:space="preserve">幾乎所有 SaaS 公司都做 Security + Availability；金融、醫療常加 Confidentiality + Privacy。</w:t>
      </w:r>
    </w:p>
    <w:p>
      <w:pPr>
        <w:pStyle w:val="Heading2"/>
        <w:spacing w:after="160" w:before="280"/>
      </w:pPr>
      <w:r>
        <w:t xml:space="preserve">1.2 SOC 2 是「控制目標導向」</w:t>
      </w:r>
    </w:p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SOC 2 不規定用什麼工具──它要求你「能證明有控制」。所以 IDP 不是強制要求，而是「達成多項控制的高效手段」。</w:t>
      </w:r>
    </w:p>
    <w:p>
      <w:pPr>
        <w:pStyle w:val="Heading1"/>
        <w:pageBreakBefore/>
        <w:spacing w:after="200" w:before="0"/>
      </w:pPr>
      <w:r>
        <w:t xml:space="preserve">二、SOC 2 Common Criteria 與 IDP 對應</w:t>
      </w:r>
    </w:p>
    <w:p>
      <w:pPr>
        <w:spacing w:after="120" w:line="240"/>
      </w:pPr>
      <w:r>
        <w:rPr>
          <w:sz w:val="19"/>
          <w:szCs w:val="19"/>
        </w:rPr>
        <w:t xml:space="preserve">下表列出 SOC 2 Security 共同準則（CC1-CC9）與 IDP 元件的對應關係，並標示審計時自動產出的證據（evidence）類型。</w:t>
      </w:r>
    </w:p>
    <w:p>
      <w:pPr>
        <w:pStyle w:val="Heading2"/>
        <w:spacing w:after="160" w:before="280"/>
      </w:pPr>
      <w:r>
        <w:t xml:space="preserve">2.1 控制對應總覽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700"/>
        <w:gridCol w:w="3300"/>
      </w:tblGrid>
      <w:tr>
        <w:trPr>
          <w:tblHeader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SOC 2 控制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控制要求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IDP 對應元件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自動產出證據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CC6.1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邏輯存取控制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RBAC + SSO（Okta / Entra ID）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授權日誌、Catalog ownership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CC6.2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使用者註冊與授權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Software Templates + Approval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 審核記錄、catalog-info.yaml 變更歷史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CC6.3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角色變更管理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RBAC 政策 in Git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 commit log（誰、何時、改了什麼）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CC6.6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邊界保護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NetworkPolicy + Cilium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Policy violation 日誌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CC6.7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資料傳輸保護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Istio mTLS（自動雙向認證）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mTLS handshake metrics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CC6.8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防止未授權軟體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image policy + Cosign 簽章驗證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Admission webhook 拒絕記錄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CC7.1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設定漂移偵測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CD（GitOps reconciliation）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OutOfSync events、auto-sync 日誌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CC7.2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持續監控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+ OpenTelemetry + Falco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metrics + traces + security alerts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CC7.3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安全事件回應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PagerDuty + Backstage TechDocs runbook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Incident MTTR、postmortem 連結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CC7.4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漏洞管理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Trivy / Grype 整合 CI/CD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CVE 掃描報告 + 自動阻擋部署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CC8.1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變更管理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GitOps + PR review + Argo CD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完整 audit trail：誰提交、誰核准、何時部署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CC9.2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供應商管理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Catalog（含 SBOM）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依賴關係圖 + 軟體物料清單</w:t>
            </w:r>
          </w:p>
        </w:tc>
      </w:tr>
    </w:tbl>
    <w:p>
      <w:pPr>
        <w:pStyle w:val="Heading2"/>
        <w:spacing w:after="160" w:before="280"/>
      </w:pPr>
      <w:r>
        <w:t xml:space="preserve">2.2 重點控制深入：CC8.1 變更管理</w:t>
      </w:r>
    </w:p>
    <w:p>
      <w:pPr>
        <w:spacing w:after="120" w:line="240"/>
      </w:pPr>
      <w:r>
        <w:rPr>
          <w:sz w:val="19"/>
          <w:szCs w:val="19"/>
        </w:rPr>
        <w:t xml:space="preserve">變更管理是 SOC 2 Type II 最常被質疑的控制，也是 IDP 最強的應用場景。傳統與 GitOps 方式的證據對比：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證據項目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傳統方式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IDP / GitOps 方式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變更請求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ServiceNow / Jira ticket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 Pull Request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核准記錄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Email / ticket 留言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 review approval（GitHub Required Reviewers）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部署時間戳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人工填寫 Change Log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 Sync event timestamp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回滾證據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另開 ticket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 revert commit + Argo CD rollback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緊急變更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事後補 ticket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 with break-glass label + post-hoc review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職務分工 (SoD)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人工檢查 ticket 是否同人核准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GitHub CODEOWNERS + Branch Protection 強制</w:t>
            </w:r>
          </w:p>
        </w:tc>
      </w:tr>
    </w:tbl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關鍵價值：審計師抽樣 25 個變更時，傳統方式需從 4-5 個系統撈證據；GitOps 只需要一個 git log 加 Argo CD UI 截圖。</w:t>
      </w:r>
    </w:p>
    <w:p>
      <w:pPr>
        <w:pStyle w:val="Heading2"/>
        <w:spacing w:after="160" w:before="280"/>
      </w:pPr>
      <w:r>
        <w:t xml:space="preserve">2.3 重點控制深入：CC6.1 / CC6.3 存取控制</w:t>
      </w:r>
    </w:p>
    <w:p>
      <w:pPr>
        <w:spacing w:after="120" w:line="240"/>
      </w:pPr>
      <w:r>
        <w:rPr>
          <w:sz w:val="19"/>
          <w:szCs w:val="19"/>
        </w:rPr>
        <w:t xml:space="preserve">Backstage 的 Catalog ownership 模型天然對應 SOC 2 的「Least Privilege」原則：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catalog-info.yaml — 服務 ownership 宣告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backstage.io/v1alpha1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Component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payments-api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owner: team-payments              # 維運責任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system: financial-platform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lifecycle: production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consumesApis: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currency-api/v2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providesApis: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payments-api/v1</w:t>
      </w:r>
    </w:p>
    <w:p>
      <w:pPr>
        <w:spacing w:after="120" w:line="240"/>
      </w:pPr>
      <w:r>
        <w:rPr>
          <w:sz w:val="19"/>
          <w:szCs w:val="19"/>
        </w:rPr>
        <w:t xml:space="preserve">審計時的查詢語句（從 Backstage 一鍵匯出 CSV）：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「列出所有 production 服務及其 owner、最近一次變更人」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kind:component AND lifecycle:production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→ 匯出含 owner、git commits、Argo Sync history</w:t>
      </w:r>
    </w:p>
    <w:p>
      <w:pPr>
        <w:pStyle w:val="Heading1"/>
        <w:pageBreakBefore/>
        <w:spacing w:after="200" w:before="0"/>
      </w:pPr>
      <w:r>
        <w:t xml:space="preserve">三、沒有 IDP vs 有 IDP：審計證據對照</w:t>
      </w:r>
    </w:p>
    <w:p>
      <w:pPr>
        <w:spacing w:after="120" w:line="240"/>
      </w:pPr>
      <w:r>
        <w:rPr>
          <w:sz w:val="19"/>
          <w:szCs w:val="19"/>
        </w:rPr>
        <w:t xml:space="preserve">SOC 2 Type II 要看「整段審計期間」的證據（通常 6–12 個月），不是只看一個時間點。沒有 IDP 時，要持續產出證據通常仰賴大量人工流程；有 IDP 時，證據是「副產物」（by-product）。</w:t>
      </w:r>
    </w:p>
    <w:p>
      <w:pPr>
        <w:pStyle w:val="Heading2"/>
        <w:spacing w:after="160" w:before="280"/>
      </w:pPr>
      <w:r>
        <w:t xml:space="preserve">3.1 證據產出對照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沒有 IDP（傳統方式）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有 IDP（自動產出）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變更管理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ServiceNow ticket、人工審批截圖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 PR + Argo CD 部署時間戳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存取控制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手工整理 RBAC、人工 quarterly review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一鍵匯出 ownership 報表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設定一致性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人工抽樣比對 prod/staging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 永久 reconcile，drift = 自動告警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軟體清單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手工維護 Excel / CMDB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Catalog 即時同步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事件回應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散落在 Slack / Email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TechDocs 集中 runbook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漏洞管理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週期性手動掃描報告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CI 每次 build 自動 Trivy 掃描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備份驗證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人工檢查備份是否成功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Velero metrics + Prometheus alert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log 留存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人工確認 retention policy</w:t>
            </w:r>
          </w:p>
        </w:tc>
        <w:tc>
          <w:tcPr>
            <w:tcW w:type="dxa" w:w="3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Loki / Splunk 自動 retention，IaC 管理</w:t>
            </w:r>
          </w:p>
        </w:tc>
      </w:tr>
    </w:tbl>
    <w:p>
      <w:pPr>
        <w:pStyle w:val="Heading2"/>
        <w:spacing w:after="160" w:before="280"/>
      </w:pPr>
      <w:r>
        <w:t xml:space="preserve">3.2 通過 SOC 2 但沒有 IDP 的常見替代方案</w:t>
      </w:r>
    </w:p>
    <w:p>
      <w:pPr>
        <w:spacing w:after="120" w:line="240"/>
      </w:pPr>
      <w:r>
        <w:rPr>
          <w:sz w:val="19"/>
          <w:szCs w:val="19"/>
        </w:rPr>
        <w:t xml:space="preserve">完全可行，常見替代：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GitHub / GitLab + Code Review Policy</w:t>
      </w:r>
      <w:r>
        <w:rPr>
          <w:sz w:val="19"/>
          <w:szCs w:val="19"/>
        </w:rPr>
        <w:t xml:space="preserve">──取代 Backstage GitOps（手工配置 CODEOWNERS、Branch Protection）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ServiceNow / Jira 工作流</w:t>
      </w:r>
      <w:r>
        <w:rPr>
          <w:sz w:val="19"/>
          <w:szCs w:val="19"/>
        </w:rPr>
        <w:t xml:space="preserve">──取代 Backstage Software Templates（每次新服務手工開單）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CSPM 工具（Wiz / Lacework / Prisma）</w:t>
      </w:r>
      <w:r>
        <w:rPr>
          <w:sz w:val="19"/>
          <w:szCs w:val="19"/>
        </w:rPr>
        <w:t xml:space="preserve">──取代 Kyverno + Backstage 監控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手工維護 CMDB</w:t>
      </w:r>
      <w:r>
        <w:rPr>
          <w:sz w:val="19"/>
          <w:szCs w:val="19"/>
        </w:rPr>
        <w:t xml:space="preserve">──取代 Backstage Catalog（每季 reconcile）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DLP / SIEM 工具（Splunk / Datadog）</w:t>
      </w:r>
      <w:r>
        <w:rPr>
          <w:sz w:val="19"/>
          <w:szCs w:val="19"/>
        </w:rPr>
        <w:t xml:space="preserve">──集中 log 與 alert</w:t>
      </w:r>
    </w:p>
    <w:p>
      <w:pPr>
        <w:spacing w:after="120" w:line="240"/>
      </w:pPr>
      <w:r>
        <w:rPr>
          <w:sz w:val="19"/>
          <w:szCs w:val="19"/>
        </w:rPr>
        <w:t xml:space="preserve"/>
      </w:r>
    </w:p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代價：審計時要花更多時間整理證據；通常需要更多 GRC（Governance, Risk, Compliance）人力。SOC 2 中型 SaaS 平均需要 2-4 名專職 GRC 人員；有 IDP 時可降到 1-2 名。</w:t>
      </w:r>
    </w:p>
    <w:p>
      <w:pPr>
        <w:pStyle w:val="Heading2"/>
        <w:spacing w:after="160" w:before="280"/>
      </w:pPr>
      <w:r>
        <w:t xml:space="preserve">3.3 IDP 反而拖累合規的反模式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b/>
          <w:bCs/>
          <w:sz w:val="19"/>
          <w:szCs w:val="19"/>
        </w:rPr>
        <w:t xml:space="preserve">Kyverno 政策只開 Audit 模式而非 Enforce</w:t>
      </w:r>
      <w:r>
        <w:rPr>
          <w:sz w:val="19"/>
          <w:szCs w:val="19"/>
        </w:rPr>
        <w:t xml:space="preserve">──審計師會質疑「政策有沒有真的執行」。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b/>
          <w:bCs/>
          <w:sz w:val="19"/>
          <w:szCs w:val="19"/>
        </w:rPr>
        <w:t xml:space="preserve">Backstage Catalog 與實際叢集不同步</w:t>
      </w:r>
      <w:r>
        <w:rPr>
          <w:sz w:val="19"/>
          <w:szCs w:val="19"/>
        </w:rPr>
        <w:t xml:space="preserve">──ownership 證據失效，審計師懷疑整個 IDP 治理失靈。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b/>
          <w:bCs/>
          <w:sz w:val="19"/>
          <w:szCs w:val="19"/>
        </w:rPr>
        <w:t xml:space="preserve">GitOps 但允許 manual kubectl apply</w:t>
      </w:r>
      <w:r>
        <w:rPr>
          <w:sz w:val="19"/>
          <w:szCs w:val="19"/>
        </w:rPr>
        <w:t xml:space="preserve">──變更管理 audit trail 斷掉，繞過 PR review。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b/>
          <w:bCs/>
          <w:sz w:val="19"/>
          <w:szCs w:val="19"/>
        </w:rPr>
        <w:t xml:space="preserve">沒有定期 review IDP 自身的 RBAC</w:t>
      </w:r>
      <w:r>
        <w:rPr>
          <w:sz w:val="19"/>
          <w:szCs w:val="19"/>
        </w:rPr>
        <w:t xml:space="preserve">──Backstage 的 admin 權限本身就是高敏感資產。</w:t>
      </w:r>
    </w:p>
    <w:p>
      <w:pPr>
        <w:pStyle w:val="ListParagraph"/>
        <w:numPr>
          <w:ilvl w:val="0"/>
          <w:numId w:val="4"/>
        </w:numPr>
        <w:spacing w:after="100" w:line="240"/>
      </w:pPr>
      <w:r>
        <w:rPr>
          <w:b/>
          <w:bCs/>
          <w:sz w:val="19"/>
          <w:szCs w:val="19"/>
        </w:rPr>
        <w:t xml:space="preserve">IDP 自身的 incident 沒有 postmortem</w:t>
      </w:r>
      <w:r>
        <w:rPr>
          <w:sz w:val="19"/>
          <w:szCs w:val="19"/>
        </w:rPr>
        <w:t xml:space="preserve">──「平台壞了一天」沒記錄，審計師會質疑可用性控制。</w:t>
      </w:r>
    </w:p>
    <w:p>
      <w:pPr>
        <w:pStyle w:val="Heading1"/>
        <w:pageBreakBefore/>
        <w:spacing w:after="200" w:before="0"/>
      </w:pPr>
      <w:r>
        <w:t xml:space="preserve">四、ISO 27001:2022 對應</w:t>
      </w:r>
    </w:p>
    <w:p>
      <w:pPr>
        <w:spacing w:after="120" w:line="240"/>
      </w:pPr>
      <w:r>
        <w:rPr>
          <w:sz w:val="19"/>
          <w:szCs w:val="19"/>
        </w:rPr>
        <w:t xml:space="preserve">ISO 27001 是國際資訊安全管理系統（ISMS）標準，2022 版將原本的 114 條控制簡化為 93 條，分為四大主題：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A.5</w:t>
      </w:r>
      <w:r>
        <w:rPr>
          <w:sz w:val="19"/>
          <w:szCs w:val="19"/>
        </w:rPr>
        <w:t xml:space="preserve">Organizational controls（37 條）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A.6</w:t>
      </w:r>
      <w:r>
        <w:rPr>
          <w:sz w:val="19"/>
          <w:szCs w:val="19"/>
        </w:rPr>
        <w:t xml:space="preserve">People controls（8 條）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A.7</w:t>
      </w:r>
      <w:r>
        <w:rPr>
          <w:sz w:val="19"/>
          <w:szCs w:val="19"/>
        </w:rPr>
        <w:t xml:space="preserve">Physical controls（14 條）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A.8</w:t>
      </w:r>
      <w:r>
        <w:rPr>
          <w:sz w:val="19"/>
          <w:szCs w:val="19"/>
        </w:rPr>
        <w:t xml:space="preserve">Technological controls（34 條）</w:t>
      </w:r>
    </w:p>
    <w:p>
      <w:pPr>
        <w:spacing w:after="120" w:line="240"/>
      </w:pPr>
      <w:r>
        <w:rPr>
          <w:sz w:val="19"/>
          <w:szCs w:val="19"/>
        </w:rPr>
        <w:t xml:space="preserve">IDP 主要對應 A.8 技術控制與 A.5 組織控制中的供應商與資產管理子項。</w:t>
      </w:r>
    </w:p>
    <w:p>
      <w:pPr>
        <w:pStyle w:val="Heading2"/>
        <w:spacing w:after="160" w:before="280"/>
      </w:pPr>
      <w:r>
        <w:t xml:space="preserve">4.1 ISO 27001 主要對應控制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控制編號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控制名稱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IDP 對應元件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A.5.9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資產清冊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Catalog 自動維護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A.5.15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存取控制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RBAC + SSO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A.5.19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供應商關係（資安）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SBOM via Syft + Backstage Catalog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A.5.23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雲端服務使用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Crossplane Composition + IaC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A.5.30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ICT 業務持續性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 multi-cluster + Velero backup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A.8.1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終端裝置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（IDP 不直接對應）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特權存取權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RBAC + Just-in-Time 權限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A.8.3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資訊存取限制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+ NetworkPolicy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A.8.7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防範惡意軟體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Trivy + Cosign 簽章驗證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A.8.8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技術漏洞管理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CI/CD pipeline + Renovate / Dependabot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A.8.9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組態管理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GitOps（Argo CD）= configuration baseline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A.8.15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記錄日誌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OpenTelemetry + Loki / Splunk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A.8.16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監控活動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+ Falco（runtime security）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A.8.20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網路安全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Cilium + Service Mesh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A.8.25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安全開發生命週期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Templates 強制安全 baseline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A.8.28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安全程式設計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Pre-commit hooks + SAST in CI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A.8.32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變更管理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GitOps + PR workflow</w:t>
            </w:r>
          </w:p>
        </w:tc>
      </w:tr>
    </w:tbl>
    <w:p>
      <w:pPr>
        <w:pStyle w:val="Heading2"/>
        <w:spacing w:after="160" w:before="280"/>
      </w:pPr>
      <w:r>
        <w:t xml:space="preserve">4.2 ISO 27001 與 SOC 2 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SOC 2 Type II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ISO 27001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地理區域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美國主導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國際通用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評核方式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CPA 事務所審計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認證機構（BSI / DNV / TÜV）稽核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週期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每年（continuous audit window）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認證 3 年 + surveillance audits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要求形式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「Trust Services Criteria」描述目標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「Annex A」列舉控制（可裁適）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對 IDP 的接受度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高（GitOps 已成主流證據）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高（A.8.32 變更管理明示）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客戶要求頻率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B2B SaaS 高頻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歐洲 / 政府客戶高頻</w:t>
            </w:r>
          </w:p>
        </w:tc>
      </w:tr>
    </w:tbl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實務建議：同時做 SOC 2 + ISO 27001 的組織，可用一份 IDP 證據庫對應雙方控制。Drata / Vanta / Secureframe 等 GRC SaaS 已內建雙向對應表。</w:t>
      </w:r>
    </w:p>
    <w:p>
      <w:pPr>
        <w:pStyle w:val="Heading1"/>
        <w:pageBreakBefore/>
        <w:spacing w:after="200" w:before="0"/>
      </w:pPr>
      <w:r>
        <w:t xml:space="preserve">五、PCI-DSS 4.0 對應</w:t>
      </w:r>
    </w:p>
    <w:p>
      <w:pPr>
        <w:spacing w:after="120" w:line="240"/>
      </w:pPr>
      <w:r>
        <w:rPr>
          <w:sz w:val="19"/>
          <w:szCs w:val="19"/>
        </w:rPr>
        <w:t xml:space="preserve">PCI-DSS（Payment Card Industry Data Security Standard）4.0 於 2024 年完全生效，較 3.2.1 增加多項持續監控與自動化要求。對處理信用卡資料（CHD / SAD）的組織強制適用。</w:t>
      </w:r>
    </w:p>
    <w:p>
      <w:pPr>
        <w:pStyle w:val="Heading2"/>
        <w:spacing w:after="160" w:before="280"/>
      </w:pPr>
      <w:r>
        <w:t xml:space="preserve">5.1 PCI-DSS 4.0 主要對應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IDP 對應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1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網路安全控制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Cilium NetworkPolicy + Service Mesh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安全配置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 強制 baseline（無預設密碼、加密 at rest）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3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保護儲存的帳戶資料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Sealed Secrets / External Secrets Operator + KMS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4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傳輸加密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Istio mTLS（自動 cert rotation）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5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防範惡意軟體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Trivy + Falco runtime detection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6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安全系統與軟體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GitOps + Renovate + SAST/DAST in CI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7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限制存取（業務需要）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RBAC + Catalog ownership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8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識別與認證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SSO（Okta）+ MFA enforced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10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記錄與監控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OpenTelemetry + Loki + 自動 anomaly detection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11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持續測試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CI/CD pipeline scans + ZAP / Burp 自動化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Req 12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資安政策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TechDocs（policy as code 化）</w:t>
            </w:r>
          </w:p>
        </w:tc>
      </w:tr>
    </w:tbl>
    <w:p>
      <w:pPr>
        <w:pStyle w:val="Heading2"/>
        <w:spacing w:after="160" w:before="280"/>
      </w:pPr>
      <w:r>
        <w:t xml:space="preserve">5.2 PCI-DSS 4.0 新增的「持續性」要求</w:t>
      </w:r>
    </w:p>
    <w:p>
      <w:pPr>
        <w:spacing w:after="120" w:line="240"/>
      </w:pPr>
      <w:r>
        <w:rPr>
          <w:sz w:val="19"/>
          <w:szCs w:val="19"/>
        </w:rPr>
        <w:t xml:space="preserve">4.0 版最大改變是強調「Continuous Compliance」而非年度評核。新要求包括：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Req 6.4.3：</w:t>
      </w:r>
      <w:r>
        <w:rPr>
          <w:sz w:val="19"/>
          <w:szCs w:val="19"/>
        </w:rPr>
        <w:t xml:space="preserve">支付頁面的腳本變更需即時偵測（IDP + GitOps 自動覆蓋）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Req 8.3.6：</w:t>
      </w:r>
      <w:r>
        <w:rPr>
          <w:sz w:val="19"/>
          <w:szCs w:val="19"/>
        </w:rPr>
        <w:t xml:space="preserve">密碼政策需自動強制（透過 SSO + Kyverno）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Req 10.4.1.1：</w:t>
      </w:r>
      <w:r>
        <w:rPr>
          <w:sz w:val="19"/>
          <w:szCs w:val="19"/>
        </w:rPr>
        <w:t xml:space="preserve">log 自動化分析（Falco + Prometheus alert）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Req 11.6.1：</w:t>
      </w:r>
      <w:r>
        <w:rPr>
          <w:sz w:val="19"/>
          <w:szCs w:val="19"/>
        </w:rPr>
        <w:t xml:space="preserve">重要支付資產變更需自動偵測並告警（Argo CD drift detection）</w:t>
      </w:r>
    </w:p>
    <w:p>
      <w:pPr>
        <w:shd w:fill="EFF6FF" w:val="clear"/>
        <w:spacing w:after="200" w:before="100" w:line="240"/>
      </w:pPr>
      <w:r>
        <w:rPr>
          <w:b/>
          <w:bCs/>
          <w:color w:val="1F3A5F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4.0 的持續性要求讓「沒有自動化的組織」幾乎不可能維持合規──IDP 從「nice to have」變成「實質必要」。</w:t>
      </w:r>
    </w:p>
    <w:p>
      <w:pPr>
        <w:pStyle w:val="Heading1"/>
        <w:pageBreakBefore/>
        <w:spacing w:after="200" w:before="0"/>
      </w:pPr>
      <w:r>
        <w:t xml:space="preserve">六、HIPAA / FedRAMP / EU DORA 對應</w:t>
      </w:r>
    </w:p>
    <w:p>
      <w:pPr>
        <w:pStyle w:val="Heading2"/>
        <w:spacing w:after="160" w:before="280"/>
      </w:pPr>
      <w:r>
        <w:t xml:space="preserve">6.1 HIPAA（美國醫療隱私）</w:t>
      </w:r>
    </w:p>
    <w:p>
      <w:pPr>
        <w:spacing w:after="120" w:line="240"/>
      </w:pPr>
      <w:r>
        <w:rPr>
          <w:sz w:val="19"/>
          <w:szCs w:val="19"/>
        </w:rPr>
        <w:t xml:space="preserve">HIPAA 的 Security Rule（§164.302–§164.318）規範 ePHI（電子受保護健康資訊）的技術安全保護。IDP 對應：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§ 條文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技術保護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IDP 對應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§164.312(a)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存取控制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RBAC + 自動 deprovision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§164.312(b)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稽核控制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OpenTelemetry + 不可竄改 log（WORM 儲存）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§164.312(c)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完整性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Sigstore 容器簽章 + Cosign 驗證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§164.312(d)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個人或實體認證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SSO + MFA + Hardware token 支援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§164.312(e)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傳輸安全</w:t>
            </w:r>
          </w:p>
        </w:tc>
        <w:tc>
          <w:tcPr>
            <w:tcW w:type="dxa" w:w="5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Istio mTLS + TLS 1.3</w:t>
            </w:r>
          </w:p>
        </w:tc>
      </w:tr>
    </w:tbl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HIPAA 的 BAA（Business Associate Agreement）通常會要求供應商提供 SOC 2 Type II 報告，所以 IDP 對 HIPAA 的價值多半透過 SOC 2 間接體現。</w:t>
      </w:r>
    </w:p>
    <w:p>
      <w:pPr>
        <w:pStyle w:val="Heading2"/>
        <w:spacing w:after="160" w:before="280"/>
      </w:pPr>
      <w:r>
        <w:t xml:space="preserve">6.2 FedRAMP（美國聯邦雲端授權）</w:t>
      </w:r>
    </w:p>
    <w:p>
      <w:pPr>
        <w:spacing w:after="120" w:line="240"/>
      </w:pPr>
      <w:r>
        <w:rPr>
          <w:sz w:val="19"/>
          <w:szCs w:val="19"/>
        </w:rPr>
        <w:t xml:space="preserve">FedRAMP 是 NIST SP 800-53 Rev 5 的雲端應用，分為三個等級：Low（125 控制）、Moderate（325 控制）、High（421 控制）。對 IDP 友善程度：極高。</w:t>
      </w:r>
    </w:p>
    <w:p>
      <w:pPr>
        <w:spacing w:after="120" w:line="240"/>
      </w:pPr>
      <w:r>
        <w:rPr>
          <w:sz w:val="19"/>
          <w:szCs w:val="19"/>
        </w:rPr>
        <w:t xml:space="preserve">FedRAMP 的 ConMon（Continuous Monitoring）要求是業界最嚴格的之一：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Monthly：</w:t>
      </w:r>
      <w:r>
        <w:rPr>
          <w:sz w:val="19"/>
          <w:szCs w:val="19"/>
        </w:rPr>
        <w:t xml:space="preserve">漏洞掃描報告、POA&amp;M（Plan of Action &amp; Milestones）更新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Quarterly：</w:t>
      </w:r>
      <w:r>
        <w:rPr>
          <w:sz w:val="19"/>
          <w:szCs w:val="19"/>
        </w:rPr>
        <w:t xml:space="preserve">存取權限 review、控制有效性自評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Annually：</w:t>
      </w:r>
      <w:r>
        <w:rPr>
          <w:sz w:val="19"/>
          <w:szCs w:val="19"/>
        </w:rPr>
        <w:t xml:space="preserve">Penetration test + 第三方稽核</w:t>
      </w:r>
    </w:p>
    <w:p>
      <w:pPr>
        <w:spacing w:after="120" w:line="240"/>
      </w:pPr>
      <w:r>
        <w:rPr>
          <w:sz w:val="19"/>
          <w:szCs w:val="19"/>
        </w:rPr>
        <w:t xml:space="preserve">這種強度的 ConMon 幾乎強制需要 IDP 等級的自動化。手工流程在 FedRAMP Moderate / High 等級基本無法持續。</w:t>
      </w:r>
    </w:p>
    <w:p>
      <w:pPr>
        <w:pStyle w:val="Heading2"/>
        <w:spacing w:after="160" w:before="280"/>
      </w:pPr>
      <w:r>
        <w:t xml:space="preserve">6.3 EU DORA（歐盟金融數位營運韌性）</w:t>
      </w:r>
    </w:p>
    <w:p>
      <w:pPr>
        <w:spacing w:after="120" w:line="240"/>
      </w:pPr>
      <w:r>
        <w:rPr>
          <w:sz w:val="19"/>
          <w:szCs w:val="19"/>
        </w:rPr>
        <w:t xml:space="preserve">DORA（Digital Operational Resilience Act）2025-01-17 生效，適用於歐盟所有金融業（含 ICT 第三方服務商）。五大支柱：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b/>
          <w:bCs/>
          <w:sz w:val="19"/>
          <w:szCs w:val="19"/>
        </w:rPr>
        <w:t xml:space="preserve">ICT 風險管理框架</w:t>
      </w:r>
      <w:r>
        <w:rPr>
          <w:sz w:val="19"/>
          <w:szCs w:val="19"/>
        </w:rPr>
        <w:t xml:space="preserve">──需文件化、定期更新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b/>
          <w:bCs/>
          <w:sz w:val="19"/>
          <w:szCs w:val="19"/>
        </w:rPr>
        <w:t xml:space="preserve">ICT 相關事件報告</w:t>
      </w:r>
      <w:r>
        <w:rPr>
          <w:sz w:val="19"/>
          <w:szCs w:val="19"/>
        </w:rPr>
        <w:t xml:space="preserve">──重大事件 4 小時內通報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b/>
          <w:bCs/>
          <w:sz w:val="19"/>
          <w:szCs w:val="19"/>
        </w:rPr>
        <w:t xml:space="preserve">數位營運韌性測試</w:t>
      </w:r>
      <w:r>
        <w:rPr>
          <w:sz w:val="19"/>
          <w:szCs w:val="19"/>
        </w:rPr>
        <w:t xml:space="preserve">──年度 + TLPT（Threat-Led Penetration Testing）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b/>
          <w:bCs/>
          <w:sz w:val="19"/>
          <w:szCs w:val="19"/>
        </w:rPr>
        <w:t xml:space="preserve">ICT 第三方風險管理</w:t>
      </w:r>
      <w:r>
        <w:rPr>
          <w:sz w:val="19"/>
          <w:szCs w:val="19"/>
        </w:rPr>
        <w:t xml:space="preserve">──供應商集中度監控、退出計畫</w:t>
      </w:r>
    </w:p>
    <w:p>
      <w:pPr>
        <w:pStyle w:val="ListParagraph"/>
        <w:numPr>
          <w:ilvl w:val="0"/>
          <w:numId w:val="5"/>
        </w:numPr>
        <w:spacing w:after="100" w:line="240"/>
      </w:pPr>
      <w:r>
        <w:rPr>
          <w:b/>
          <w:bCs/>
          <w:sz w:val="19"/>
          <w:szCs w:val="19"/>
        </w:rPr>
        <w:t xml:space="preserve">資訊分享機制</w:t>
      </w:r>
      <w:r>
        <w:rPr>
          <w:sz w:val="19"/>
          <w:szCs w:val="19"/>
        </w:rPr>
        <w:t xml:space="preserve">──業界威脅情資交換</w:t>
      </w:r>
    </w:p>
    <w:p>
      <w:pPr>
        <w:spacing w:after="120" w:line="240"/>
      </w:pPr>
      <w:r>
        <w:rPr>
          <w:sz w:val="19"/>
          <w:szCs w:val="19"/>
        </w:rPr>
        <w:t xml:space="preserve">IDP 對 DORA 的價值：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Pillar 1（風險管理）：</w:t>
      </w:r>
      <w:r>
        <w:rPr>
          <w:sz w:val="19"/>
          <w:szCs w:val="19"/>
        </w:rPr>
        <w:t xml:space="preserve">Backstage Catalog = ICT 資產清冊；Crossplane = 基礎設施控制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Pillar 2（事件報告）：</w:t>
      </w:r>
      <w:r>
        <w:rPr>
          <w:sz w:val="19"/>
          <w:szCs w:val="19"/>
        </w:rPr>
        <w:t xml:space="preserve">Argo CD + Prometheus = 4 小時通報所需的可觀測性基礎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Pillar 3（韌性測試）：</w:t>
      </w:r>
      <w:r>
        <w:rPr>
          <w:sz w:val="19"/>
          <w:szCs w:val="19"/>
        </w:rPr>
        <w:t xml:space="preserve">Chaos Mesh / LitmusChaos 整合 IDP，自動執行 chaos engineering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b/>
          <w:bCs/>
          <w:sz w:val="19"/>
          <w:szCs w:val="19"/>
        </w:rPr>
        <w:t xml:space="preserve">Pillar 4（第三方）：</w:t>
      </w:r>
      <w:r>
        <w:rPr>
          <w:sz w:val="19"/>
          <w:szCs w:val="19"/>
        </w:rPr>
        <w:t xml:space="preserve">SBOM via Syft + Backstage 依賴關係圖</w:t>
      </w:r>
    </w:p>
    <w:p>
      <w:pPr>
        <w:pStyle w:val="Heading1"/>
        <w:pageBreakBefore/>
        <w:spacing w:after="200" w:before="0"/>
      </w:pPr>
      <w:r>
        <w:t xml:space="preserve">七、IDP 合規部署的三種模式</w:t>
      </w:r>
    </w:p>
    <w:p>
      <w:pPr>
        <w:spacing w:after="120" w:line="240"/>
      </w:pPr>
      <w:r>
        <w:rPr>
          <w:sz w:val="19"/>
          <w:szCs w:val="19"/>
        </w:rPr>
        <w:t xml:space="preserve">依組織合規成熟度，IDP 的政策強度建議分三階段導入：</w:t>
      </w:r>
    </w:p>
    <w:p>
      <w:pPr>
        <w:pStyle w:val="Heading2"/>
        <w:spacing w:after="160" w:before="280"/>
      </w:pPr>
      <w:r>
        <w:t xml:space="preserve">7.1 Model A：Open（開放模式）</w:t>
      </w:r>
    </w:p>
    <w:p>
      <w:pPr>
        <w:spacing w:after="120" w:line="240"/>
      </w:pPr>
      <w:r>
        <w:rPr>
          <w:b/>
          <w:bCs/>
          <w:sz w:val="19"/>
          <w:szCs w:val="19"/>
        </w:rPr>
        <w:t xml:space="preserve">適用場景：</w:t>
      </w:r>
      <w:r>
        <w:rPr>
          <w:sz w:val="19"/>
          <w:szCs w:val="19"/>
        </w:rPr>
        <w:t xml:space="preserve">早期試點、SOC 2 Type I 階段、研發環境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Kyverno 全部 Audit 模式（記錄但不阻擋）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Backstage Catalog 為「可選」工具，不強制每個服務都註冊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允許 manual kubectl apply（含業務 namespace）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RBAC 較寬鬆，多數開發者有 prod 讀取權</w:t>
      </w:r>
    </w:p>
    <w:p>
      <w:pPr>
        <w:spacing w:after="120" w:line="240"/>
      </w:pPr>
      <w:r>
        <w:rPr>
          <w:sz w:val="19"/>
          <w:szCs w:val="19"/>
        </w:rPr>
        <w:t xml:space="preserve">優點：採用阻力小；缺點：審計時證據不足，僅適合 Type I 或 ISO 27001 surveillance audit。</w:t>
      </w:r>
    </w:p>
    <w:p>
      <w:pPr>
        <w:pStyle w:val="Heading2"/>
        <w:spacing w:after="160" w:before="280"/>
      </w:pPr>
      <w:r>
        <w:t xml:space="preserve">7.2 Model B：Hybrid（混合模式）</w:t>
      </w:r>
    </w:p>
    <w:p>
      <w:pPr>
        <w:spacing w:after="120" w:line="240"/>
      </w:pPr>
      <w:r>
        <w:rPr>
          <w:b/>
          <w:bCs/>
          <w:sz w:val="19"/>
          <w:szCs w:val="19"/>
        </w:rPr>
        <w:t xml:space="preserve">適用場景：</w:t>
      </w:r>
      <w:r>
        <w:rPr>
          <w:sz w:val="19"/>
          <w:szCs w:val="19"/>
        </w:rPr>
        <w:t xml:space="preserve">SOC 2 Type II 第一輪、ISO 27001 認證、中型組織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業務 namespace：Kyverno Enforce（強制 IDP CRD）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平台 / 實驗 namespace：Audit 模式（提供 escape hatch）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Backstage Catalog 強制註冊（CI 檢查 catalog-info.yaml）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manual kubectl apply 限平台工程師（緊急情況 break-glass）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RBAC 嚴格，prod 寫入權需 SSO + MFA + approval</w:t>
      </w:r>
    </w:p>
    <w:p>
      <w:pPr>
        <w:spacing w:after="120" w:line="240"/>
      </w:pPr>
      <w:r>
        <w:rPr>
          <w:sz w:val="19"/>
          <w:szCs w:val="19"/>
        </w:rPr>
        <w:t xml:space="preserve">優點：平衡採用阻力與合規證據；缺點：需要清楚的 namespace 治理規則。</w:t>
      </w:r>
    </w:p>
    <w:p>
      <w:pPr>
        <w:pStyle w:val="Heading2"/>
        <w:spacing w:after="160" w:before="280"/>
      </w:pPr>
      <w:r>
        <w:t xml:space="preserve">7.3 Model C：Strict（嚴格模式）</w:t>
      </w:r>
    </w:p>
    <w:p>
      <w:pPr>
        <w:spacing w:after="120" w:line="240"/>
      </w:pPr>
      <w:r>
        <w:rPr>
          <w:b/>
          <w:bCs/>
          <w:sz w:val="19"/>
          <w:szCs w:val="19"/>
        </w:rPr>
        <w:t xml:space="preserve">適用場景：</w:t>
      </w:r>
      <w:r>
        <w:rPr>
          <w:sz w:val="19"/>
          <w:szCs w:val="19"/>
        </w:rPr>
        <w:t xml:space="preserve">PCI-DSS 4.0、FedRAMP Moderate / High、DORA、HIPAA 高敏感場景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全部 namespace 強制 Enforce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manual kubectl apply 完全禁止（含平台工程師）──需透過 PR 才能改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Break-glass 流程嚴格：需主管核准、自動產生 audit ticket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Backstage Catalog 即時同步（webhook + reconcile loop）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Kyverno 政策本身也版控（policy as code）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Cosign 容器簽章強制（拒絕無簽章 image）</w:t>
      </w:r>
    </w:p>
    <w:p>
      <w:pPr>
        <w:spacing w:after="120" w:line="240"/>
      </w:pPr>
      <w:r>
        <w:rPr>
          <w:sz w:val="19"/>
          <w:szCs w:val="19"/>
        </w:rPr>
        <w:t xml:space="preserve">優點：審計證據最完整；缺點：採用門檻高，不適合早期或 PoC 環境。</w:t>
      </w:r>
    </w:p>
    <w:p>
      <w:pPr>
        <w:pStyle w:val="Heading2"/>
        <w:spacing w:after="160" w:before="280"/>
      </w:pPr>
      <w:r>
        <w:t xml:space="preserve">7.4 漸進式採用建議</w:t>
      </w:r>
    </w:p>
    <w:p>
      <w:pPr>
        <w:spacing w:after="120" w:line="240"/>
      </w:pPr>
      <w:r>
        <w:rPr>
          <w:sz w:val="19"/>
          <w:szCs w:val="19"/>
        </w:rPr>
        <w:t xml:space="preserve">實務上，多數組織採用「漸進升級」路徑：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Phase 1 (0-6 months)   →  Model A: Open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└─ 試點 1-2 個業務團隊，建立 Backstage Catalog 基礎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Phase 2 (6-12 months)  →  Model B: Hybrid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└─ 業務 namespace 切 Enforce，準備 SOC 2 Type I/II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Phase 3 (12-24 months) →  Model C: Strict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└─ 視合規需求 (PCI-DSS / FedRAMP) 決定是否升級</w:t>
      </w:r>
    </w:p>
    <w:p>
      <w:pPr>
        <w:pStyle w:val="Heading1"/>
        <w:pageBreakBefore/>
        <w:spacing w:after="200" w:before="0"/>
      </w:pPr>
      <w:r>
        <w:t xml:space="preserve">八、SOC 2 Type II 審計準備 Checklist（IDP 觀點）</w:t>
      </w:r>
    </w:p>
    <w:p>
      <w:pPr>
        <w:spacing w:after="120" w:line="240"/>
      </w:pPr>
      <w:r>
        <w:rPr>
          <w:sz w:val="19"/>
          <w:szCs w:val="19"/>
        </w:rPr>
        <w:t xml:space="preserve">以下清單針對「IDP 已部署」的組織，在 SOC 2 Type II 審計前 1-2 個月應完成的準備工作。</w:t>
      </w:r>
    </w:p>
    <w:p>
      <w:pPr>
        <w:pStyle w:val="Heading2"/>
        <w:spacing w:after="160" w:before="280"/>
      </w:pPr>
      <w:r>
        <w:t xml:space="preserve">8.1 證據蒐集自動化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sz w:val="19"/>
          <w:szCs w:val="19"/>
        </w:rPr>
        <w:t xml:space="preserve">確認 Argo CD Sync history 至少保留 12 個月（預設只保留 200 個 revision，要調整）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sz w:val="19"/>
          <w:szCs w:val="19"/>
        </w:rPr>
        <w:t xml:space="preserve">確認 Backstage Catalog 與實際叢集 reconcile 正常（&lt; 1 小時延遲）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sz w:val="19"/>
          <w:szCs w:val="19"/>
        </w:rPr>
        <w:t xml:space="preserve">確認 Kyverno PolicyReport 留存（給審計師查違規記錄）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sz w:val="19"/>
          <w:szCs w:val="19"/>
        </w:rPr>
        <w:t xml:space="preserve">確認 GitHub / GitLab 的 PR 與 commit 至少保留 12 個月（預設無限期，但要確認 GHE 自架版未開啟自動清理）</w:t>
      </w:r>
    </w:p>
    <w:p>
      <w:pPr>
        <w:pStyle w:val="ListParagraph"/>
        <w:numPr>
          <w:ilvl w:val="0"/>
          <w:numId w:val="6"/>
        </w:numPr>
        <w:spacing w:after="100" w:line="240"/>
      </w:pPr>
      <w:r>
        <w:rPr>
          <w:sz w:val="19"/>
          <w:szCs w:val="19"/>
        </w:rPr>
        <w:t xml:space="preserve">確認 OpenTelemetry / Loki 的 log retention ≥ 12 個月（部分組織預設只 30 天）</w:t>
      </w:r>
    </w:p>
    <w:p>
      <w:pPr>
        <w:pStyle w:val="Heading2"/>
        <w:spacing w:after="160" w:before="280"/>
      </w:pPr>
      <w:r>
        <w:t xml:space="preserve">8.2 政策文件化</w:t>
      </w:r>
    </w:p>
    <w:p>
      <w:pPr>
        <w:pStyle w:val="ListParagraph"/>
        <w:numPr>
          <w:ilvl w:val="0"/>
          <w:numId w:val="7"/>
        </w:numPr>
        <w:spacing w:after="100" w:line="240"/>
      </w:pPr>
      <w:r>
        <w:rPr>
          <w:sz w:val="19"/>
          <w:szCs w:val="19"/>
        </w:rPr>
        <w:t xml:space="preserve">撰寫「IDP 治理白皮書」──Backstage / Argo CD / Kyverno / Crossplane 角色與責任</w:t>
      </w:r>
    </w:p>
    <w:p>
      <w:pPr>
        <w:pStyle w:val="ListParagraph"/>
        <w:numPr>
          <w:ilvl w:val="0"/>
          <w:numId w:val="7"/>
        </w:numPr>
        <w:spacing w:after="100" w:line="240"/>
      </w:pPr>
      <w:r>
        <w:rPr>
          <w:sz w:val="19"/>
          <w:szCs w:val="19"/>
        </w:rPr>
        <w:t xml:space="preserve">撰寫「Break-glass 程序」──緊急時何時、如何繞過 GitOps</w:t>
      </w:r>
    </w:p>
    <w:p>
      <w:pPr>
        <w:pStyle w:val="ListParagraph"/>
        <w:numPr>
          <w:ilvl w:val="0"/>
          <w:numId w:val="7"/>
        </w:numPr>
        <w:spacing w:after="100" w:line="240"/>
      </w:pPr>
      <w:r>
        <w:rPr>
          <w:sz w:val="19"/>
          <w:szCs w:val="19"/>
        </w:rPr>
        <w:t xml:space="preserve">撰寫「IDP 變更管理 SOP」──IDP 自身（Backstage / Argo CD 升級）的變更流程</w:t>
      </w:r>
    </w:p>
    <w:p>
      <w:pPr>
        <w:pStyle w:val="ListParagraph"/>
        <w:numPr>
          <w:ilvl w:val="0"/>
          <w:numId w:val="7"/>
        </w:numPr>
        <w:spacing w:after="100" w:line="240"/>
      </w:pPr>
      <w:r>
        <w:rPr>
          <w:sz w:val="19"/>
          <w:szCs w:val="19"/>
        </w:rPr>
        <w:t xml:space="preserve">撰寫「Catalog 維護 SOP」──新服務註冊、ownership 轉移、退役流程</w:t>
      </w:r>
    </w:p>
    <w:p>
      <w:pPr>
        <w:pStyle w:val="Heading2"/>
        <w:spacing w:after="160" w:before="280"/>
      </w:pPr>
      <w:r>
        <w:t xml:space="preserve">8.3 控制驗證測試</w:t>
      </w:r>
    </w:p>
    <w:p>
      <w:pPr>
        <w:pStyle w:val="ListParagraph"/>
        <w:numPr>
          <w:ilvl w:val="0"/>
          <w:numId w:val="8"/>
        </w:numPr>
        <w:spacing w:after="100" w:line="240"/>
      </w:pPr>
      <w:r>
        <w:rPr>
          <w:sz w:val="19"/>
          <w:szCs w:val="19"/>
        </w:rPr>
        <w:t xml:space="preserve">試做 Kyverno 政策違規部署，確認被拒絕並產生 alert</w:t>
      </w:r>
    </w:p>
    <w:p>
      <w:pPr>
        <w:pStyle w:val="ListParagraph"/>
        <w:numPr>
          <w:ilvl w:val="0"/>
          <w:numId w:val="8"/>
        </w:numPr>
        <w:spacing w:after="100" w:line="240"/>
      </w:pPr>
      <w:r>
        <w:rPr>
          <w:sz w:val="19"/>
          <w:szCs w:val="19"/>
        </w:rPr>
        <w:t xml:space="preserve">試做未授權 RBAC 操作，確認被 SSO 拒絕並記錄</w:t>
      </w:r>
    </w:p>
    <w:p>
      <w:pPr>
        <w:pStyle w:val="ListParagraph"/>
        <w:numPr>
          <w:ilvl w:val="0"/>
          <w:numId w:val="8"/>
        </w:numPr>
        <w:spacing w:after="100" w:line="240"/>
      </w:pPr>
      <w:r>
        <w:rPr>
          <w:sz w:val="19"/>
          <w:szCs w:val="19"/>
        </w:rPr>
        <w:t xml:space="preserve">試做容器漏洞掃描失敗，確認 CI 阻擋部署</w:t>
      </w:r>
    </w:p>
    <w:p>
      <w:pPr>
        <w:pStyle w:val="ListParagraph"/>
        <w:numPr>
          <w:ilvl w:val="0"/>
          <w:numId w:val="8"/>
        </w:numPr>
        <w:spacing w:after="100" w:line="240"/>
      </w:pPr>
      <w:r>
        <w:rPr>
          <w:sz w:val="19"/>
          <w:szCs w:val="19"/>
        </w:rPr>
        <w:t xml:space="preserve">試做 manual kubectl apply 到業務 namespace，確認被拒絕（Hybrid / Strict 模式）</w:t>
      </w:r>
    </w:p>
    <w:p>
      <w:pPr>
        <w:pStyle w:val="ListParagraph"/>
        <w:numPr>
          <w:ilvl w:val="0"/>
          <w:numId w:val="8"/>
        </w:numPr>
        <w:spacing w:after="100" w:line="240"/>
      </w:pPr>
      <w:r>
        <w:rPr>
          <w:sz w:val="19"/>
          <w:szCs w:val="19"/>
        </w:rPr>
        <w:t xml:space="preserve">試做 Argo CD drift（手動改叢集），確認被自動 reconcile 回 Git 狀態</w:t>
      </w:r>
    </w:p>
    <w:p>
      <w:pPr>
        <w:pStyle w:val="Heading2"/>
        <w:spacing w:after="160" w:before="280"/>
      </w:pPr>
      <w:r>
        <w:t xml:space="preserve">8.4 審計師訪談準備</w:t>
      </w:r>
    </w:p>
    <w:p>
      <w:pPr>
        <w:pStyle w:val="ListParagraph"/>
        <w:numPr>
          <w:ilvl w:val="0"/>
          <w:numId w:val="9"/>
        </w:numPr>
        <w:spacing w:after="100" w:line="240"/>
      </w:pPr>
      <w:r>
        <w:rPr>
          <w:sz w:val="19"/>
          <w:szCs w:val="19"/>
        </w:rPr>
        <w:t xml:space="preserve">準備 IDP 架構圖（CC1.1-CC1.4 控制環境）</w:t>
      </w:r>
    </w:p>
    <w:p>
      <w:pPr>
        <w:pStyle w:val="ListParagraph"/>
        <w:numPr>
          <w:ilvl w:val="0"/>
          <w:numId w:val="9"/>
        </w:numPr>
        <w:spacing w:after="100" w:line="240"/>
      </w:pPr>
      <w:r>
        <w:rPr>
          <w:sz w:val="19"/>
          <w:szCs w:val="19"/>
        </w:rPr>
        <w:t xml:space="preserve">準備 5-10 個「典型變更」demo（CC8.1）</w:t>
      </w:r>
    </w:p>
    <w:p>
      <w:pPr>
        <w:pStyle w:val="ListParagraph"/>
        <w:numPr>
          <w:ilvl w:val="0"/>
          <w:numId w:val="9"/>
        </w:numPr>
        <w:spacing w:after="100" w:line="240"/>
      </w:pPr>
      <w:r>
        <w:rPr>
          <w:sz w:val="19"/>
          <w:szCs w:val="19"/>
        </w:rPr>
        <w:t xml:space="preserve">準備「上次的 incident postmortem」（CC7.3 / 7.4）</w:t>
      </w:r>
    </w:p>
    <w:p>
      <w:pPr>
        <w:pStyle w:val="ListParagraph"/>
        <w:numPr>
          <w:ilvl w:val="0"/>
          <w:numId w:val="9"/>
        </w:numPr>
        <w:spacing w:after="100" w:line="240"/>
      </w:pPr>
      <w:r>
        <w:rPr>
          <w:sz w:val="19"/>
          <w:szCs w:val="19"/>
        </w:rPr>
        <w:t xml:space="preserve">準備「最近一次 quarterly access review」記錄（CC6.3）</w:t>
      </w:r>
    </w:p>
    <w:p>
      <w:pPr>
        <w:pStyle w:val="Heading1"/>
        <w:pageBreakBefore/>
        <w:spacing w:after="200" w:before="0"/>
      </w:pPr>
      <w:r>
        <w:t xml:space="preserve">九、結語與免責</w:t>
      </w:r>
    </w:p>
    <w:p>
      <w:pPr>
        <w:pStyle w:val="Heading2"/>
        <w:spacing w:after="160" w:before="280"/>
      </w:pPr>
      <w:r>
        <w:t xml:space="preserve">9.1 核心結論</w:t>
      </w:r>
    </w:p>
    <w:p>
      <w:pPr>
        <w:pStyle w:val="ListParagraph"/>
        <w:numPr>
          <w:ilvl w:val="0"/>
          <w:numId w:val="10"/>
        </w:numPr>
        <w:spacing w:after="100" w:line="240"/>
      </w:pPr>
      <w:r>
        <w:rPr>
          <w:b/>
          <w:bCs/>
          <w:sz w:val="19"/>
          <w:szCs w:val="19"/>
        </w:rPr>
        <w:t xml:space="preserve">IDP 不是任何法遵框架的「強制要求」</w:t>
      </w:r>
      <w:r>
        <w:rPr>
          <w:sz w:val="19"/>
          <w:szCs w:val="19"/>
        </w:rPr>
        <w:t xml:space="preserve">──但能讓多項合規控制的「實作」與「舉證」變成自動化副產物。</w:t>
      </w:r>
    </w:p>
    <w:p>
      <w:pPr>
        <w:pStyle w:val="ListParagraph"/>
        <w:numPr>
          <w:ilvl w:val="0"/>
          <w:numId w:val="10"/>
        </w:numPr>
        <w:spacing w:after="100" w:line="240"/>
      </w:pPr>
      <w:r>
        <w:rPr>
          <w:b/>
          <w:bCs/>
          <w:sz w:val="19"/>
          <w:szCs w:val="19"/>
        </w:rPr>
        <w:t xml:space="preserve">組織服務數 &gt; 20 + 已要求 SOC 2 Type II</w:t>
      </w:r>
      <w:r>
        <w:rPr>
          <w:sz w:val="19"/>
          <w:szCs w:val="19"/>
        </w:rPr>
        <w:t xml:space="preserve">──IDP 投資回收期通常 &lt; 12 個月。</w:t>
      </w:r>
    </w:p>
    <w:p>
      <w:pPr>
        <w:pStyle w:val="ListParagraph"/>
        <w:numPr>
          <w:ilvl w:val="0"/>
          <w:numId w:val="10"/>
        </w:numPr>
        <w:spacing w:after="100" w:line="240"/>
      </w:pPr>
      <w:r>
        <w:rPr>
          <w:b/>
          <w:bCs/>
          <w:sz w:val="19"/>
          <w:szCs w:val="19"/>
        </w:rPr>
        <w:t xml:space="preserve">PCI-DSS 4.0 / FedRAMP / DORA 等強調「持續性」的框架</w:t>
      </w:r>
      <w:r>
        <w:rPr>
          <w:sz w:val="19"/>
          <w:szCs w:val="19"/>
        </w:rPr>
        <w:t xml:space="preserve">──幾乎強制需要 IDP 等級的自動化。</w:t>
      </w:r>
    </w:p>
    <w:p>
      <w:pPr>
        <w:pStyle w:val="ListParagraph"/>
        <w:numPr>
          <w:ilvl w:val="0"/>
          <w:numId w:val="10"/>
        </w:numPr>
        <w:spacing w:after="100" w:line="240"/>
      </w:pPr>
      <w:r>
        <w:rPr>
          <w:b/>
          <w:bCs/>
          <w:sz w:val="19"/>
          <w:szCs w:val="19"/>
        </w:rPr>
        <w:t xml:space="preserve">不要為了合規才導入 IDP</w:t>
      </w:r>
      <w:r>
        <w:rPr>
          <w:sz w:val="19"/>
          <w:szCs w:val="19"/>
        </w:rPr>
        <w:t xml:space="preserve">──核心驅動仍應是開發者體驗與規模化。</w:t>
      </w:r>
    </w:p>
    <w:p>
      <w:pPr>
        <w:pStyle w:val="Heading2"/>
        <w:spacing w:after="160" w:before="280"/>
      </w:pPr>
      <w:r>
        <w:t xml:space="preserve">9.2 投資回報試算（中型 SaaS，120 人 R&amp;D）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沒有 IDP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有 IDP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節省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GRC 人力（FTE）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3-4 名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1-2 名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~2 FTE × $150K = $300K/yr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SOC 2 Type II 準備時數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800-1200 hr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300-500 hr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~600 hr × $100 = $60K/yr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審計費用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$80-120K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$60-90K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~$25K/yr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違規 / 事件成本（年均）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$200-500K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$50-150K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~$200K/yr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合計年度節省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~$585K/yr</w:t>
            </w:r>
          </w:p>
        </w:tc>
      </w:tr>
    </w:tbl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試算為產業平均估值，實際節省視組織複雜度與 IDP 成熟度而異。可作為向 CFO / CISO 提案時的參考數字。</w:t>
      </w:r>
    </w:p>
    <w:p>
      <w:pPr>
        <w:pStyle w:val="Heading2"/>
        <w:spacing w:after="160" w:before="280"/>
      </w:pPr>
      <w:r>
        <w:t xml:space="preserve">9.3 重要免責聲明</w:t>
      </w:r>
    </w:p>
    <w:p>
      <w:pPr>
        <w:shd w:fill="EFF6FF" w:val="clear"/>
        <w:spacing w:after="200" w:before="100" w:line="240"/>
      </w:pPr>
      <w:r>
        <w:rPr>
          <w:b/>
          <w:bCs/>
          <w:color w:val="1F3A5F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以上內容是 IDP 與資安/法遵框架對應關係的技術層面說明，「不構成」法律、審計或合規意見。實際合規範圍、控制要求、證據標準請與貴公司聘用的合資格 CPA、法律顧問或認證機構確認。不同事務所對「合理控制」的判斷標準會有差異；不同行業、地理區域、客戶群也會有額外要求。</w:t>
      </w:r>
    </w:p>
    <w:p>
      <w:pPr>
        <w:pStyle w:val="Heading2"/>
        <w:spacing w:after="160" w:before="280"/>
      </w:pPr>
      <w:r>
        <w:t xml:space="preserve">9.4 延伸閱讀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AICPA Trust Services Criteria（2017 版，2022 修訂）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ISO/IEC 27001:2022 + ISO/IEC 27002:2022（控制實作指引）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PCI-DSS v4.0 Quick Reference Guide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NIST SP 800-53 Rev 5（FedRAMP 基礎）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EU Regulation 2022/2554（DORA 全文）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CNCF Cloud Native Compliance White Paper</w:t>
      </w:r>
    </w:p>
    <w:p>
      <w:pPr>
        <w:pStyle w:val="ListParagraph"/>
        <w:numPr>
          <w:ilvl w:val="0"/>
          <w:numId w:val="3"/>
        </w:numPr>
        <w:spacing w:after="100" w:line="240"/>
      </w:pPr>
      <w:r>
        <w:rPr>
          <w:sz w:val="19"/>
          <w:szCs w:val="19"/>
        </w:rPr>
        <w:t xml:space="preserve">Drata / Vanta / Secureframe 的 SOC 2 + GitOps 實作指南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與資安/法遵框架對照</dc:title>
  <dc:creator>IDP Compliance Architecture Team</dc:creator>
  <cp:lastModifiedBy>Un-named</cp:lastModifiedBy>
  <cp:revision>1</cp:revision>
  <dcterms:created xsi:type="dcterms:W3CDTF">2026-05-03T14:21:02.799Z</dcterms:created>
  <dcterms:modified xsi:type="dcterms:W3CDTF">2026-05-03T14:21:02.801Z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