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jc w:val="center"/>
      </w:pPr>
      <w:r>
        <w:rPr>
          <w:b/>
          <w:bCs/>
          <w:color w:val="1F3A5F"/>
          <w:sz w:val="56"/>
          <w:szCs w:val="56"/>
        </w:rPr>
        <w:t xml:space="preserve">IDP LOCAL</w:t>
      </w:r>
    </w:p>
    <w:p>
      <w:pPr>
        <w:spacing w:after="240"/>
        <w:jc w:val="center"/>
      </w:pPr>
      <w:r>
        <w:rPr>
          <w:color w:val="2F5496"/>
          <w:sz w:val="40"/>
          <w:szCs w:val="40"/>
        </w:rPr>
        <w:t xml:space="preserve">Functional Specification</w:t>
      </w:r>
    </w:p>
    <w:p>
      <w:pPr>
        <w:spacing w:after="1440"/>
        <w:jc w:val="center"/>
      </w:pPr>
      <w:r>
        <w:rPr>
          <w:color w:val="555555"/>
          <w:sz w:val="22"/>
          <w:szCs w:val="22"/>
        </w:rPr>
        <w:t xml:space="preserve">Internal Developer Platform — Docker Desktop Edition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Document version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1.0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May 5, 2026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Released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Platform target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 Kubernetes (single-node)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Terraform version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1.6.0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Node.js version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&gt;= 20 LTS</w:t>
            </w:r>
          </w:p>
        </w:tc>
      </w:tr>
    </w:tbl>
    <w:p>
      <w:r>
        <w:br w:type="page"/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1. Overview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1.1 Purpose</w:t>
      </w:r>
    </w:p>
    <w:p>
      <w:pPr>
        <w:spacing w:after="100"/>
      </w:pPr>
      <w:r>
        <w:rPr>
          <w:sz w:val="19"/>
          <w:szCs w:val="19"/>
        </w:rPr>
        <w:t xml:space="preserve">This document specifies the functional behaviour and feature set of idp-local — a complete, production-pattern Internal Developer Platform (IDP) that runs entirely on a single Docker Desktop Kubernetes node. It is designed to demonstrate and validate the full CNCF-recommended platform engineering stack: from infrastructure provisioning through GitOps deployment, canary release management, policy enforcement, and developer self-service via a portal.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1.2 Scope</w:t>
      </w:r>
    </w:p>
    <w:p>
      <w:pPr>
        <w:spacing w:after="100"/>
      </w:pPr>
      <w:r>
        <w:rPr>
          <w:sz w:val="19"/>
          <w:szCs w:val="19"/>
        </w:rPr>
        <w:t xml:space="preserve">The platform covers the following functional areas: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Platform bootstrap via Terraform + Helm (single terraform apply)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GitOps-managed application deployments through Argo CD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Progressive canary rollouts with automated Prometheus metric gates via Argo Rollouts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Policy enforcement with Kyverno admission controller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Cluster-wide observability with Prometheus, Alertmanager, and Grafana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Developer self-service portal (Backstage) with catalog, TechDocs, Kubernetes, Argo CD, API, and Scaffolder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Two demonstration microservices (svc-alpha, svc-beta) with v1/v2 API versioning and metrics instrumentation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1.3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Production-grade TLS certificate management (uses HTTP for local demo)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External Git repository integration (charts served from local filesystem)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Multi-cluster federation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Long-term data retention (Prometheus retention: 6h)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2. System Architecture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2.1 Platform Stack</w:t>
      </w:r>
    </w:p>
    <w:p>
      <w:pPr>
        <w:spacing w:after="100"/>
      </w:pPr>
      <w:r>
        <w:rPr>
          <w:sz w:val="19"/>
          <w:szCs w:val="19"/>
        </w:rPr>
        <w:t xml:space="preserve">The platform is organised in five functional layers, each deployed as a Helm release managed by a dedicated Terraform module: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Helm Chart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Namespace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Ingress / Traffic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NGINX Ingress Controller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ingress-nginx/ingress-nginx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4.9.1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ingress-nginx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Policy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Kyverno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kyverno/kyverno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3.1.4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kyverno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Infrastructure API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Crossplane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crossplane-stable/crossplane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1.15.0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crossplane-system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Observability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Kube-Prometheus-Stack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prometheus-community/kube-prometheus-stack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57.2.0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monitoring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GitOps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argo/argo-cd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6.7.3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argocd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Rollout Engine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argo/argo-rollouts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2.35.1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argo-rollouts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Developer Portal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backstage/backstage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1.9.4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2.2 Terraform Module Structure</w:t>
      </w:r>
    </w:p>
    <w:p>
      <w:pPr>
        <w:spacing w:after="100"/>
      </w:pPr>
      <w:r>
        <w:rPr>
          <w:sz w:val="19"/>
          <w:szCs w:val="19"/>
        </w:rPr>
        <w:t xml:space="preserve">Four Terraform modules are applied in dependency order: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platform — installs ingress, kyverno, crossplane, and two Kyverno ClusterPolicies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observability — installs kube-prometheus-stack with canary traffic dashboard; depends on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gitops — installs argo-cd and argo-rollouts, creates namespaces, deploys ArgoCD Application CRs and RBAC ConfigMap; depends on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— installs Backstage with all ConfigMaps and Secrets; depends on gitops + observability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2.3 GitOps Flow</w:t>
      </w:r>
    </w:p>
    <w:p>
      <w:pPr>
        <w:spacing w:after="100"/>
      </w:pPr>
      <w:r>
        <w:rPr>
          <w:sz w:val="19"/>
          <w:szCs w:val="19"/>
        </w:rPr>
        <w:t xml:space="preserve">Argo CD monitors local Helm chart directories via file:// repoURL. Because Argo CD is configured with selfHeal: true, the only durable way to change a deployed release is to update the chart's values.yaml and trigger an Argo CD sync.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kubectl patch app svc-alpha -n argocd --type merge \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-p '{"operation":{"initiatedBy":{"username":"demo"},"sync":{"revision":"HEAD"}}}'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2.4 Canary Ingress Architecture</w:t>
      </w:r>
    </w:p>
    <w:p>
      <w:pPr>
        <w:spacing w:after="100"/>
      </w:pPr>
      <w:r>
        <w:rPr>
          <w:sz w:val="19"/>
          <w:szCs w:val="19"/>
        </w:rPr>
        <w:t xml:space="preserve">Each service has two Kubernetes Ingresses (stable and canary) and two Services (stable and canary). The Argo Rollouts controller dynamically updates the nginx.ingress.kubernetes.io/canary-weight annotation on the canary ingress as the rollout progresses through its steps.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3. Component Functional Specifications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3.1 NGINX Ingress Controller</w:t>
      </w:r>
    </w:p>
    <w:p>
      <w:pPr>
        <w:spacing w:after="100"/>
      </w:pPr>
      <w:r>
        <w:rPr>
          <w:sz w:val="19"/>
          <w:szCs w:val="19"/>
        </w:rPr>
        <w:t xml:space="preserve">Routes external HTTP traffic into the cluster. All platform UIs and service endpoints are exposed on localhost via path-based routing: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 prefix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Backend service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/svc-alpha/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svc-alpha-stable (canary: svc-alpha-canary)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Rate-limited: 50 RPS, 20 conn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/svc-beta/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svc-beta-stable (canary: svc-beta-canary)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Rate-limited: 50 RPS, 20 conn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/argocd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argocd-server.argocd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ArgoCD runs --insecure for local HTTP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/rollouts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argo-rollouts-dashboard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Rollouts UI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/grafana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prometheus-stack-grafana.monitoring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Grafana dashboards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backstage.backstage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Developer portal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3.2 Kyverno Policy Engine</w:t>
      </w:r>
    </w:p>
    <w:p>
      <w:pPr>
        <w:spacing w:after="100"/>
      </w:pPr>
      <w:r>
        <w:rPr>
          <w:sz w:val="19"/>
          <w:szCs w:val="19"/>
        </w:rPr>
        <w:t xml:space="preserve">Two ClusterPolicies operate in Audit mode (violations recorded but not blocked — appropriate for demo):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require-version-label — all Argo Rollout resources must carry app.kubernetes.io/version label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require-security-context — all Rollout pod templates must set runAsNonRoot: true and containers must set allowPrivilegeEscalation: false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3.3 Crossplane</w:t>
      </w:r>
    </w:p>
    <w:p>
      <w:pPr>
        <w:spacing w:after="100"/>
      </w:pPr>
      <w:r>
        <w:rPr>
          <w:sz w:val="19"/>
          <w:szCs w:val="19"/>
        </w:rPr>
        <w:t xml:space="preserve">Installed as part of the platform layer to demonstrate the Infrastructure-as-Code API tier. No providers or compositions are configured in this demo; Crossplane is present to show the platform pattern and is available for extension.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3.4 Prometheus + Grafana (kube-prometheus-stack)</w:t>
      </w:r>
    </w:p>
    <w:p>
      <w:pPr>
        <w:spacing w:after="100"/>
      </w:pPr>
      <w:r>
        <w:rPr>
          <w:sz w:val="19"/>
          <w:szCs w:val="19"/>
        </w:rPr>
        <w:t xml:space="preserve">Provides cluster-wide metrics collection and visualisation: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Prometheus — scrapes all ServiceMonitor CRs across namespaces (serviceMonitorSelector: {})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Prometheus retention — 6h (appropriate for single-node demo)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Grafana — exposes the "IDP Services — Canary Traffic Split" dashboard showing request rate by version and error rate by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Grafana admin password — configured via Terraform sensitive variable (default: idp-demo)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Prometheus internal address — prometheus-stack-kube-prom-prometheus.monitoring:9090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3.5 Argo CD</w:t>
      </w:r>
    </w:p>
    <w:p>
      <w:pPr>
        <w:spacing w:after="100"/>
      </w:pPr>
      <w:r>
        <w:rPr>
          <w:sz w:val="19"/>
          <w:szCs w:val="19"/>
        </w:rPr>
        <w:t xml:space="preserve">Manages two Application CRs that track the local Helm chart directories: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 — tracks charts/svc-alpha/, deploys to namespace svc-alpha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svc-beta — tracks charts/svc-beta/, deploys to namespace svc-beta</w:t>
      </w:r>
    </w:p>
    <w:p>
      <w:pPr>
        <w:spacing w:after="100"/>
      </w:pPr>
      <w:r>
        <w:rPr>
          <w:sz w:val="19"/>
          <w:szCs w:val="19"/>
        </w:rPr>
        <w:t xml:space="preserve">Configuration: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syncPolicy.automated.selfHeal: true — continuously reconciles chart state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syncPolicy.automated.prune: true — removes resources deleted from chart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RBAC: policy.default = role:readonly; admin user mapped to role:admin via argocd-rbac-cm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Server runs in --insecure mode (HTTP only, acceptable for local demo)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3.6 Argo Rollouts</w:t>
      </w:r>
    </w:p>
    <w:p>
      <w:pPr>
        <w:spacing w:after="100"/>
      </w:pPr>
      <w:r>
        <w:rPr>
          <w:sz w:val="19"/>
          <w:szCs w:val="19"/>
        </w:rPr>
        <w:t xml:space="preserve">Controls canary deployments for both services. The rollout strategy for each service: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setWeight: 20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Route 20% of traffic to canary pods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pause: {}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Pause indefinitely — operator inspects Grafana, then manually promotes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setWeight: 50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Route 50% of traffic; AnalysisTemplate begins evaluation (startingStep: 2)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pause: {}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Pause indefinitely — operator reviews analysis results, then manually promotes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setWeight: 100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Full promotion; canary becomes stable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AnalysisTemplate (success-rate) evaluates Prometheus PromQL every 30 seconds for 3 consecutive intervals: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successCondition:  result[0] &gt;= 0.95  (95% success rate)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failureCondition:  result[0] &lt; 0.90   (auto-abort if &lt; 90%)</w:t>
      </w:r>
    </w:p>
    <w:p>
      <w:pPr>
        <w:spacing w:after="100"/>
      </w:pPr>
      <w:r>
        <w:rPr>
          <w:sz w:val="19"/>
          <w:szCs w:val="19"/>
        </w:rPr>
        <w:t xml:space="preserve">Division-by-zero protection — denominator is clamped to minimum 0.001 using clamp_min().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3.7 Backstage Developer Portal</w:t>
      </w:r>
    </w:p>
    <w:p>
      <w:pPr>
        <w:spacing w:after="100"/>
      </w:pPr>
      <w:r>
        <w:rPr>
          <w:sz w:val="19"/>
          <w:szCs w:val="19"/>
        </w:rPr>
        <w:t xml:space="preserve">Backstage is the developer-facing layer. All configuration is mounted from Kubernetes ConfigMaps and Secrets at runtime.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 in portal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Service Catalog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ConfigMap: backstage-catalog; Location CRs pointing to svc-alpha/svc-beta YAML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Catalog → All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TechDocs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builder: local, runIn: local; reads docs/ from pod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 → Docs tab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Kubernetes plugin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ServiceAccount token via backstage-k8s-token Secret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 → Kubernetes tab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 CD plugin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ARGOCD_ADMIN_PASSWORD env var from backstage-argocd Secret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 → CD tab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API tab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OpenAPI spec inlined in catalog YAML (Component + API entities)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Component → API tab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Scaffolder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template.yaml mounted from backstage-scaffolder ConfigMap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Create → New IDP Service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Authentication is disabled (auth.providers: {}) — appropriate for local demo only.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4. Microservice Specifications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4.1 Common Architecture</w:t>
      </w:r>
    </w:p>
    <w:p>
      <w:pPr>
        <w:spacing w:after="100"/>
      </w:pPr>
      <w:r>
        <w:rPr>
          <w:sz w:val="19"/>
          <w:szCs w:val="19"/>
        </w:rPr>
        <w:t xml:space="preserve">Both svc-alpha and svc-beta follow an identical architecture pattern: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Runtime: Node.js 20 LTS, Express 4.18.2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Security middleware: Helmet.js (sets secure HTTP headers)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Metrics: prom-client 15.x — exposes http_requests_total and http_request_duration_seconds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Container: Alpine-based, non-root user (UID 1000), readOnlyRootFilesystem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Probes: /health readiness (5s delay, 10s period) and liveness (10s delay, 30s period)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Resources: 50m CPU / 64Mi memory request; 100m CPU / 128Mi memory limit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4.2 API Endpoints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codes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/v1/hello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Returns service identity and version; supports ?fail=true for error simulation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200, 500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/v2/hello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Returns identity, version, requestId (UUIDv4), timestamp; svc-alpha also returns downstream URL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200, 500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/health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Liveness/readiness probe — returns {status:"ok", service, version}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/metrics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both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 metrics endpoint in text/plain format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4.3 Prometheus Metrics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 name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http_requests_total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Counter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service, version, method, status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http_request_duration_seconds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Histogram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service, version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19"/>
          <w:szCs w:val="19"/>
        </w:rPr>
        <w:t xml:space="preserve">ServiceMonitor CRs in the monitoring namespace select services by app label and scrape /metrics every 15s.</w:t>
      </w:r>
    </w:p>
    <w:p>
      <w:pPr>
        <w:spacing w:after="100"/>
      </w:pPr>
      <w:r>
        <w:rPr>
          <w:sz w:val="19"/>
          <w:szCs w:val="19"/>
        </w:rPr>
        <w:t xml:space="preserve">The label release: prometheus-stack on each ServiceMonitor is required for the Prometheus Operator to pick them up.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4.4 Simulated Failure Mode</w:t>
      </w:r>
    </w:p>
    <w:p>
      <w:pPr>
        <w:spacing w:after="100"/>
      </w:pPr>
      <w:r>
        <w:rPr>
          <w:sz w:val="19"/>
          <w:szCs w:val="19"/>
        </w:rPr>
        <w:t xml:space="preserve">Both v1 and v2 /hello endpoints support a ?fail=true query parameter that returns HTTP 500 with body {"error":"simulated failure"}. This is used in the demo to trigger the AnalysisTemplate failure condition and demonstrate automatic rollback.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4.5 Service Dependencies</w:t>
      </w:r>
    </w:p>
    <w:p>
      <w:pPr>
        <w:spacing w:after="100"/>
      </w:pPr>
      <w:r>
        <w:rPr>
          <w:sz w:val="19"/>
          <w:szCs w:val="19"/>
        </w:rPr>
        <w:t xml:space="preserve">svc-alpha depends on svc-beta (shown in Backstage catalog relation graph). The downstream URL is: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http://svc-beta.svc-beta.svc.cluster.local:3000</w:t>
      </w:r>
    </w:p>
    <w:p>
      <w:pPr>
        <w:spacing w:after="100"/>
      </w:pPr>
      <w:r>
        <w:rPr>
          <w:sz w:val="19"/>
          <w:szCs w:val="19"/>
        </w:rPr>
        <w:t xml:space="preserve">This is surfaced in the v2/hello response body as the downstream field.</w:t>
      </w:r>
    </w:p>
    <w:p>
      <w:pPr>
        <w:spacing w:after="100"/>
      </w:pPr>
      <w:r>
        <w:rPr>
          <w:sz w:val="19"/>
          <w:szCs w:val="19"/>
        </w:rPr>
        <w:t xml:space="preserve">Network access is enforced by NetworkPolicy — svc-beta only accepts ingress from the svc-alpha namespace.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5. Security Controls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5.1 Pod Security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runAsNonRoot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true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Pod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runAsUser / runAsGroup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Pod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fsGroup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1000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Pod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readOnlyRootFilesystem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true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Container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allowPrivilegeEscalation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false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Container securityContext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capabilities.drop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["ALL"]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Container securityContext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5.2 Network Policies</w:t>
      </w:r>
    </w:p>
    <w:p>
      <w:pPr>
        <w:spacing w:after="100"/>
      </w:pPr>
      <w:r>
        <w:rPr>
          <w:sz w:val="19"/>
          <w:szCs w:val="19"/>
        </w:rPr>
        <w:t xml:space="preserve">Each namespace has a default-deny-all NetworkPolicy. Selective allow policies: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 — ingress from ingress-nginx; egress to svc-beta:3000, monitoring namespace, kube-dns (UDP+TCP 53)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svc-beta — ingress from svc-alpha and ingress-nginx; egress to monitoring namespace, kube-dns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5.3 RBAC</w:t>
      </w:r>
    </w:p>
    <w:p>
      <w:pPr>
        <w:spacing w:after="100"/>
      </w:pPr>
      <w:r>
        <w:rPr>
          <w:sz w:val="19"/>
          <w:szCs w:val="19"/>
        </w:rPr>
        <w:t xml:space="preserve">Backstage ClusterRole (backstage-reader) — read-only, minimum surface: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Core API: pods, services, namespaces, events (configmaps intentionally excluded)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apps API: deployments, replicasets, statefulsets, daemonsets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argoproj.io API: rollouts, analysisruns, analysistemplates</w:t>
      </w:r>
    </w:p>
    <w:p>
      <w:pPr>
        <w:spacing w:after="100"/>
      </w:pPr>
      <w:r>
        <w:rPr>
          <w:sz w:val="19"/>
          <w:szCs w:val="19"/>
        </w:rPr>
        <w:t xml:space="preserve">Argo CD: policy.default = role:readonly; only the admin user is mapped to role:admin.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5.4 Secrets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Grafana admin password — Terraform sensitive variable; never printed in plan output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Argo CD admin password — read from argocd-initial-admin-secret; output marked sensitive = true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ArgoCD password — Kubernetes Secret (backstage-argocd); injected as env var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k8s token — Kubernetes Secret (backstage-k8s-token, type: service-account-token)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5.5 Supply Chain Controls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Terraform provider versions locked in .terraform.lock.hcl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Helm chart versions pinned (no floating latest)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Node.js direct dependencies pinned (no ^ semver ranges)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Docker images built from non-root Alpine base; .dockerignore excludes tests, .env, docs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Backstage image uses pullPolicy: IfNotPresent to prevent silent updates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6. Observability</w:t>
      </w: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6.1 Metrics Collection</w:t>
      </w:r>
    </w:p>
    <w:p>
      <w:pPr>
        <w:spacing w:after="100"/>
      </w:pPr>
      <w:r>
        <w:rPr>
          <w:sz w:val="19"/>
          <w:szCs w:val="19"/>
        </w:rPr>
        <w:t xml:space="preserve">Prometheus scrapes: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All Kubernetes component metrics (node-exporter, kube-state-metrics)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svc-alpha and svc-beta via ServiceMonitor CRs (15s interval)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Argo CD, Argo Rollouts, NGINX Ingress self-metrics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6.2 Grafana Dashboards</w:t>
      </w:r>
    </w:p>
    <w:p>
      <w:pPr>
        <w:spacing w:after="100"/>
      </w:pPr>
      <w:r>
        <w:rPr>
          <w:sz w:val="19"/>
          <w:szCs w:val="19"/>
        </w:rPr>
        <w:t xml:space="preserve">Pre-built dashboard "IDP Services — Canary Traffic Split" (uid: idp-services) contains: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Request Rate by Version (svc-alpha) — timeseries by version label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Request Rate by Version (svc-beta) — timeseries by version label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Error Rate by Service — error rate = 5xx / total, per service</w:t>
      </w:r>
    </w:p>
    <w:p>
      <w:pPr>
        <w:spacing w:after="120"/>
      </w:pPr>
    </w:p>
    <w:p>
      <w:pPr>
        <w:pStyle w:val="Heading2"/>
        <w:spacing w:after="80" w:before="240"/>
        <w:rPr>
          <w:b/>
          <w:bCs/>
          <w:color w:val="2F5496"/>
          <w:sz w:val="26"/>
          <w:szCs w:val="26"/>
        </w:rPr>
      </w:pPr>
      <w:r>
        <w:t xml:space="preserve">6.3 AnalysisTemplate Queries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sum(rate(http_requests_total{service="&lt;name&gt;",status!~"5.."}[2m])) or vector(0)</w:t>
      </w:r>
    </w:p>
    <w:p>
      <w:pPr>
        <w:shd w:fill="F2F4F7" w:color="F2F4F7" w:val="solid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 clamp_min(sum(rate(http_requests_total{service="&lt;name&gt;"}[2m])), 0.001)</w:t>
      </w:r>
    </w:p>
    <w:p>
      <w:pPr>
        <w:spacing w:after="100"/>
      </w:pPr>
      <w:r>
        <w:rPr>
          <w:sz w:val="19"/>
          <w:szCs w:val="19"/>
        </w:rPr>
        <w:t xml:space="preserve">The clamp_min guard prevents division by zero when no traffic has been received.</w:t>
      </w:r>
    </w:p>
    <w:p>
      <w:pPr>
        <w:pStyle w:val="Heading1"/>
        <w:pageBreakBefore/>
        <w:rPr>
          <w:b/>
          <w:bCs/>
          <w:color w:val="1F3A5F"/>
          <w:sz w:val="32"/>
          <w:szCs w:val="32"/>
        </w:rPr>
      </w:pPr>
      <w:r>
        <w:t xml:space="preserve">7. Limitations and Demo Constraints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  <w:tc>
          <w:tcPr>
            <w:shd w:fill="1F3A5F" w:color="1F3A5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Production remedy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HTTP only (no TLS)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Simplifies Docker Desktop demo — no cert management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Use cert-manager + Let's Encrypt or internal CA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Local state (terraform.tfstate)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remote backend needed for single-user demo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Use Terraform Cloud / S3 + DynamoDB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skipTLSVerify: true in Backstage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Docker Desktop Kubernetes uses a self-signed cert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Mount cluster CA bundle into Backstage pod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Backstage authentication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auth.providers: {} — demo only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Configure OAuth2 / OIDC provider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Prometheus retention: 6h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Minimise disk usage on single-node cluster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Increase retention and persistent volume size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Scaffolder skeleton not mounted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Skeleton files not in ConfigMap — form works but generation fails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Mount skeleton files or use a Git-backed template</w:t>
            </w:r>
          </w:p>
        </w:tc>
      </w:tr>
      <w:tr>
        <w:trPr>
          <w:tblHeader w:val="false"/>
        </w:trPr>
        <w:tc>
          <w:tcPr>
            <w:shd w:fill="F4F9FC" w:color="F4F9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No package-lock.json committed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Generated by npm install at build time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11111"/>
                <w:sz w:val="18"/>
                <w:szCs w:val="18"/>
              </w:rPr>
              <w:t xml:space="preserve">Run npm install --package-lock-only and commit lockfiles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IDP Local — Functional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rPr>
      <w:rFonts w:ascii="Calibri" w:cs="Calibri" w:eastAsia="Calibri" w:hAnsi="Calibri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IDP Local — Functional Specification</dc:title>
  <dc:creator>IDP Local</dc:creator>
  <dc:description>Functional specification for the idp-local CNCF IDP demo stack</dc:description>
  <cp:lastModifiedBy>Un-named</cp:lastModifiedBy>
  <cp:revision>1</cp:revision>
  <dcterms:created xsi:type="dcterms:W3CDTF">2026-05-05T10:06:13.623Z</dcterms:created>
  <dcterms:modified xsi:type="dcterms:W3CDTF">2026-05-05T10:06:13.624Z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