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FD3496D" w14:textId="77777777" w:rsidR="001E60E5" w:rsidRPr="001E60E5" w:rsidRDefault="001E60E5" w:rsidP="001E60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E60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Journal-Fit Assessment: Applied Network Science</w:t>
      </w:r>
    </w:p>
    <w:p w14:paraId="57B4A5D3" w14:textId="77777777" w:rsidR="001E60E5" w:rsidRPr="001E60E5" w:rsidRDefault="001E60E5" w:rsidP="001E60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60E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Manuscript:</w:t>
      </w:r>
      <w:r w:rsidRPr="001E60E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"The Covid-19 Impact on Temporal Threshold Networks in the US Stock Market" (Bruce &amp; Bartsch) </w:t>
      </w:r>
      <w:r w:rsidRPr="001E60E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Assessed against:</w:t>
      </w:r>
      <w:r w:rsidRPr="001E60E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1E60E5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Applied Network Science</w:t>
      </w:r>
      <w:r w:rsidRPr="001E60E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(Springer, ISSN 2364-8228), 3 July 2026 </w:t>
      </w:r>
      <w:r w:rsidRPr="001E60E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Inputs used:</w:t>
      </w:r>
      <w:r w:rsidRPr="001E60E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full manuscript (12 pp), Physica A reviewer reports (PHYSA-24982R1), CSF desk-rejection letter (CHAOS-D-26-00118), journal aims &amp; scope, and a census of all 800 articles published in ANS (2016–July 2026).</w:t>
      </w:r>
    </w:p>
    <w:p w14:paraId="484A7794" w14:textId="77777777" w:rsidR="001E60E5" w:rsidRPr="001E60E5" w:rsidRDefault="00175063" w:rsidP="001E60E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506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ED3BE9D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6BDA4021" w14:textId="77777777" w:rsidR="001E60E5" w:rsidRPr="001E60E5" w:rsidRDefault="001E60E5" w:rsidP="001E60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E60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Search method (reproducible)</w:t>
      </w:r>
    </w:p>
    <w:p w14:paraId="2EDB2A40" w14:textId="77777777" w:rsidR="001E60E5" w:rsidRPr="001E60E5" w:rsidRDefault="001E60E5" w:rsidP="001E60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60E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journal's article listing (link.springer.com/journal/41109/articles, 16 pages × 50 = 800 articles) was fetched in full and every title scanned against keyword sets covering: stock/financial/asset markets, correlation networks, threshold networks, MST/backbone/filtering, temporal/dynamic networks, portfolio, crisis/systemic risk, trade/economic networks, crypto/token networks, COVID-19. Classification below is title-based (abstracts were not individually read), so tier boundaries carry ±3–4 papers of uncertainty. The journal's on-site keyword search is non-functional to scripted access, so a full census was used instead — this is </w:t>
      </w:r>
      <w:r w:rsidRPr="001E60E5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more</w:t>
      </w:r>
      <w:r w:rsidRPr="001E60E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complete than keyword search, not less.</w:t>
      </w:r>
    </w:p>
    <w:p w14:paraId="28F0A142" w14:textId="77777777" w:rsidR="001E60E5" w:rsidRPr="001E60E5" w:rsidRDefault="00175063" w:rsidP="001E60E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7506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BC8C96A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326729CF" w14:textId="77777777" w:rsidR="001E60E5" w:rsidRPr="001E60E5" w:rsidRDefault="001E60E5" w:rsidP="001E60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E60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Alignment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701"/>
        <w:gridCol w:w="7169"/>
      </w:tblGrid>
      <w:tr w:rsidR="001E60E5" w:rsidRPr="001E60E5" w14:paraId="494671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BBB2F5" w14:textId="77777777" w:rsidR="001E60E5" w:rsidRPr="001E60E5" w:rsidRDefault="001E60E5" w:rsidP="001E60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60E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Tier</w:t>
            </w:r>
          </w:p>
        </w:tc>
        <w:tc>
          <w:tcPr>
            <w:tcW w:w="0" w:type="auto"/>
            <w:vAlign w:val="center"/>
            <w:hideMark/>
          </w:tcPr>
          <w:p w14:paraId="4DCD22CA" w14:textId="77777777" w:rsidR="001E60E5" w:rsidRPr="001E60E5" w:rsidRDefault="001E60E5" w:rsidP="001E60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60E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Count</w:t>
            </w:r>
          </w:p>
        </w:tc>
        <w:tc>
          <w:tcPr>
            <w:tcW w:w="0" w:type="auto"/>
            <w:vAlign w:val="center"/>
            <w:hideMark/>
          </w:tcPr>
          <w:p w14:paraId="51BC8BA7" w14:textId="77777777" w:rsidR="001E60E5" w:rsidRPr="001E60E5" w:rsidRDefault="001E60E5" w:rsidP="001E60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60E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Definition</w:t>
            </w:r>
          </w:p>
        </w:tc>
      </w:tr>
      <w:tr w:rsidR="001E60E5" w:rsidRPr="001E60E5" w14:paraId="61E055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F90BB" w14:textId="77777777" w:rsidR="001E60E5" w:rsidRPr="001E60E5" w:rsidRDefault="001E60E5" w:rsidP="001E60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60E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Heavily aligned</w:t>
            </w:r>
          </w:p>
        </w:tc>
        <w:tc>
          <w:tcPr>
            <w:tcW w:w="0" w:type="auto"/>
            <w:vAlign w:val="center"/>
            <w:hideMark/>
          </w:tcPr>
          <w:p w14:paraId="6EE03397" w14:textId="77777777" w:rsidR="001E60E5" w:rsidRPr="001E60E5" w:rsidRDefault="001E60E5" w:rsidP="001E60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60E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2A282A02" w14:textId="77777777" w:rsidR="001E60E5" w:rsidRPr="001E60E5" w:rsidRDefault="001E60E5" w:rsidP="001E60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60E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Financial/stock/asset correlation or similarity networks, portfolio networks, network-based crisis analysis, threshold selection in economic networks</w:t>
            </w:r>
          </w:p>
        </w:tc>
      </w:tr>
      <w:tr w:rsidR="001E60E5" w:rsidRPr="001E60E5" w14:paraId="4C2C91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9B4AD" w14:textId="77777777" w:rsidR="001E60E5" w:rsidRPr="001E60E5" w:rsidRDefault="001E60E5" w:rsidP="001E60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60E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Medium aligned</w:t>
            </w:r>
          </w:p>
        </w:tc>
        <w:tc>
          <w:tcPr>
            <w:tcW w:w="0" w:type="auto"/>
            <w:vAlign w:val="center"/>
            <w:hideMark/>
          </w:tcPr>
          <w:p w14:paraId="04A54B0F" w14:textId="77777777" w:rsidR="001E60E5" w:rsidRPr="001E60E5" w:rsidRDefault="001E60E5" w:rsidP="001E60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60E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~30</w:t>
            </w:r>
          </w:p>
        </w:tc>
        <w:tc>
          <w:tcPr>
            <w:tcW w:w="0" w:type="auto"/>
            <w:vAlign w:val="center"/>
            <w:hideMark/>
          </w:tcPr>
          <w:p w14:paraId="543D3BD1" w14:textId="77777777" w:rsidR="001E60E5" w:rsidRPr="001E60E5" w:rsidRDefault="001E60E5" w:rsidP="001E60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60E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Temporal/dynamic network methodology, backbone/sparsification/filtering methods, correlation-network methodology in other domains, broader economic/banking/systemic-risk networks</w:t>
            </w:r>
          </w:p>
        </w:tc>
      </w:tr>
      <w:tr w:rsidR="001E60E5" w:rsidRPr="001E60E5" w14:paraId="3B7DB9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E5285" w14:textId="77777777" w:rsidR="001E60E5" w:rsidRPr="001E60E5" w:rsidRDefault="001E60E5" w:rsidP="001E60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60E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Low aligned</w:t>
            </w:r>
          </w:p>
        </w:tc>
        <w:tc>
          <w:tcPr>
            <w:tcW w:w="0" w:type="auto"/>
            <w:vAlign w:val="center"/>
            <w:hideMark/>
          </w:tcPr>
          <w:p w14:paraId="4010B7FF" w14:textId="77777777" w:rsidR="001E60E5" w:rsidRPr="001E60E5" w:rsidRDefault="001E60E5" w:rsidP="001E60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60E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~35</w:t>
            </w:r>
          </w:p>
        </w:tc>
        <w:tc>
          <w:tcPr>
            <w:tcW w:w="0" w:type="auto"/>
            <w:vAlign w:val="center"/>
            <w:hideMark/>
          </w:tcPr>
          <w:p w14:paraId="5C6F78E4" w14:textId="77777777" w:rsidR="001E60E5" w:rsidRPr="001E60E5" w:rsidRDefault="001E60E5" w:rsidP="001E60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60E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Trade networks, crypto transaction graphs, supply chains, COVID-19 spreading networks, dynamic embeddings — shared toolkit, different substance</w:t>
            </w:r>
          </w:p>
        </w:tc>
      </w:tr>
    </w:tbl>
    <w:p w14:paraId="61318CC7" w14:textId="77777777" w:rsidR="001E60E5" w:rsidRPr="001E60E5" w:rsidRDefault="001E60E5" w:rsidP="001E60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60E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Representative heavily aligned papers</w:t>
      </w:r>
      <w:r w:rsidRPr="001E60E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(all published in ANS; year in parentheses):</w:t>
      </w:r>
    </w:p>
    <w:p w14:paraId="44F292B2" w14:textId="77777777" w:rsidR="001E60E5" w:rsidRPr="001E60E5" w:rsidRDefault="001E60E5" w:rsidP="001E60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60E5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Uncovering dynamic stock return correlations with multilayer network analysis</w:t>
      </w:r>
      <w:r w:rsidRPr="001E60E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(2019) — the single closest paper: time-varying stock correlation networks.</w:t>
      </w:r>
    </w:p>
    <w:p w14:paraId="28F29FCA" w14:textId="77777777" w:rsidR="001E60E5" w:rsidRPr="001E60E5" w:rsidRDefault="001E60E5" w:rsidP="001E60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60E5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Dynamic correlation network analysis of financial asset returns with network clustering</w:t>
      </w:r>
      <w:r w:rsidRPr="001E60E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(2017) and </w:t>
      </w:r>
      <w:r w:rsidRPr="001E60E5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Building a dynamic correlation network for fat-tailed financial asset returns</w:t>
      </w:r>
      <w:r w:rsidRPr="001E60E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(2016) — dynamic correlation networks are a founding thread of this journal.</w:t>
      </w:r>
    </w:p>
    <w:p w14:paraId="7EE8DC26" w14:textId="77777777" w:rsidR="001E60E5" w:rsidRPr="001E60E5" w:rsidRDefault="001E60E5" w:rsidP="001E60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60E5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lastRenderedPageBreak/>
        <w:t>Partial correlation financial networks</w:t>
      </w:r>
      <w:r w:rsidRPr="001E60E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(2020).</w:t>
      </w:r>
    </w:p>
    <w:p w14:paraId="4652A0DB" w14:textId="77777777" w:rsidR="001E60E5" w:rsidRPr="001E60E5" w:rsidRDefault="001E60E5" w:rsidP="001E60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60E5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Threshold sensitivity of the production network topology</w:t>
      </w:r>
      <w:r w:rsidRPr="001E60E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(2023) — shows the threshold-choice problem is a live methodological concern for ANS reviewers; your MST criterion directly answers it.</w:t>
      </w:r>
    </w:p>
    <w:p w14:paraId="6AF1BF8F" w14:textId="77777777" w:rsidR="001E60E5" w:rsidRPr="001E60E5" w:rsidRDefault="001E60E5" w:rsidP="001E60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60E5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Characterisation of survivability resilience with dynamic stock interdependence in financial networks</w:t>
      </w:r>
      <w:r w:rsidRPr="001E60E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(2018).</w:t>
      </w:r>
    </w:p>
    <w:p w14:paraId="574EAE29" w14:textId="77777777" w:rsidR="001E60E5" w:rsidRPr="001E60E5" w:rsidRDefault="001E60E5" w:rsidP="001E60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60E5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Spotting the stock and crypto markets' rings of fire: spillover dependencies</w:t>
      </w:r>
      <w:r w:rsidRPr="001E60E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(2023).</w:t>
      </w:r>
    </w:p>
    <w:p w14:paraId="007C333D" w14:textId="77777777" w:rsidR="001E60E5" w:rsidRPr="001E60E5" w:rsidRDefault="001E60E5" w:rsidP="001E60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60E5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Network-based diversification of stock and cryptocurrency portfolios</w:t>
      </w:r>
      <w:r w:rsidRPr="001E60E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(2025); </w:t>
      </w:r>
      <w:r w:rsidRPr="001E60E5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Signature-based portfolio allocation</w:t>
      </w:r>
      <w:r w:rsidRPr="001E60E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(2024); </w:t>
      </w:r>
      <w:r w:rsidRPr="001E60E5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Signed network models for dimensionality reduction of portfolio optimization</w:t>
      </w:r>
      <w:r w:rsidRPr="001E60E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(2026); </w:t>
      </w:r>
      <w:r w:rsidRPr="001E60E5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Portfolio diversification and the robustness of holdings networks</w:t>
      </w:r>
      <w:r w:rsidRPr="001E60E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(2020).</w:t>
      </w:r>
    </w:p>
    <w:p w14:paraId="37C6648E" w14:textId="77777777" w:rsidR="001E60E5" w:rsidRPr="001E60E5" w:rsidRDefault="001E60E5" w:rsidP="001E60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60E5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Enhancing financial crisis prediction: change point detection for exogenous events</w:t>
      </w:r>
      <w:r w:rsidRPr="001E60E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(2026); </w:t>
      </w:r>
      <w:r w:rsidRPr="001E60E5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The multiplex nature of global financial contagions</w:t>
      </w:r>
      <w:r w:rsidRPr="001E60E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(2020).</w:t>
      </w:r>
    </w:p>
    <w:p w14:paraId="510C7AAC" w14:textId="77777777" w:rsidR="001E60E5" w:rsidRPr="001E60E5" w:rsidRDefault="001E60E5" w:rsidP="001E60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60E5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The dynamics of exchange traded funds: a geometrical and topological approach</w:t>
      </w:r>
      <w:r w:rsidRPr="001E60E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(2024); </w:t>
      </w:r>
      <w:r w:rsidRPr="001E60E5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Predicting stock market movements using network science</w:t>
      </w:r>
      <w:r w:rsidRPr="001E60E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(2017); </w:t>
      </w:r>
      <w:r w:rsidRPr="001E60E5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Financial market predictability with tensor decomposition</w:t>
      </w:r>
      <w:r w:rsidRPr="001E60E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(2017); </w:t>
      </w:r>
      <w:r w:rsidRPr="001E60E5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Graph learning on financial networks from firm-level similarity</w:t>
      </w:r>
      <w:r w:rsidRPr="001E60E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(2025); </w:t>
      </w:r>
      <w:r w:rsidRPr="001E60E5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Characterizing financial markets from the event driven perspective</w:t>
      </w:r>
      <w:r w:rsidRPr="001E60E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(2021).</w:t>
      </w:r>
    </w:p>
    <w:p w14:paraId="66CAEAAE" w14:textId="77777777" w:rsidR="001E60E5" w:rsidRPr="001E60E5" w:rsidRDefault="001E60E5" w:rsidP="001E60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60E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Representative medium papers:</w:t>
      </w:r>
      <w:r w:rsidRPr="001E60E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1E60E5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Cross-validation of correlation networks using modular structure</w:t>
      </w:r>
      <w:r w:rsidRPr="001E60E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(2022); </w:t>
      </w:r>
      <w:r w:rsidRPr="001E60E5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Comparison of physician networks constructed from thresholded ties</w:t>
      </w:r>
      <w:r w:rsidRPr="001E60E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(2018) — thresholding-methodology precedent; </w:t>
      </w:r>
      <w:r w:rsidRPr="001E60E5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A multilevel backbone extraction framework</w:t>
      </w:r>
      <w:r w:rsidRPr="001E60E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(2024); </w:t>
      </w:r>
      <w:r w:rsidRPr="001E60E5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High and low similarity backbone extraction</w:t>
      </w:r>
      <w:r w:rsidRPr="001E60E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(2025); </w:t>
      </w:r>
      <w:r w:rsidRPr="001E60E5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ts2net: from time series to networks in R</w:t>
      </w:r>
      <w:r w:rsidRPr="001E60E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(2024); </w:t>
      </w:r>
      <w:r w:rsidRPr="001E60E5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Crisis contagion in the world trade network</w:t>
      </w:r>
      <w:r w:rsidRPr="001E60E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(2020); plus a dedicated, currently active </w:t>
      </w:r>
      <w:r w:rsidRPr="001E60E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"Temporal Networks" collection</w:t>
      </w:r>
      <w:r w:rsidRPr="001E60E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199F905" w14:textId="77777777" w:rsidR="001E60E5" w:rsidRPr="001E60E5" w:rsidRDefault="001E60E5" w:rsidP="001E60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60E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On dynamic </w:t>
      </w:r>
      <w:r w:rsidRPr="001E60E5">
        <w:rPr>
          <w:rFonts w:ascii="Times New Roman" w:eastAsia="Times New Roman" w:hAnsi="Times New Roman" w:cs="Times New Roman"/>
          <w:b/>
          <w:bCs/>
          <w:i/>
          <w:iCs/>
          <w:kern w:val="0"/>
          <w:lang w:eastAsia="en-GB"/>
          <w14:ligatures w14:val="none"/>
        </w:rPr>
        <w:t>threshold</w:t>
      </w:r>
      <w:r w:rsidRPr="001E60E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networks specifically:</w:t>
      </w:r>
      <w:r w:rsidRPr="001E60E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 ANS paper yet combines per-time-frame threshold selection with temporal financial networks. Two papers touch each half (</w:t>
      </w:r>
      <w:r w:rsidRPr="001E60E5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Threshold sensitivity of the production network topology</w:t>
      </w:r>
      <w:r w:rsidRPr="001E60E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; the dynamic-correlation papers). That is the gap your paper fills — strong evidence of alignment </w:t>
      </w:r>
      <w:r w:rsidRPr="001E60E5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with</w:t>
      </w:r>
      <w:r w:rsidRPr="001E60E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novelty, rather than duplication.</w:t>
      </w:r>
    </w:p>
    <w:p w14:paraId="5AF2E631" w14:textId="77777777" w:rsidR="001E60E5" w:rsidRPr="001E60E5" w:rsidRDefault="001E60E5" w:rsidP="001E60E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60E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19EB7C6">
          <v:rect id="_x0000_i1027" style="width:0;height:1.5pt" o:hralign="center" o:hrstd="t" o:hr="t" fillcolor="#a0a0a0" stroked="f"/>
        </w:pict>
      </w:r>
    </w:p>
    <w:p w14:paraId="3375DA8A" w14:textId="77777777" w:rsidR="001E60E5" w:rsidRPr="001E60E5" w:rsidRDefault="001E60E5" w:rsidP="001E60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E60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Fit score: 8 / 10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6"/>
        <w:gridCol w:w="367"/>
        <w:gridCol w:w="6893"/>
      </w:tblGrid>
      <w:tr w:rsidR="001E60E5" w:rsidRPr="001E60E5" w14:paraId="759EC5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4DB9D2" w14:textId="77777777" w:rsidR="001E60E5" w:rsidRPr="001E60E5" w:rsidRDefault="001E60E5" w:rsidP="001E60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60E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Sub-score</w:t>
            </w:r>
          </w:p>
        </w:tc>
        <w:tc>
          <w:tcPr>
            <w:tcW w:w="0" w:type="auto"/>
            <w:vAlign w:val="center"/>
            <w:hideMark/>
          </w:tcPr>
          <w:p w14:paraId="7FDE9762" w14:textId="77777777" w:rsidR="001E60E5" w:rsidRPr="001E60E5" w:rsidRDefault="001E60E5" w:rsidP="001E60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60E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/10</w:t>
            </w:r>
          </w:p>
        </w:tc>
        <w:tc>
          <w:tcPr>
            <w:tcW w:w="0" w:type="auto"/>
            <w:vAlign w:val="center"/>
            <w:hideMark/>
          </w:tcPr>
          <w:p w14:paraId="19629299" w14:textId="77777777" w:rsidR="001E60E5" w:rsidRPr="001E60E5" w:rsidRDefault="001E60E5" w:rsidP="001E60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1E60E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Justification</w:t>
            </w:r>
          </w:p>
        </w:tc>
      </w:tr>
      <w:tr w:rsidR="001E60E5" w:rsidRPr="001E60E5" w14:paraId="51B5C3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D831D" w14:textId="77777777" w:rsidR="001E60E5" w:rsidRPr="001E60E5" w:rsidRDefault="001E60E5" w:rsidP="001E60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60E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Scope match</w:t>
            </w:r>
          </w:p>
        </w:tc>
        <w:tc>
          <w:tcPr>
            <w:tcW w:w="0" w:type="auto"/>
            <w:vAlign w:val="center"/>
            <w:hideMark/>
          </w:tcPr>
          <w:p w14:paraId="269BE09B" w14:textId="77777777" w:rsidR="001E60E5" w:rsidRPr="001E60E5" w:rsidRDefault="001E60E5" w:rsidP="001E60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60E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5045175" w14:textId="77777777" w:rsidR="001E60E5" w:rsidRPr="001E60E5" w:rsidRDefault="001E60E5" w:rsidP="001E60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60E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Aims &amp; scope explicitly list "Economic and financial networks", "Network dynamics and temporal networks", community detection, centrality — the paper's exact ingredients; it also meets the journal's stated priorities (real-world data, practical problem, actionable insight).</w:t>
            </w:r>
          </w:p>
        </w:tc>
      </w:tr>
      <w:tr w:rsidR="001E60E5" w:rsidRPr="001E60E5" w14:paraId="2EA862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44955" w14:textId="77777777" w:rsidR="001E60E5" w:rsidRPr="001E60E5" w:rsidRDefault="001E60E5" w:rsidP="001E60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60E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Methodological fit</w:t>
            </w:r>
          </w:p>
        </w:tc>
        <w:tc>
          <w:tcPr>
            <w:tcW w:w="0" w:type="auto"/>
            <w:vAlign w:val="center"/>
            <w:hideMark/>
          </w:tcPr>
          <w:p w14:paraId="364E2276" w14:textId="77777777" w:rsidR="001E60E5" w:rsidRPr="001E60E5" w:rsidRDefault="001E60E5" w:rsidP="001E60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60E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8.5</w:t>
            </w:r>
          </w:p>
        </w:tc>
        <w:tc>
          <w:tcPr>
            <w:tcW w:w="0" w:type="auto"/>
            <w:vAlign w:val="center"/>
            <w:hideMark/>
          </w:tcPr>
          <w:p w14:paraId="6E8CE7E0" w14:textId="77777777" w:rsidR="001E60E5" w:rsidRPr="001E60E5" w:rsidRDefault="001E60E5" w:rsidP="001E60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60E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Threshold/backbone/filtering methodology is a recurring ANS theme; the MST-max-edge criterion is exactly the kind of practical, automatable method contribution ANS prioritises ("advances methodological innovation in network analysis").</w:t>
            </w:r>
          </w:p>
        </w:tc>
      </w:tr>
      <w:tr w:rsidR="001E60E5" w:rsidRPr="001E60E5" w14:paraId="3F291B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7B885" w14:textId="77777777" w:rsidR="001E60E5" w:rsidRPr="001E60E5" w:rsidRDefault="001E60E5" w:rsidP="001E60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60E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Novelty</w:t>
            </w:r>
          </w:p>
        </w:tc>
        <w:tc>
          <w:tcPr>
            <w:tcW w:w="0" w:type="auto"/>
            <w:vAlign w:val="center"/>
            <w:hideMark/>
          </w:tcPr>
          <w:p w14:paraId="4ACE8EFF" w14:textId="77777777" w:rsidR="001E60E5" w:rsidRPr="001E60E5" w:rsidRDefault="001E60E5" w:rsidP="001E60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60E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150ADD1" w14:textId="77777777" w:rsidR="001E60E5" w:rsidRPr="001E60E5" w:rsidRDefault="001E60E5" w:rsidP="001E60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60E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The per-time-frame MST-based threshold criterion is a real contribution vs Xu et al. (2018, global consistency-function threshold), Ku et al. (2020, MST+fixed threshold union), Nobi et al. (2014, mean+σ threshold): it is local in time, parameter-free, </w:t>
            </w:r>
            <w:r w:rsidRPr="001E60E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guarantees connectivity, and yields the sparsest connected network. The Covid-19 empirical findings are more incremental (Heiberger 2014 and Wu &amp; Yao 2021 found similar community collapse in other crises/markets), but the 2,456-stock full-NASDAQ scale and daily-resolution temporal tracking exceed prior work.</w:t>
            </w:r>
          </w:p>
        </w:tc>
      </w:tr>
      <w:tr w:rsidR="001E60E5" w:rsidRPr="001E60E5" w14:paraId="575948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9DDF3" w14:textId="77777777" w:rsidR="001E60E5" w:rsidRPr="001E60E5" w:rsidRDefault="001E60E5" w:rsidP="001E60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60E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Expected reviewer reception</w:t>
            </w:r>
          </w:p>
        </w:tc>
        <w:tc>
          <w:tcPr>
            <w:tcW w:w="0" w:type="auto"/>
            <w:vAlign w:val="center"/>
            <w:hideMark/>
          </w:tcPr>
          <w:p w14:paraId="40947FDB" w14:textId="77777777" w:rsidR="001E60E5" w:rsidRPr="001E60E5" w:rsidRDefault="001E60E5" w:rsidP="001E60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60E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7.5</w:t>
            </w:r>
          </w:p>
        </w:tc>
        <w:tc>
          <w:tcPr>
            <w:tcW w:w="0" w:type="auto"/>
            <w:vAlign w:val="center"/>
            <w:hideMark/>
          </w:tcPr>
          <w:p w14:paraId="1BF9C077" w14:textId="77777777" w:rsidR="001E60E5" w:rsidRPr="001E60E5" w:rsidRDefault="001E60E5" w:rsidP="001E60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60E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ANS reviewers will value the domain-agnostic criterion and the robustness work added after Physica A review; residual risk is a reviewer asking for comparison against alternative criteria (Xu's method, percolation-based) on the same data.</w:t>
            </w:r>
          </w:p>
        </w:tc>
      </w:tr>
      <w:tr w:rsidR="001E60E5" w:rsidRPr="001E60E5" w14:paraId="4C3A54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9F94D" w14:textId="77777777" w:rsidR="001E60E5" w:rsidRPr="001E60E5" w:rsidRDefault="001E60E5" w:rsidP="001E60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60E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Audience interest</w:t>
            </w:r>
          </w:p>
        </w:tc>
        <w:tc>
          <w:tcPr>
            <w:tcW w:w="0" w:type="auto"/>
            <w:vAlign w:val="center"/>
            <w:hideMark/>
          </w:tcPr>
          <w:p w14:paraId="0BEDADE2" w14:textId="77777777" w:rsidR="001E60E5" w:rsidRPr="001E60E5" w:rsidRDefault="001E60E5" w:rsidP="001E60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60E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8345F57" w14:textId="77777777" w:rsidR="001E60E5" w:rsidRPr="001E60E5" w:rsidRDefault="001E60E5" w:rsidP="001E60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E60E5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18 heavily aligned papers and steady financial-network output every year of the journal's existence; conference-community overlap (Complex Networks special issues) reads papers exactly like this one.</w:t>
            </w:r>
          </w:p>
        </w:tc>
      </w:tr>
    </w:tbl>
    <w:p w14:paraId="74D57379" w14:textId="77777777" w:rsidR="001E60E5" w:rsidRPr="001E60E5" w:rsidRDefault="001E60E5" w:rsidP="001E60E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60E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0FD002B">
          <v:rect id="_x0000_i1028" style="width:0;height:1.5pt" o:hralign="center" o:hrstd="t" o:hr="t" fillcolor="#a0a0a0" stroked="f"/>
        </w:pict>
      </w:r>
    </w:p>
    <w:p w14:paraId="3BBBF214" w14:textId="77777777" w:rsidR="001E60E5" w:rsidRPr="001E60E5" w:rsidRDefault="001E60E5" w:rsidP="001E60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E60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4. Rejection diagnosis — and why it argues </w:t>
      </w:r>
      <w:r w:rsidRPr="001E60E5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:lang w:eastAsia="en-GB"/>
          <w14:ligatures w14:val="none"/>
        </w:rPr>
        <w:t>for</w:t>
      </w:r>
      <w:r w:rsidRPr="001E60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ANS</w:t>
      </w:r>
    </w:p>
    <w:p w14:paraId="3442AC2D" w14:textId="77777777" w:rsidR="001E60E5" w:rsidRPr="001E60E5" w:rsidRDefault="001E60E5" w:rsidP="001E60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60E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two rejections are venue-fit evidence, not quality evidence:</w:t>
      </w:r>
    </w:p>
    <w:p w14:paraId="7CD41C0D" w14:textId="77777777" w:rsidR="001E60E5" w:rsidRPr="001E60E5" w:rsidRDefault="001E60E5" w:rsidP="001E60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60E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CSF</w:t>
      </w:r>
      <w:r w:rsidRPr="001E60E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was a desk rejection on scope/volume grounds with an explicitly contradictory letter (scope mismatch + boilerplate "insufficient novelty"), no technical review. A nonlinear-integrable-systems journal is simply the wrong shelf.</w:t>
      </w:r>
    </w:p>
    <w:p w14:paraId="70451987" w14:textId="77777777" w:rsidR="001E60E5" w:rsidRPr="001E60E5" w:rsidRDefault="001E60E5" w:rsidP="001E60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60E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Physica A</w:t>
      </w:r>
      <w:r w:rsidRPr="001E60E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Reviewer #6 stated the work "may be publishable" and raised sensible robustness questions — threshold-percentile sensitivity, scale-free validation, window asymmetry — all of which you report as now addressed (partly by removing the scale-free claims, partly by adding out-of-sample threshold validation, per-day rolling 21-day windows replacing monthly averaging, and threshold-stability analysis σ≈0.03). Reviewer #4's objections were presentational (figure formats, section lead-ins) plus "basic metrics, one market" — a statistical-physics taste judgement that carries far less weight at ANS, whose priorities are applied insight and methodological practicality, not theoretical physics depth.</w:t>
      </w:r>
    </w:p>
    <w:p w14:paraId="25F14528" w14:textId="77777777" w:rsidR="001E60E5" w:rsidRPr="001E60E5" w:rsidRDefault="001E60E5" w:rsidP="001E60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60E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pattern — "well written, sound, but not physics-y enough / not novel enough for our volume" — is the classic signature of an applied network science paper submitted to physics venues. ANS was founded for precisely this kind of work.</w:t>
      </w:r>
    </w:p>
    <w:p w14:paraId="33F6E5C6" w14:textId="77777777" w:rsidR="001E60E5" w:rsidRPr="001E60E5" w:rsidRDefault="001E60E5" w:rsidP="001E60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60E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Surface these as strengths, don't bury them:</w:t>
      </w:r>
      <w:r w:rsidRPr="001E60E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threshold sensitivity analysis, out-of-sample threshold validation, and the connectedness/sparsity/modularity trade-off analysis (Figs. 2–4) should be framed prominently as </w:t>
      </w:r>
      <w:r w:rsidRPr="001E60E5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validation of the proposed criterion</w:t>
      </w:r>
      <w:r w:rsidRPr="001E60E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since method validation is what ANS reviewers reward.</w:t>
      </w:r>
    </w:p>
    <w:p w14:paraId="21D9B965" w14:textId="77777777" w:rsidR="001E60E5" w:rsidRPr="001E60E5" w:rsidRDefault="001E60E5" w:rsidP="001E60E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60E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4FC5847">
          <v:rect id="_x0000_i1029" style="width:0;height:1.5pt" o:hralign="center" o:hrstd="t" o:hr="t" fillcolor="#a0a0a0" stroked="f"/>
        </w:pict>
      </w:r>
    </w:p>
    <w:p w14:paraId="38AA10B6" w14:textId="77777777" w:rsidR="001E60E5" w:rsidRPr="001E60E5" w:rsidRDefault="001E60E5" w:rsidP="001E60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E60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Where the paper adds value to ANS</w:t>
      </w:r>
    </w:p>
    <w:p w14:paraId="6F4FF8B8" w14:textId="77777777" w:rsidR="001E60E5" w:rsidRPr="001E60E5" w:rsidRDefault="001E60E5" w:rsidP="001E60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60E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 parameter-free, automatable threshold-selection criterion</w:t>
      </w:r>
      <w:r w:rsidRPr="001E60E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(max MST edge weight → sparsest connected threshold network) that solves a problem ANS authors have explicitly flagged (</w:t>
      </w:r>
      <w:r w:rsidRPr="001E60E5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Threshold sensitivity of the production network topology</w:t>
      </w:r>
      <w:r w:rsidRPr="001E60E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1E60E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2023) and that transfers to any weighted-similarity network — biological, climate, trade — matching the journal's cross-domain ambitions.</w:t>
      </w:r>
    </w:p>
    <w:p w14:paraId="6A05AC8B" w14:textId="77777777" w:rsidR="001E60E5" w:rsidRPr="001E60E5" w:rsidRDefault="001E60E5" w:rsidP="001E60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60E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The first temporal threshold-network account of Covid-19 on the full NASDAQ</w:t>
      </w:r>
      <w:r w:rsidRPr="001E60E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(2,456 stocks, daily rolling windows) — larger and finer-grained than the existing crisis-network literature in the journal.</w:t>
      </w:r>
    </w:p>
    <w:p w14:paraId="76B93A84" w14:textId="77777777" w:rsidR="001E60E5" w:rsidRPr="001E60E5" w:rsidRDefault="001E60E5" w:rsidP="001E60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60E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Actionable monitoring insight:</w:t>
      </w:r>
      <w:r w:rsidRPr="001E60E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modularity collapse/recovery and centrality migration to low-volatility financial stocks as systemic-stress and market-recovery indicators — directly serving ANS's "actionable insights that inform decision-making" priority.</w:t>
      </w:r>
    </w:p>
    <w:p w14:paraId="3B06DAFB" w14:textId="77777777" w:rsidR="001E60E5" w:rsidRPr="001E60E5" w:rsidRDefault="001E60E5" w:rsidP="001E60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E60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 Key message for the journal</w:t>
      </w:r>
    </w:p>
    <w:p w14:paraId="110BA0C9" w14:textId="77777777" w:rsidR="001E60E5" w:rsidRPr="001E60E5" w:rsidRDefault="001E60E5" w:rsidP="001E60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60E5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A parameter-free MST-based rule makes threshold networks practical at temporal scale — recomputing the threshold at every time step turns a filtering heuristic into a systemic-risk instrument, demonstrated on the entire NASDAQ through the Covid-19 crash and recovery.</w:t>
      </w:r>
    </w:p>
    <w:p w14:paraId="0623EB15" w14:textId="77777777" w:rsidR="001E60E5" w:rsidRPr="001E60E5" w:rsidRDefault="001E60E5" w:rsidP="001E60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60E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Lead with the method; let Covid-19 be the demonstration, not the headline. The current title makes it a Covid case study; ANS will value it more as a temporal-network methods paper with a compelling case study.</w:t>
      </w:r>
    </w:p>
    <w:p w14:paraId="2AFE309D" w14:textId="77777777" w:rsidR="001E60E5" w:rsidRPr="001E60E5" w:rsidRDefault="001E60E5" w:rsidP="001E60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E60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 Pre-submission revision checklist (priority order)</w:t>
      </w:r>
    </w:p>
    <w:p w14:paraId="749BC269" w14:textId="77777777" w:rsidR="001E60E5" w:rsidRPr="001E60E5" w:rsidRDefault="001E60E5" w:rsidP="001E60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60E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Reframe title/abstract around the criterion.</w:t>
      </w:r>
      <w:r w:rsidRPr="001E60E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E.g. "Temporal threshold networks from a minimum-spanning-tree criterion: the US stock market through Covid-19". State in the abstract that the criterion is domain-agnostic and automatic.</w:t>
      </w:r>
    </w:p>
    <w:p w14:paraId="167E2C02" w14:textId="77777777" w:rsidR="001E60E5" w:rsidRPr="001E60E5" w:rsidRDefault="001E60E5" w:rsidP="001E60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60E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Add one explicit comparison</w:t>
      </w:r>
      <w:r w:rsidRPr="001E60E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your criterion against at least one alternative (Xu et al.'s consistency-function threshold and/or a fixed-percentile rule) on the same data — the one gap a strong ANS reviewer will probe. Even a short subsection neutralises it.</w:t>
      </w:r>
    </w:p>
    <w:p w14:paraId="016B17EE" w14:textId="77777777" w:rsidR="001E60E5" w:rsidRPr="001E60E5" w:rsidRDefault="001E60E5" w:rsidP="001E60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60E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Promote the robustness material</w:t>
      </w:r>
      <w:r w:rsidRPr="001E60E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added after Physica A review into the main narrative (threshold stability σ≈0.03, out-of-sample evaluation, modularity-vs-threshold trade-off) as "validation of the criterion".</w:t>
      </w:r>
    </w:p>
    <w:p w14:paraId="0481B8B7" w14:textId="77777777" w:rsidR="001E60E5" w:rsidRPr="001E60E5" w:rsidRDefault="001E60E5" w:rsidP="001E60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60E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Cite ANS lineage</w:t>
      </w:r>
      <w:r w:rsidRPr="001E60E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signal fit: the 2016/2017 dynamic correlation network papers, </w:t>
      </w:r>
      <w:r w:rsidRPr="001E60E5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Partial correlation financial networks</w:t>
      </w:r>
      <w:r w:rsidRPr="001E60E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(2020), </w:t>
      </w:r>
      <w:r w:rsidRPr="001E60E5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Uncovering dynamic stock return correlations</w:t>
      </w:r>
      <w:r w:rsidRPr="001E60E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(2019), </w:t>
      </w:r>
      <w:r w:rsidRPr="001E60E5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Threshold sensitivity of the production network topology</w:t>
      </w:r>
      <w:r w:rsidRPr="001E60E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(2023), and the Temporal Networks collection.</w:t>
      </w:r>
    </w:p>
    <w:p w14:paraId="7F98013F" w14:textId="77777777" w:rsidR="001E60E5" w:rsidRPr="001E60E5" w:rsidRDefault="001E60E5" w:rsidP="001E60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60E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Add one paragraph on generalisability</w:t>
      </w:r>
      <w:r w:rsidRPr="001E60E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beyond the US market (Physica A R6, point 6) — you need not run new markets; argue from the criterion's data-independence.</w:t>
      </w:r>
    </w:p>
    <w:p w14:paraId="0574BF25" w14:textId="77777777" w:rsidR="001E60E5" w:rsidRPr="001E60E5" w:rsidRDefault="001E60E5" w:rsidP="001E60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60E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Reformat to ANS style</w:t>
      </w:r>
      <w:r w:rsidRPr="001E60E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(it's currently in REVTeX/physics two-column; ANS uses Springer single-column) and ensure all figures are vector.</w:t>
      </w:r>
    </w:p>
    <w:p w14:paraId="6AD5A3DD" w14:textId="77777777" w:rsidR="001E60E5" w:rsidRPr="001E60E5" w:rsidRDefault="001E60E5" w:rsidP="001E60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60E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Consider the </w:t>
      </w:r>
      <w:r w:rsidRPr="001E60E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Complex Networks conference route</w:t>
      </w:r>
      <w:r w:rsidRPr="001E60E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ANS publishes special issues from that conference; presenting there first is a well-trodden path into the journal.</w:t>
      </w:r>
    </w:p>
    <w:p w14:paraId="20FC42AF" w14:textId="77777777" w:rsidR="001E60E5" w:rsidRPr="001E60E5" w:rsidRDefault="001E60E5" w:rsidP="001E60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E60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 Verdict</w:t>
      </w:r>
    </w:p>
    <w:p w14:paraId="0896EE8C" w14:textId="77777777" w:rsidR="001E60E5" w:rsidRPr="001E60E5" w:rsidRDefault="001E60E5" w:rsidP="001E60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60E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8/10 — submit.</w:t>
      </w:r>
      <w:r w:rsidRPr="001E60E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This is the best-fitting journal among realistic options: your paper's every component (temporal networks, community detection, centrality, financial application, practical method) is named in the aims &amp; scope; 18 closely aligned papers exist including a live methodological conversation about threshold choice that your criterion advances; and </w:t>
      </w:r>
      <w:r w:rsidRPr="001E60E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both prior rejections diagnose venue mismatch rather than technical failure. Fallbacks if needed: </w:t>
      </w:r>
      <w:r w:rsidRPr="001E60E5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Journal of Complex Networks</w:t>
      </w:r>
      <w:r w:rsidRPr="001E60E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1E60E5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Network Science</w:t>
      </w:r>
      <w:r w:rsidRPr="001E60E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or (more finance-facing) </w:t>
      </w:r>
      <w:r w:rsidRPr="001E60E5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Journal of Network Theory in Finance</w:t>
      </w:r>
      <w:r w:rsidRPr="001E60E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but try ANS first, after revisions 1–3 above.</w:t>
      </w:r>
    </w:p>
    <w:p w14:paraId="214A2277" w14:textId="77777777" w:rsidR="001E60E5" w:rsidRPr="001E60E5" w:rsidRDefault="001E60E5" w:rsidP="001E60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E60E5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Caveats: tier counts are title-based and carry ±3–4 uncertainty; I could not read every abstract. This is scholarly-fit advice, not a guarantee of editorial outcome.</w:t>
      </w:r>
    </w:p>
    <w:p w14:paraId="7B9E6FD8" w14:textId="77777777" w:rsidR="001E60E5" w:rsidRDefault="001E60E5"/>
    <w:sectPr w:rsidR="001E60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F44E20"/>
    <w:multiLevelType w:val="multilevel"/>
    <w:tmpl w:val="C7708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515EF"/>
    <w:multiLevelType w:val="multilevel"/>
    <w:tmpl w:val="6F2EB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A9231B"/>
    <w:multiLevelType w:val="multilevel"/>
    <w:tmpl w:val="F5DEC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5E36765"/>
    <w:multiLevelType w:val="multilevel"/>
    <w:tmpl w:val="407EA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9101554">
    <w:abstractNumId w:val="3"/>
  </w:num>
  <w:num w:numId="2" w16cid:durableId="1249461455">
    <w:abstractNumId w:val="0"/>
  </w:num>
  <w:num w:numId="3" w16cid:durableId="1903443223">
    <w:abstractNumId w:val="1"/>
  </w:num>
  <w:num w:numId="4" w16cid:durableId="938833576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0E5"/>
    <w:rsid w:val="00175063"/>
    <w:rsid w:val="001E60E5"/>
    <w:rsid w:val="00E40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3657B"/>
  <w15:chartTrackingRefBased/>
  <w15:docId w15:val="{1EE03594-920C-FE4D-85DF-CACE846BC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60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60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60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0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60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60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60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60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60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60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E60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60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0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60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60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60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60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60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60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60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60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60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60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60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60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60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60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60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60E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E60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1E60E5"/>
    <w:rPr>
      <w:b/>
      <w:bCs/>
    </w:rPr>
  </w:style>
  <w:style w:type="character" w:styleId="Emphasis">
    <w:name w:val="Emphasis"/>
    <w:basedOn w:val="DefaultParagraphFont"/>
    <w:uiPriority w:val="20"/>
    <w:qFormat/>
    <w:rsid w:val="001E60E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1681</Words>
  <Characters>9587</Characters>
  <Application>Microsoft Office Word</Application>
  <DocSecurity>0</DocSecurity>
  <Lines>79</Lines>
  <Paragraphs>22</Paragraphs>
  <ScaleCrop>false</ScaleCrop>
  <Company/>
  <LinksUpToDate>false</LinksUpToDate>
  <CharactersWithSpaces>11246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Bruce, Christopher</dc:creator>
  <cp:keywords/>
  <dc:description/>
  <cp:lastModifiedBy>Bruce, Christopher</cp:lastModifiedBy>
  <cp:revision>1</cp:revision>
  <dcterms:created xsi:type="dcterms:W3CDTF">2026-07-03T11:10:00Z</dcterms:created>
  <dcterms:modified xsi:type="dcterms:W3CDTF">2026-07-03T11:10:00Z</dcterms:modified>
</cp:coreProperties>
</file>