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8.00000000000006" w:lineRule="auto"/>
        <w:jc w:val="right"/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4869180</wp:posOffset>
            </wp:positionH>
            <wp:positionV relativeFrom="paragraph">
              <wp:posOffset>236220</wp:posOffset>
            </wp:positionV>
            <wp:extent cx="276225" cy="2762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-941069</wp:posOffset>
            </wp:positionH>
            <wp:positionV relativeFrom="paragraph">
              <wp:posOffset>173355</wp:posOffset>
            </wp:positionV>
            <wp:extent cx="7796213" cy="116205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-78763</wp:posOffset>
            </wp:positionH>
            <wp:positionV relativeFrom="paragraph">
              <wp:posOffset>0</wp:posOffset>
            </wp:positionV>
            <wp:extent cx="1269389" cy="1500188"/>
            <wp:effectExtent b="0" l="0" r="0" t="0"/>
            <wp:wrapSquare wrapText="bothSides" distB="0" distT="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9389" cy="1500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4973955</wp:posOffset>
            </wp:positionH>
            <wp:positionV relativeFrom="paragraph">
              <wp:posOffset>504825</wp:posOffset>
            </wp:positionV>
            <wp:extent cx="276225" cy="190500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1087" l="4291" r="8154" t="90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="278.00000000000006" w:lineRule="auto"/>
        <w:jc w:val="right"/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rtl w:val="0"/>
        </w:rPr>
        <w:t xml:space="preserve">1999-02-01</w:t>
        <w:br w:type="textWrapping"/>
        <w:t xml:space="preserve">0975-428-934</w:t>
        <w:br w:type="textWrapping"/>
        <w:t xml:space="preserve">christy232458@gmail.com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4874895</wp:posOffset>
            </wp:positionH>
            <wp:positionV relativeFrom="paragraph">
              <wp:posOffset>176103</wp:posOffset>
            </wp:positionV>
            <wp:extent cx="190500" cy="190500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3922395</wp:posOffset>
            </wp:positionH>
            <wp:positionV relativeFrom="paragraph">
              <wp:posOffset>366603</wp:posOffset>
            </wp:positionV>
            <wp:extent cx="276225" cy="27622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Times New Roman" w:cs="Times New Roman" w:eastAsia="Times New Roman" w:hAnsi="Times New Roman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right="480"/>
        <w:rPr>
          <w:rFonts w:ascii="Times New Roman" w:cs="Times New Roman" w:eastAsia="Times New Roman" w:hAnsi="Times New Roman"/>
          <w:b w:val="1"/>
          <w:color w:val="bf9000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b w:val="1"/>
          <w:sz w:val="44"/>
          <w:szCs w:val="44"/>
          <w:rtl w:val="0"/>
        </w:rPr>
        <w:t xml:space="preserve">(中) 陳詩慧 | (英) Padma Christie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color w:val="bf9000"/>
          <w:sz w:val="36"/>
          <w:szCs w:val="36"/>
          <w:rtl w:val="0"/>
        </w:rPr>
        <w:t xml:space="preserve">工作經歷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8"/>
          <w:szCs w:val="28"/>
          <w:rtl w:val="0"/>
        </w:rPr>
        <w:t xml:space="preserve">Joy English School,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  宜蘭市，台灣 — 英語教師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2023年10月 – 2023年2月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教授5至12歲學生的英語課程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根據學校機構的目標設計和安排課程計劃, 並根據學生的需求調整現有的教材和資源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專注於提升學生的流利度和理解能力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運用多種教學方法（如遊戲對話角色扮演等）讓課堂更加有互動性以及有趣</w:t>
      </w:r>
    </w:p>
    <w:p w:rsidR="00000000" w:rsidDel="00000000" w:rsidP="00000000" w:rsidRDefault="00000000" w:rsidRPr="00000000" w14:paraId="0000000B">
      <w:pPr>
        <w:spacing w:after="240" w:before="24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5818e"/>
          <w:sz w:val="28"/>
          <w:szCs w:val="28"/>
          <w:rtl w:val="0"/>
        </w:rPr>
        <w:t xml:space="preserve">宜蘭大學  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宜蘭,台灣 — 英語教師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2021年10月 – 2021年12月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設計針對小學年齡學生的課程計劃。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通過作業評估學生的能力,並根據需要調整課程計劃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幫助學生提高英語語法, 發音和句子結構</w:t>
      </w:r>
    </w:p>
    <w:p w:rsidR="00000000" w:rsidDel="00000000" w:rsidP="00000000" w:rsidRDefault="00000000" w:rsidRPr="00000000" w14:paraId="0000000F">
      <w:pPr>
        <w:spacing w:after="20" w:before="0" w:line="26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8"/>
          <w:szCs w:val="28"/>
          <w:rtl w:val="0"/>
        </w:rPr>
        <w:t xml:space="preserve">Come True CAFE, 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台北市，台灣 — 餐廳工作人員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2024年6月 – 現在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協助管理食品和飲料品質，確保產品標準的一致性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協助主管安排員工及排班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負責食材準備和庫存管理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利用語言能力協助外籍旅客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0" w:before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精確且迅速地處理各類現金信用卡電子支付等交易</w:t>
      </w:r>
    </w:p>
    <w:p w:rsidR="00000000" w:rsidDel="00000000" w:rsidP="00000000" w:rsidRDefault="00000000" w:rsidRPr="00000000" w14:paraId="00000015">
      <w:pPr>
        <w:spacing w:after="240" w:before="24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color w:val="45818e"/>
          <w:sz w:val="28"/>
          <w:szCs w:val="28"/>
          <w:rtl w:val="0"/>
        </w:rPr>
        <w:t xml:space="preserve">麵工匠 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宜蘭，台灣 — 餐廳工作人員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2019年9月 - 2020年12月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提供優質的顧客服務，包括接待顧客解決投訴上菜及解答顧客詢問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根據顧客偏好準備和烹調食物</w:t>
      </w:r>
    </w:p>
    <w:p w:rsidR="00000000" w:rsidDel="00000000" w:rsidP="00000000" w:rsidRDefault="00000000" w:rsidRPr="00000000" w14:paraId="00000018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color w:val="4581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5818e"/>
          <w:sz w:val="28"/>
          <w:szCs w:val="28"/>
          <w:rtl w:val="0"/>
        </w:rPr>
        <w:t xml:space="preserve">TES電子產品公司 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檳城馬來西亞 — 辦公室行政助理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2017年12月 - 2018年8月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協助辦公室經理處理文書和顧客服務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管理公司庫存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b w:val="1"/>
          <w:color w:val="bf9000"/>
          <w:sz w:val="36"/>
          <w:szCs w:val="36"/>
          <w:rtl w:val="0"/>
        </w:rPr>
        <w:t xml:space="preserve">教育背景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5818e"/>
          <w:sz w:val="24"/>
          <w:szCs w:val="24"/>
          <w:rtl w:val="0"/>
        </w:rPr>
        <w:t xml:space="preserve">國立宜蘭大學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宜蘭，台灣 — 外國語言與文學學系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5818e"/>
          <w:sz w:val="24"/>
          <w:szCs w:val="24"/>
          <w:rtl w:val="0"/>
        </w:rPr>
        <w:t xml:space="preserve">大山腳獨立中學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檳城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馬來西亞  — 高中畢業證書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8.0000000000000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bf9000"/>
          <w:sz w:val="36"/>
          <w:szCs w:val="36"/>
          <w:rtl w:val="0"/>
        </w:rPr>
        <w:t xml:space="preserve">證書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6"/>
          <w:szCs w:val="26"/>
          <w:rtl w:val="0"/>
        </w:rPr>
        <w:t xml:space="preserve">TESOL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(Teaching English to Speakers of Other Languages)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6"/>
          <w:szCs w:val="26"/>
          <w:rtl w:val="0"/>
        </w:rPr>
        <w:t xml:space="preserve">TEFL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(Teaching English as a Foreign Language)</w:t>
      </w:r>
    </w:p>
    <w:p w:rsidR="00000000" w:rsidDel="00000000" w:rsidP="00000000" w:rsidRDefault="00000000" w:rsidRPr="00000000" w14:paraId="00000021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sz w:val="26"/>
          <w:szCs w:val="26"/>
          <w:rtl w:val="0"/>
        </w:rPr>
        <w:t xml:space="preserve">小提琴音樂表演分級考試5級2級證書 Trinity College London</w:t>
      </w:r>
    </w:p>
    <w:p w:rsidR="00000000" w:rsidDel="00000000" w:rsidP="00000000" w:rsidRDefault="00000000" w:rsidRPr="00000000" w14:paraId="00000022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b w:val="1"/>
          <w:color w:val="bf9000"/>
          <w:sz w:val="36"/>
          <w:szCs w:val="36"/>
          <w:rtl w:val="0"/>
        </w:rPr>
        <w:t xml:space="preserve">語言能力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color w:val="1155cc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英語 |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流利（書面與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生活會話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）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9"/>
          <w:szCs w:val="29"/>
          <w:highlight w:val="white"/>
          <w:rtl w:val="0"/>
        </w:rPr>
        <w:t xml:space="preserve"> (劍橋領思測驗 176/180+ B2)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中文, 普通話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熟練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（書面與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生活會話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）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廣東話 |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會話水平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閩南語 |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會話水平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8.00000000000006" w:lineRule="auto"/>
        <w:rPr>
          <w:color w:val="2d2d2d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馬來語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會話水平</w:t>
      </w:r>
    </w:p>
    <w:p w:rsidR="00000000" w:rsidDel="00000000" w:rsidP="00000000" w:rsidRDefault="00000000" w:rsidRPr="00000000" w14:paraId="00000028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bf9000"/>
          <w:sz w:val="36"/>
          <w:szCs w:val="36"/>
          <w:rtl w:val="0"/>
        </w:rPr>
        <w:t xml:space="preserve">興趣愛好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• 演奏音乐（小提琴、吉他和唱歌）• 听音乐                              • 瑜伽</w:t>
      </w:r>
    </w:p>
    <w:p w:rsidR="00000000" w:rsidDel="00000000" w:rsidP="00000000" w:rsidRDefault="00000000" w:rsidRPr="00000000" w14:paraId="00000029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• 手工艺                                                • 越野自行车骑行              • 旅行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