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80"/>
          <w:szCs w:val="80"/>
        </w:rPr>
      </w:pPr>
      <w:r w:rsidDel="00000000" w:rsidR="00000000" w:rsidRPr="00000000">
        <w:rPr>
          <w:b w:val="1"/>
          <w:sz w:val="80"/>
          <w:szCs w:val="80"/>
          <w:rtl w:val="0"/>
        </w:rPr>
        <w:tab/>
        <w:t xml:space="preserve">WARD’S CATERING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