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mons-bonds"/>
    <w:p>
      <w:pPr>
        <w:pStyle w:val="Heading1"/>
      </w:pPr>
      <w:r>
        <w:t xml:space="preserve">Commons Bonds</w:t>
      </w:r>
    </w:p>
    <w:bookmarkStart w:id="30" w:name="chapter-6-three-ways-of-counting"/>
    <w:p>
      <w:pPr>
        <w:pStyle w:val="Heading2"/>
      </w:pPr>
      <w:r>
        <w:t xml:space="preserve">Chapter 6: Three Ways of Counting</w:t>
      </w:r>
    </w:p>
    <w:p>
      <w:r>
        <w:pict>
          <v:rect style="width:0;height:1.5pt" o:hralign="center" o:hrstd="t" o:hr="t"/>
        </w:pict>
      </w:r>
    </w:p>
    <w:p>
      <w:pPr>
        <w:pStyle w:val="FirstParagraph"/>
      </w:pPr>
      <w: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pPr>
        <w:pStyle w:val="BodyText"/>
      </w:pPr>
      <w: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pPr>
        <w:pStyle w:val="BodyText"/>
      </w:pPr>
      <w: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structures uncertainty — tells us which parameters matter, and by how much each one affects what we are willing to call the price.</w:t>
      </w:r>
    </w:p>
    <w:p>
      <w:pPr>
        <w:pStyle w:val="BodyText"/>
      </w:pPr>
      <w:r>
        <w:t xml:space="preserve">The three approaches are bottom-up damage accounting, a real-options model, and the residual commons value (RCV)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
        <w:pict>
          <v:rect style="width:0;height:1.5pt" o:hralign="center" o:hrstd="t" o:hr="t"/>
        </w:pict>
      </w:r>
    </w:p>
    <w:bookmarkStart w:id="9" w:name="approach-1-bottom-up-damage-accounting"/>
    <w:p>
      <w:pPr>
        <w:pStyle w:val="Heading3"/>
      </w:pPr>
      <w:r>
        <w:t xml:space="preserve">Approach 1 — Bottom-Up Damage Accounting</w:t>
      </w:r>
    </w:p>
    <w:p>
      <w:pPr>
        <w:pStyle w:val="FirstParagraph"/>
      </w:pPr>
      <w:r>
        <w:t xml:space="preserve">Start with the method that needs no theory. Take one ton of Appalachian coal. Walk through every cost category the extraction produces. Enumerate them. Price each. Add.</w:t>
      </w:r>
    </w:p>
    <w:p>
      <w:pPr>
        <w:pStyle w:val="BodyText"/>
      </w:pPr>
      <w:r>
        <w:t xml:space="preserve">Begin with health. The federal Black Lung Benefits Program’s approximately $44 billion in distributions through 2009 (GAO/CRS), allocated across the national tonnage of coal produced since the Program’s 1969 establishment, runs roughly eighty cents per ton (Chapter 2 walks the program’s Trust Fund — its funding gap, debt trajectory, and structural mechanics — in detail).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pPr>
        <w:pStyle w:val="BodyText"/>
      </w:pPr>
      <w: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pPr>
        <w:pStyle w:val="BodyText"/>
      </w:pPr>
      <w: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The thirteen-year gap is a</w:t>
      </w:r>
      <w:r>
        <w:t xml:space="preserve"> </w:t>
      </w:r>
      <w:r>
        <w:rPr>
          <w:i/>
          <w:iCs/>
        </w:rPr>
        <w:t xml:space="preserve">legacy effect</w:t>
      </w:r>
      <w:r>
        <w:t xml:space="preserve"> </w:t>
      </w:r>
      <w:r>
        <w:t xml:space="preserve">— a measurable consequence of cost-severance harm that persists across cohorts. The methodology for pricing legacy effects of this kind has been developed most rigorously by William Darity Jr. and collaborators in their work on the six-to-seven year Black-versus-white longevity gap in the United States, which prices the gap as a legacy effect of structural extraction across generations. McDowell County’s thirteen-year gap is a legacy-effect pricing application of the same methodology, calibrated to coal-extraction-affected populations rather than to racially-stratified populations. The methodology travels; the per-context calibration is what differs. A conservative community-cost estimate comes in between $5 and $15 per ton.</w:t>
      </w:r>
    </w:p>
    <w:p>
      <w:pPr>
        <w:pStyle w:val="BodyText"/>
      </w:pPr>
      <w:r>
        <w:t xml:space="preserve">Add them. Health yields $2–4. Environment yields $1–3. Community costs yield $5–15. A conservative bottom-up total, absent carbon,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pPr>
        <w:pStyle w:val="BodyText"/>
      </w:pPr>
      <w:r>
        <w:t xml:space="preserve">Then add the carbon. This is where the arithmetic stops being conservative and starts being contested. One ton of bituminous coal, fully combusted, releases approximately 2.32 tons of CO₂ (EPA emission factor for bituminous coal at short-ton accounting: 93.28 kg CO₂ per mmBtu × roughly 24.9 mmBtu per short ton). At the EPA’s 2023 estimate of $190 per ton CO₂, the carbon externality alone is approximately $441 per ton of coal — an order of magnitude larger than every other tier combined.</w:t>
      </w:r>
    </w:p>
    <w:p>
      <w:pPr>
        <w:pStyle w:val="BodyText"/>
      </w:pPr>
      <w:r>
        <w:t xml:space="preserve">Include carbon, and the bottom-up total rises to roughly $449 to $464 per ton. Against $4.50, or even $140, the market is capturing roughly one to thirty percent of the actual cost. The carbon term dominates.</w:t>
      </w:r>
    </w:p>
    <w:p>
      <w:pPr>
        <w:pStyle w:val="BodyText"/>
      </w:pPr>
      <w:r>
        <w:t xml:space="preserve">Apply the same exercise to other cases. Deepwater Horizon: production revenue of roughly $4.25 billion against documented litigation costs, restoration obligations, ecological losses, and public-health spending in the range of $65 to $70 billion (a one-event disaster, so the cost figure is bounded by what has been counted rather than by an ongoing extraction lifetime). Call this ratio of true cost to market price the</w:t>
      </w:r>
      <w:r>
        <w:t xml:space="preserve"> </w:t>
      </w:r>
      <w:r>
        <w:rPr>
          <w:b/>
          <w:bCs/>
        </w:rPr>
        <w:t xml:space="preserve">Intergenerational Pricing Gap (IPG)</w:t>
      </w:r>
      <w:r>
        <w:t xml:space="preserve">: 15 to 17 times for Deepwater Horizon. Libby, Montana: around $100 million in lifetime mine revenue against $5 to $8 billion in direct settlements (approximately $0.3 billion), federal cleanup spending (approximately $0.6 billion and counting), and the long-tail of asbestos-related illness costs across thousands of cases, environmental remediation extending into future decades, and community destruction. An IPG of 55 to 82 times. Exxon Valdez: $5.5 million of oil spilled (one-event disaster; the figure is product value of the spilled oil rather than an extraction-lifetime revenue stream), against between $7 and $10 billion in cleanup, litigation, and long-run ecological damage. An IPG in the range of 1,200 to 1,900 times.</w:t>
      </w:r>
    </w:p>
    <w:p>
      <w:pPr>
        <w:pStyle w:val="BodyText"/>
      </w:pPr>
      <w: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CO₂. The first Trump administration said $1 to $7. The Biden EPA said $190. The same molecule. The same atmosphere. The same physics. Three estimates spanning two orders of magnitude.</w:t>
      </w:r>
    </w:p>
    <w:p>
      <w:pPr>
        <w:pStyle w:val="BodyText"/>
      </w:pPr>
      <w:r>
        <w:t xml:space="preserve">The fight over the social cost of carbon (SCC) is itself a proxy war over acceptable cost severance levels. Every dollar of SCC that is not priced is a dollar of cost severed onto communities and future generations. The debate over the</w:t>
      </w:r>
      <w:r>
        <w:t xml:space="preserve"> </w:t>
      </w:r>
      <w:r>
        <w:t xml:space="preserve">“correct”</w:t>
      </w:r>
      <w:r>
        <w:t xml:space="preserve"> </w:t>
      </w:r>
      <w:r>
        <w:t xml:space="preserve">SCC is a debate over how much severance we are willing to tolerate.</w:t>
      </w:r>
    </w:p>
    <w:p>
      <w:pPr>
        <w:pStyle w:val="BodyText"/>
      </w:pPr>
      <w:r>
        <w:t xml:space="preserve">The qualitative result — that the market underprices extraction — is robust across all SCC estimates above zero. The quantitative result is not. The framework’s numbers for fossil fuels are only as precise as the SCC estimate chosen, and the SCC estimate is, at the moment of this writing, whatever the sitting administration says it is.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pPr>
        <w:pStyle w:val="BodyText"/>
      </w:pPr>
      <w:r>
        <w:t xml:space="preserve">The choice of $3 per ton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 The available alternative — current market pricing with no externality adjustment at all — is not neutral either.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framework’s. It is less rigorous — it is an assumption that contradicts every piece of available evidence.</w:t>
      </w:r>
    </w:p>
    <w:p>
      <w:pPr>
        <w:pStyle w:val="BodyText"/>
      </w:pPr>
      <w:r>
        <w:t xml:space="preserve">The framework does not eliminate uncertainty; it structures uncertainty. It tells the reader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 The same logic applies here. And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pPr>
        <w:pStyle w:val="BodyText"/>
      </w:pPr>
      <w:r>
        <w:t xml:space="preserve">One distinction worth making explicit at this point in the carbon accounting. The bottom-up damage-accounting we have been doing prices what carbon</w:t>
      </w:r>
      <w:r>
        <w:t xml:space="preserve"> </w:t>
      </w:r>
      <w:r>
        <w:rPr>
          <w:i/>
          <w:iCs/>
        </w:rPr>
        <w:t xml:space="preserve">does</w:t>
      </w:r>
      <w:r>
        <w:t xml:space="preserve"> </w:t>
      </w:r>
      <w:r>
        <w:t xml:space="preserve">once emitted — the damage side, anchored by the Social Cost of Carbon. The framework’s forward-looking residual commons value apparatus (Approach 3, below) also asks a different question — what would it cost to engineer the substitute the commons was providing? — and the answer for atmospheric CO₂ comes from direct-air-capture. Both numbers belong in honest carbon accounting; they answer different questions.</w:t>
      </w:r>
    </w:p>
    <w:p>
      <w:pPr>
        <w:pStyle w:val="BodyText"/>
      </w:pPr>
      <w:r>
        <w:t xml:space="preserve">Climeworks’s Orca facility in Iceland, currently among the largest operational direct-air-capture installations, captures CO₂ at approximately one thousand dollars or more per ton at first-of-a-kind operational scale. Climeworks’s Mammoth facility (operational from 2024) and the company’s Generation-3 technology trajectory project unit cost reductions toward four hundred to six hundred dollars per ton net-removal cost by 2030, under the corporate cost-reduction trajectory the company disclosed at its June 2024 Carbon Removal Summit in Zurich. The capture-only target along the same trajectory is two hundred fifty to three hundred fifty dollars per ton. Carbon Engineering’s Stratos facility in Texas, in commissioning at the time of writing with phased ramp to full capacity through mid-2026, is projected to capture at three hundred to six hundred dollars per ton at full operation. The International Energy Agency’s</w:t>
      </w:r>
      <w:r>
        <w:t xml:space="preserve"> </w:t>
      </w:r>
      <w:r>
        <w:rPr>
          <w:i/>
          <w:iCs/>
        </w:rPr>
        <w:t xml:space="preserve">Direct Air Capture 2022</w:t>
      </w:r>
      <w:r>
        <w:t xml:space="preserve"> </w:t>
      </w:r>
      <w:r>
        <w:t xml:space="preserve">review places the achievable cost at scaled-up operation in the two-hundred-thirty to six-hundred-dollar range, depending on energy-source assumptions. The IPCC’s AR6 Working Group III, under more optimistic learning-curve and policy-support scenarios, projects mid-century costs as low as one hundred to three hundred dollars per ton. The book presents all four horizons because the answer depends on which one the reader is asking about, and the framework’s response to the question</w:t>
      </w:r>
      <w:r>
        <w:t xml:space="preserve"> </w:t>
      </w:r>
      <w:r>
        <w:t xml:space="preserve">“what does it cost to replace what’s been severed”</w:t>
      </w:r>
      <w:r>
        <w:t xml:space="preserve"> </w:t>
      </w:r>
      <w:r>
        <w:t xml:space="preserve">is honestly horizon-dependent.</w:t>
      </w:r>
    </w:p>
    <w:p>
      <w:pPr>
        <w:pStyle w:val="BodyText"/>
      </w:pPr>
      <w:r>
        <w:t xml:space="preserve">The Social Cost of Carbon — the figure of approximately one hundred ninety dollars per ton at a two percent discount rate, drawn from Rennert and colleagues 2022 — prices the</w:t>
      </w:r>
      <w:r>
        <w:t xml:space="preserve"> </w:t>
      </w:r>
      <w:r>
        <w:rPr>
          <w:i/>
          <w:iCs/>
        </w:rPr>
        <w:t xml:space="preserve">damage</w:t>
      </w:r>
      <w:r>
        <w:t xml:space="preserve"> </w:t>
      </w:r>
      <w:r>
        <w:t xml:space="preserve">that a ton of CO₂ does once emitted; direct-air-capture prices the</w:t>
      </w:r>
      <w:r>
        <w:t xml:space="preserve"> </w:t>
      </w:r>
      <w:r>
        <w:rPr>
          <w:i/>
          <w:iCs/>
        </w:rPr>
        <w:t xml:space="preserve">engineering reversal</w:t>
      </w:r>
      <w:r>
        <w:t xml:space="preserve"> </w:t>
      </w:r>
      <w:r>
        <w:t xml:space="preserve">of that damage. The substitution-side question (what does it cost to replace the commons function) belongs in Approach 3’s RCV Method 1; the damage-side question (what does the harm cost) is what Approach 1’s bottom-up walkthrough has been answering. Conflating them is one of the easier methodological errors a reader could make, and the framework’s reporting discipline keeps them separated so the reader doesn’t.</w:t>
      </w:r>
    </w:p>
    <w:p>
      <w:pPr>
        <w:pStyle w:val="BodyText"/>
      </w:pPr>
      <w: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
        <w:pict>
          <v:rect style="width:0;height:1.5pt" o:hralign="center" o:hrstd="t" o:hr="t"/>
        </w:pict>
      </w:r>
    </w:p>
    <w:bookmarkEnd w:id="9"/>
    <w:bookmarkStart w:id="10" w:name="approach-2-the-real-options-model"/>
    <w:p>
      <w:pPr>
        <w:pStyle w:val="Heading3"/>
      </w:pPr>
      <w:r>
        <w:t xml:space="preserve">Approach 2 — The Real Options Model</w:t>
      </w:r>
    </w:p>
    <w:p>
      <w:pPr>
        <w:pStyle w:val="FirstParagraph"/>
      </w:pPr>
      <w:r>
        <w:t xml:space="preserve">The second method speaks the language of Wall Street.</w:t>
      </w:r>
    </w:p>
    <w:p>
      <w:pPr>
        <w:pStyle w:val="BodyText"/>
      </w:pPr>
      <w: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pPr>
        <w:pStyle w:val="BodyText"/>
      </w:pPr>
      <w:r>
        <w:t xml:space="preserve">This is standard finance. It is how every oil major already values its undeveloped reserves internally. The model is not radical. It is the mainstream model.</w:t>
      </w:r>
    </w:p>
    <w:p>
      <w:pPr>
        <w:pStyle w:val="BodyText"/>
      </w:pPr>
      <w: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pPr>
        <w:pStyle w:val="BodyText"/>
      </w:pPr>
      <w:r>
        <w:t xml:space="preserve">When the full social option value of an unextracted barrel exceeds the net revenue from extracting it today, extraction is socially premature. Not suboptimal. Premature. The economy is exercising an option before the information the option contains has been collected.</w:t>
      </w:r>
    </w:p>
    <w:p>
      <w:pPr>
        <w:pStyle w:val="BodyText"/>
      </w:pPr>
      <w: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pPr>
        <w:pStyle w:val="BodyText"/>
      </w:pPr>
      <w: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pPr>
        <w:pStyle w:val="BodyText"/>
      </w:pPr>
      <w: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pPr>
        <w:pStyle w:val="BodyText"/>
      </w:pPr>
      <w:r>
        <w:t xml:space="preserve">Apply it across cases, and the same answer emerges. Every extraction event we have examined produced net revenue substantially below the social option value of leaving the resource in place. The direction does not flip.</w:t>
      </w:r>
    </w:p>
    <w:p>
      <w:r>
        <w:pict>
          <v:rect style="width:0;height:1.5pt" o:hralign="center" o:hrstd="t" o:hr="t"/>
        </w:pict>
      </w:r>
    </w:p>
    <w:bookmarkEnd w:id="10"/>
    <w:bookmarkStart w:id="12" w:name="approach-3-the-rcv-model"/>
    <w:p>
      <w:pPr>
        <w:pStyle w:val="Heading3"/>
      </w:pPr>
      <w:r>
        <w:t xml:space="preserve">Approach 3 — The RCV Model</w:t>
      </w:r>
    </w:p>
    <w:p>
      <w:pPr>
        <w:pStyle w:val="FirstParagraph"/>
      </w:pPr>
      <w: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pPr>
        <w:pStyle w:val="BodyText"/>
      </w:pPr>
      <w:r>
        <w:t xml:space="preserve">I will introduce the formula in a moment. Before the formula, a plain-English version of what the formula computes, because the argument has to survive without the mathematics for readers who would rather not do integrals.</w:t>
      </w:r>
    </w:p>
    <w:p>
      <w:pPr>
        <w:pStyle w:val="BodyText"/>
      </w:pPr>
      <w:r>
        <w:t xml:space="preserve">The true cost of extracting from the commons — most dramatically for a non-renewable resource, and, with adjustment, for a renewable one extracted at rates exceeding regeneration — has two components the market does not currently price.</w:t>
      </w:r>
    </w:p>
    <w:p>
      <w:pPr>
        <w:pStyle w:val="BodyText"/>
      </w:pPr>
      <w:r>
        <w:t xml:space="preserve">The first is the foreclosure cost.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pPr>
        <w:pStyle w:val="BodyText"/>
      </w:pPr>
      <w: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pPr>
        <w:pStyle w:val="BodyText"/>
      </w:pPr>
      <w:r>
        <w:t xml:space="preserve">The second component is the externality tail.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pPr>
        <w:pStyle w:val="BodyText"/>
      </w:pPr>
      <w:r>
        <w:t xml:space="preserve">The framework’s choice of</w:t>
      </w:r>
      <w:r>
        <w:t xml:space="preserve"> </w:t>
      </w:r>
      <w:r>
        <w:rPr>
          <w:i/>
          <w:iCs/>
        </w:rPr>
        <w:t xml:space="preserve">externality tail</w:t>
      </w:r>
      <w:r>
        <w:t xml:space="preserve"> </w:t>
      </w:r>
      <w:r>
        <w:t xml:space="preserve">as the name for the long-running damage that cost severance produces is a borrowed metaphor from statistics, and the borrowing is deliberate. In probability theory, the tail of a distribution is the region where probability mass survives at extreme values — the part of the curve that does not collapse to zero as the variable runs to its limits. Heavy-tailed distributions are those whose expected value is dominated by the tail rather than by the body; the rare-but-large events drive the average, and analysts who price only the body of the distribution systematically under-estimate the expected cost. The framework borrows the precise sense. Carbon released by burning Norwegian oil today will remain in the atmosphere for centuries; acid mine drainage from Appalachian coal seams runs for generations; the asbestos-related illnesses from Libby’s vermiculite will kill people whose grandparents were not yet born when the mine closed. These costs do not have an end-date the way conventional externality accounting presumes. They continue indefinitely with non-vanishing magnitude, and the cumulative cost is dominated by the long-running tail rather than by the immediate damage. Other names were available and each fails for a specific reason.</w:t>
      </w:r>
      <w:r>
        <w:t xml:space="preserve"> </w:t>
      </w:r>
      <w:r>
        <w:rPr>
          <w:i/>
          <w:iCs/>
        </w:rPr>
        <w:t xml:space="preserve">Externality aftermath</w:t>
      </w:r>
      <w:r>
        <w:t xml:space="preserve"> </w:t>
      </w:r>
      <w:r>
        <w:t xml:space="preserve">implies a bounded period after the event, which is structurally wrong — the damage does not have an aftermath in the sense an event has an aftermath; it has a tail in the sense a distribution has a tail.</w:t>
      </w:r>
      <w:r>
        <w:t xml:space="preserve"> </w:t>
      </w:r>
      <w:r>
        <w:rPr>
          <w:i/>
          <w:iCs/>
        </w:rPr>
        <w:t xml:space="preserve">Externality trail</w:t>
      </w:r>
      <w:r>
        <w:t xml:space="preserve"> </w:t>
      </w:r>
      <w:r>
        <w:t xml:space="preserve">implies a path that could be cleaned, which the framework specifically rejects (no fund extracts carbon already in the sky). Three weaker alternatives also fail:</w:t>
      </w:r>
      <w:r>
        <w:t xml:space="preserve"> </w:t>
      </w:r>
      <w:r>
        <w:rPr>
          <w:i/>
          <w:iCs/>
        </w:rPr>
        <w:t xml:space="preserve">externality legacy</w:t>
      </w:r>
      <w:r>
        <w:t xml:space="preserve"> </w:t>
      </w:r>
      <w:r>
        <w:t xml:space="preserve">implies a named-recipient obligation the framework handles separately at the bond-instrument level;</w:t>
      </w:r>
      <w:r>
        <w:t xml:space="preserve"> </w:t>
      </w:r>
      <w:r>
        <w:rPr>
          <w:i/>
          <w:iCs/>
        </w:rPr>
        <w:t xml:space="preserve">long-run externality</w:t>
      </w:r>
      <w:r>
        <w:t xml:space="preserve"> </w:t>
      </w:r>
      <w:r>
        <w:t xml:space="preserve">loses the distribution-shape claim (long-run could be bounded; the tail is not);</w:t>
      </w:r>
      <w:r>
        <w:t xml:space="preserve"> </w:t>
      </w:r>
      <w:r>
        <w:rPr>
          <w:i/>
          <w:iCs/>
        </w:rPr>
        <w:t xml:space="preserve">persistent externality</w:t>
      </w:r>
      <w:r>
        <w:t xml:space="preserve"> </w:t>
      </w:r>
      <w:r>
        <w:t xml:space="preserve">names the duration without naming the shape. The framework’s tail is in the statistical-distribution lineage that climate-tipping-point and climate-tail-risk literatures occupy; Weitzman’s 2009 work on fat-tail climate damages is the adjacent tradition the usage joins. Naming the tail is what makes the bond’s forward-posting architecture necessary: a bond posted against bounded aftermath could discharge when the aftermath ends; a bond posted against a tail must carry forward indefinitely, because the tail does not end on its own.</w:t>
      </w:r>
    </w:p>
    <w:p>
      <w:pPr>
        <w:pStyle w:val="BodyText"/>
      </w:pPr>
      <w: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pPr>
        <w:pStyle w:val="BodyText"/>
      </w:pPr>
      <w:r>
        <w:t xml:space="preserve">Now the formula — a summary of the plain-English argument just made:</w:t>
      </w:r>
    </w:p>
    <w:p>
      <w:pPr>
        <w:pStyle w:val="BodyText"/>
      </w:pPr>
      <m:oMathPara>
        <m:oMathParaPr>
          <m:jc m:val="center"/>
        </m:oMathParaPr>
        <m:oMath>
          <m:r>
            <m:rPr>
              <m:sty m:val="p"/>
            </m:rPr>
            <m:t>R</m:t>
          </m:r>
          <m:r>
            <m:rPr>
              <m:sty m:val="p"/>
            </m:rPr>
            <m:t>C</m:t>
          </m:r>
          <m:r>
            <m:rPr>
              <m:sty m:val="p"/>
            </m:rPr>
            <m:t>V</m:t>
          </m:r>
          <m:r>
            <m:rPr>
              <m:sty m:val="p"/>
            </m:rPr>
            <m:t>(</m:t>
          </m:r>
          <m:r>
            <m:t>R</m:t>
          </m:r>
          <m:r>
            <m:rPr>
              <m:sty m:val="p"/>
            </m:rPr>
            <m:t>,</m:t>
          </m:r>
          <m:sSub>
            <m:e>
              <m:r>
                <m:t>t</m:t>
              </m:r>
            </m:e>
            <m:sub>
              <m:r>
                <m:t>0</m:t>
              </m:r>
            </m:sub>
          </m:sSub>
          <m:r>
            <m:rPr>
              <m:sty m:val="p"/>
            </m:rPr>
            <m:t>)</m:t>
          </m:r>
          <m:r>
            <m:rPr>
              <m:sty m:val="p"/>
            </m:rPr>
            <m:t>=</m:t>
          </m:r>
          <m:nary>
            <m:naryPr>
              <m:chr m:val="∫"/>
              <m:limLoc m:val="subSup"/>
              <m:subHide m:val="off"/>
              <m:supHide m:val="off"/>
            </m:naryPr>
            <m:sub>
              <m:sSub>
                <m:e>
                  <m:r>
                    <m:t>t</m:t>
                  </m:r>
                </m:e>
                <m:sub>
                  <m:r>
                    <m:t>0</m:t>
                  </m:r>
                </m:sub>
              </m:sSub>
            </m:sub>
            <m:sup>
              <m:r>
                <m:rPr>
                  <m:sty m:val="p"/>
                </m:rPr>
                <m:t>∞</m:t>
              </m:r>
            </m:sup>
            <m:e>
              <m:d>
                <m:dPr>
                  <m:begChr m:val="{"/>
                  <m:sepChr m:val=""/>
                  <m:endChr m:val="}"/>
                  <m:grow/>
                </m:dPr>
                <m:e>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e>
              </m:d>
            </m:e>
          </m:nary>
          <m:r>
            <m:rPr>
              <m:sty m:val="p"/>
            </m:rPr>
            <m:t>⋅</m:t>
          </m:r>
          <m:r>
            <m:t>D</m:t>
          </m:r>
          <m:r>
            <m:rPr>
              <m:sty m:val="p"/>
            </m:rPr>
            <m:t>(</m:t>
          </m:r>
          <m:r>
            <m:t>t</m:t>
          </m:r>
          <m:r>
            <m:rPr>
              <m:sty m:val="p"/>
            </m:rPr>
            <m:t>,</m:t>
          </m:r>
          <m:sSub>
            <m:e>
              <m:r>
                <m:t>t</m:t>
              </m:r>
            </m:e>
            <m:sub>
              <m:r>
                <m:t>0</m:t>
              </m:r>
            </m:sub>
          </m:sSub>
          <m:r>
            <m:rPr>
              <m:sty m:val="p"/>
            </m:rPr>
            <m:t>)</m:t>
          </m:r>
          <m:r>
            <m:t> </m:t>
          </m:r>
          <m:r>
            <m:t>d</m:t>
          </m:r>
          <m:r>
            <m:t>t</m:t>
          </m:r>
        </m:oMath>
      </m:oMathPara>
    </w:p>
    <w:p>
      <w:pPr>
        <w:pStyle w:val="FirstParagraph"/>
      </w:pPr>
      <w:r>
        <w:t xml:space="preserve">(formal articulation in</w:t>
      </w:r>
      <w:r>
        <w:t xml:space="preserve"> </w:t>
      </w:r>
      <w:hyperlink r:id="rId11">
        <w:r>
          <w:rPr>
            <w:rStyle w:val="Hyperlink"/>
          </w:rPr>
          <w:t xml:space="preserve">Technical Appendix §3 — RCV Quantification — Three Ways of Counting</w:t>
        </w:r>
      </w:hyperlink>
      <w:r>
        <w:t xml:space="preserve">)</w:t>
      </w:r>
    </w:p>
    <w:p>
      <w:pPr>
        <w:pStyle w:val="BodyText"/>
      </w:pPr>
      <w:r>
        <w:t xml:space="preserve">The integral sign announces that we are summing contributions across all future time. The bracketed expression inside is the per-period cost: what is lost in year t, discounted back to year t₀, weighted by how likely it is that anything in that year can substitute for the lost resource.</w:t>
      </w:r>
    </w:p>
    <w:p>
      <w:pPr>
        <w:pStyle w:val="BodyText"/>
      </w:pPr>
      <w:r>
        <w:t xml:space="preserve">Translate term by term:</w:t>
      </w:r>
    </w:p>
    <w:p>
      <w:pPr>
        <w:pStyle w:val="Compact"/>
        <w:numPr>
          <w:ilvl w:val="0"/>
          <w:numId w:val="1001"/>
        </w:numPr>
      </w:pP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oMath>
      <w:r>
        <w:t xml:space="preserve"> </w:t>
      </w:r>
      <w:r>
        <w:t xml:space="preserve">is the probability that no adequate substitute exists at time t, given that extraction occurred at t₀. If S = 1 (perfect substitute exists), this term is zero and the foreclosure cost vanishes for that period. If S = 0 (no substitute), this term is 1 and the full foreclosure cost counts.</w:t>
      </w:r>
    </w:p>
    <w:p>
      <w:pPr>
        <w:pStyle w:val="Compact"/>
        <w:numPr>
          <w:ilvl w:val="0"/>
          <w:numId w:val="1001"/>
        </w:numPr>
      </w:pPr>
      <m:oMath>
        <m:r>
          <m:t>U</m:t>
        </m:r>
        <m:r>
          <m:rPr>
            <m:sty m:val="p"/>
          </m:rPr>
          <m:t>(</m:t>
        </m:r>
        <m:r>
          <m:t>R</m:t>
        </m:r>
        <m:r>
          <m:rPr>
            <m:sty m:val="p"/>
          </m:rPr>
          <m:t>,</m:t>
        </m:r>
        <m:r>
          <m:t>t</m:t>
        </m:r>
        <m:r>
          <m:rPr>
            <m:sty m:val="p"/>
          </m:rPr>
          <m:t>,</m:t>
        </m:r>
        <m:r>
          <m:t>Q</m:t>
        </m:r>
        <m:r>
          <m:rPr>
            <m:sty m:val="p"/>
          </m:rPr>
          <m:t>(</m:t>
        </m:r>
        <m:r>
          <m:t>t</m:t>
        </m:r>
        <m:r>
          <m:rPr>
            <m:sty m:val="p"/>
          </m:rPr>
          <m:t>)</m:t>
        </m:r>
        <m:r>
          <m:rPr>
            <m:sty m:val="p"/>
          </m:rPr>
          <m:t>)</m:t>
        </m:r>
      </m:oMath>
      <w:r>
        <w:t xml:space="preserve"> </w:t>
      </w:r>
      <w:r>
        <w:t xml:space="preserve">is the utility future generation t derives from having one unit of R available in situ, given the remaining stock Q at time t. As stock depletes, U rises because each remaining unit becomes more valuable.</w:t>
      </w:r>
    </w:p>
    <w:p>
      <w:pPr>
        <w:pStyle w:val="Compact"/>
        <w:numPr>
          <w:ilvl w:val="0"/>
          <w:numId w:val="1001"/>
        </w:numPr>
      </w:pPr>
      <m:oMath>
        <m:r>
          <m:t>E</m:t>
        </m:r>
        <m:r>
          <m:rPr>
            <m:sty m:val="p"/>
          </m:rPr>
          <m:t>(</m:t>
        </m:r>
        <m:r>
          <m:t>R</m:t>
        </m:r>
        <m:r>
          <m:rPr>
            <m:sty m:val="p"/>
          </m:rPr>
          <m:t>,</m:t>
        </m:r>
        <m:r>
          <m:t>t</m:t>
        </m:r>
        <m:r>
          <m:rPr>
            <m:sty m:val="p"/>
          </m:rPr>
          <m:t>)</m:t>
        </m:r>
      </m:oMath>
      <w:r>
        <w:t xml:space="preserve"> </w:t>
      </w:r>
      <w:r>
        <w:t xml:space="preserve">is the externality flow at time t: ongoing health damage, remediation costs, climate damage, community disruption. This term runs independently of substitutability and independently of the resource having been extracted to depletion.</w:t>
      </w:r>
    </w:p>
    <w:p>
      <w:pPr>
        <w:pStyle w:val="Compact"/>
        <w:numPr>
          <w:ilvl w:val="0"/>
          <w:numId w:val="1001"/>
        </w:numPr>
      </w:pPr>
      <m:oMath>
        <m:r>
          <m:t>D</m:t>
        </m:r>
        <m:r>
          <m:rPr>
            <m:sty m:val="p"/>
          </m:rPr>
          <m:t>(</m:t>
        </m:r>
        <m:r>
          <m:t>t</m:t>
        </m:r>
        <m:r>
          <m:rPr>
            <m:sty m:val="p"/>
          </m:rPr>
          <m:t>,</m:t>
        </m:r>
        <m:sSub>
          <m:e>
            <m:r>
              <m:t>t</m:t>
            </m:r>
          </m:e>
          <m:sub>
            <m:r>
              <m:t>0</m:t>
            </m:r>
          </m:sub>
        </m:sSub>
        <m:r>
          <m:rPr>
            <m:sty m:val="p"/>
          </m:rPr>
          <m:t>)</m:t>
        </m:r>
      </m:oMath>
      <w:r>
        <w:t xml:space="preserve"> </w:t>
      </w:r>
      <w:r>
        <w:t xml:space="preserve">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pPr>
        <w:pStyle w:val="FirstParagraph"/>
      </w:pPr>
      <w:r>
        <w:t xml:space="preserve">Cost severance is what is left after you subtract from RCV whatever accountability bond B has actually been posted:</w:t>
      </w:r>
    </w:p>
    <w:p>
      <w:pPr>
        <w:pStyle w:val="BodyText"/>
      </w:pPr>
      <m:oMathPara>
        <m:oMathParaPr>
          <m:jc m:val="center"/>
        </m:oMathParaPr>
        <m:oMath>
          <m:r>
            <m:rPr>
              <m:sty m:val="p"/>
            </m:rPr>
            <m:t>C</m:t>
          </m:r>
          <m:r>
            <m:rPr>
              <m:sty m:val="p"/>
            </m:rPr>
            <m:t>S</m:t>
          </m:r>
          <m:r>
            <m:rPr>
              <m:sty m:val="p"/>
            </m:rPr>
            <m:t>=</m:t>
          </m:r>
          <m:r>
            <m:rPr>
              <m:sty m:val="p"/>
            </m:rPr>
            <m:t>R</m:t>
          </m:r>
          <m:r>
            <m:rPr>
              <m:sty m:val="p"/>
            </m:rPr>
            <m:t>C</m:t>
          </m:r>
          <m:r>
            <m:rPr>
              <m:sty m:val="p"/>
            </m:rPr>
            <m:t>V</m:t>
          </m:r>
          <m:r>
            <m:rPr>
              <m:sty m:val="p"/>
            </m:rPr>
            <m:t>−</m:t>
          </m:r>
          <m:r>
            <m:t>B</m:t>
          </m:r>
        </m:oMath>
      </m:oMathPara>
    </w:p>
    <w:p>
      <w:pPr>
        <w:pStyle w:val="FirstParagraph"/>
      </w:pPr>
      <w:r>
        <w:t xml:space="preserve">And the intergenerational pricing gap is the ratio of true cost to market price:</w:t>
      </w:r>
    </w:p>
    <w:p>
      <w:pPr>
        <w:pStyle w:val="BodyText"/>
      </w:pPr>
      <m:oMathPara>
        <m:oMathParaPr>
          <m:jc m:val="center"/>
        </m:oMathParaPr>
        <m:oMath>
          <m:r>
            <m:rPr>
              <m:sty m:val="p"/>
            </m:rPr>
            <m:t>I</m:t>
          </m:r>
          <m:r>
            <m:rPr>
              <m:sty m:val="p"/>
            </m:rPr>
            <m:t>P</m:t>
          </m:r>
          <m:r>
            <m:rPr>
              <m:sty m:val="p"/>
            </m:rPr>
            <m:t>G</m:t>
          </m:r>
          <m:r>
            <m:rPr>
              <m:sty m:val="p"/>
            </m:rPr>
            <m:t>=</m:t>
          </m:r>
          <m:r>
            <m:rPr>
              <m:sty m:val="p"/>
            </m:rPr>
            <m:t>R</m:t>
          </m:r>
          <m:r>
            <m:rPr>
              <m:sty m:val="p"/>
            </m:rPr>
            <m:t>C</m:t>
          </m:r>
          <m:r>
            <m:rPr>
              <m:sty m:val="p"/>
            </m:rPr>
            <m:t>V</m:t>
          </m:r>
          <m:r>
            <m:rPr>
              <m:sty m:val="p"/>
            </m:rPr>
            <m:t>/</m:t>
          </m:r>
          <m:sSub>
            <m:e>
              <m:r>
                <m:t>P</m:t>
              </m:r>
            </m:e>
            <m:sub>
              <m:r>
                <m:rPr>
                  <m:nor/>
                  <m:sty m:val="p"/>
                </m:rPr>
                <m:t>market</m:t>
              </m:r>
            </m:sub>
          </m:sSub>
        </m:oMath>
      </m:oMathPara>
    </w:p>
    <w:p>
      <w:pPr>
        <w:pStyle w:val="FirstParagraph"/>
      </w:pPr>
      <w: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CS is strictly positive. The reader who wants the proofs will find them there. The reader who wants the argument already has it.</w:t>
      </w:r>
    </w:p>
    <w:p>
      <w:r>
        <w:pict>
          <v:rect style="width:0;height:1.5pt" o:hralign="center" o:hrstd="t" o:hr="t"/>
        </w:pict>
      </w:r>
    </w:p>
    <w:bookmarkEnd w:id="12"/>
    <w:bookmarkStart w:id="14" w:name="the-three-ways-of-counting-inside-rcv"/>
    <w:p>
      <w:pPr>
        <w:pStyle w:val="Heading3"/>
      </w:pPr>
      <w:r>
        <w:t xml:space="preserve">The Three Ways of Counting Inside RCV</w:t>
      </w:r>
    </w:p>
    <w:p>
      <w:pPr>
        <w:pStyle w:val="FirstParagraph"/>
      </w:pPr>
      <w:r>
        <w:t xml:space="preserve">Inside the residual commons value computation, a triangulation operates that the formula above does not display on its face. The RCV estimate is not produced by a single estimation method; it is produced by three. The reason has to do with an institutional asymmetry financial economics is well-positioned to recognize. Markets do have a mechanism for pricing future profitability — discounted-cash-flow analysis aggregated through equity and debt markets, embedded in every asset price as an implicit expectation about future returns. The mechanism is implicit but real. Markets do not have an equivalent mechanism for pricing future harms. No aggregating institution produces a comparable price signal for the externality tail, for foreclosure cost, or for the long-tail damage of cost severance. The three estimation methods — Replacement Cost, Revealed Preference, Scarcity-Adjusted Option Value — are the framework’s substitute for the missing market mechanism on the harms side. They give the harm side a comparable price signal to the one the asset side already has, so that the asymmetry between priced future profitability and unpriced future harms is no longer the institutional default. Each method anchors its estimate in a different empirical pathway; the convergence range across the three is what the framework reports as the RCV estimate. The triangulation is the work that gives the RCV claim its standing.</w:t>
      </w:r>
    </w:p>
    <w:p>
      <w:pPr>
        <w:pStyle w:val="BodyText"/>
      </w:pPr>
      <w:r>
        <w:rPr>
          <w:b/>
          <w:bCs/>
        </w:rPr>
        <w:t xml:space="preserve">Method 1 — Replacement Cost.</w:t>
      </w:r>
      <w:r>
        <w:t xml:space="preserve"> </w:t>
      </w:r>
      <w:r>
        <w:t xml:space="preserve">The first method asks: what would it cost to engineer a substitute for the commons function that extraction is consuming? Applied to McDowell coal through its carbon dimension, the substitute for atmospheric CO₂-removal is direct air capture — engineered facilities that pull CO₂ out of the air at the per-ton-of-CO₂ costs documented above. Translated to a per-ton-of-coal figure under the bituminous-coal emission factor and across DAC’s documented horizons, Method 1 lands in the three-hundred-ten to eighteen-hundred-dollar-per-ton-of-coal range. This is the most directly priced of the three methods and the smallest epistemic-ambition step: the substitute is buildable, the cost is engineered, the floor is real. The limit is that Method 1 anchors only the substitutable component of the commons function; it underprices irreplaceable commons. Direct air capture engineers atmospheric CO₂ removal but does not replace foreclosed petroleum hydrocarbons or restore destroyed communities, and Method 1 is treated as a floor for that reason. (Formal specification in</w:t>
      </w:r>
      <w:r>
        <w:t xml:space="preserve"> </w:t>
      </w:r>
      <w:hyperlink r:id="rId11">
        <w:r>
          <w:rPr>
            <w:rStyle w:val="Hyperlink"/>
          </w:rPr>
          <w:t xml:space="preserve">Technical Appendix §3.3 — Method 1: Replacement Cost</w:t>
        </w:r>
      </w:hyperlink>
      <w:r>
        <w:t xml:space="preserve">.)</w:t>
      </w:r>
    </w:p>
    <w:p>
      <w:pPr>
        <w:pStyle w:val="BodyText"/>
      </w:pPr>
      <w:r>
        <w:rPr>
          <w:b/>
          <w:bCs/>
        </w:rPr>
        <w:t xml:space="preserve">Method 2 — Revealed Preference.</w:t>
      </w:r>
      <w:r>
        <w:t xml:space="preserve"> </w:t>
      </w:r>
      <w:r>
        <w:t xml:space="preserve">The second method asks: what does a polity that explicitly chose to capture the rent from its extraction and pass it forward — rather than allow the rent to be consumed at extraction-time — reveal about commons-value through its observed restraint? Norway is the primary anchor for the method: the Government Pension Fund Global is a polity’s revealed valuation of forward foreclosure-prevention, observed at scale, with a documented per-barrel-of-oil-equivalent figure of approximately fifty dollars. The method does not translate Norway’s per-barrel figure arithmetically to other extractions; the method extracts what Norway has revealed about polity-level willingness to pay for foreclosure-prevention and applies that revealed-preference reasoning to other extraction contexts. Applied to McDowell coal under comparable revealed-preference reasoning, Method 2 lands in the eight-to-eighty-eight-dollar-per-ton range. This is the empirically-grounded middle of the triangulation: a real polity has actually paid for a real instance of forward foreclosure-prevention, and the figure does not rely on engineering counterfactuals or option-value assumptions. The limit is that Norway’s capture is per-Norwegian-citizen accounting; the atmospheric externality non-Norwegian populations bear from Norwegian oil is not in the Government Pension Fund Global. Method 2 sits as a revealed-preference-anchored middle of the triangulation but as a lower bound on true RCV for that reason. (Formal specification in</w:t>
      </w:r>
      <w:r>
        <w:t xml:space="preserve"> </w:t>
      </w:r>
      <w:hyperlink r:id="rId11">
        <w:r>
          <w:rPr>
            <w:rStyle w:val="Hyperlink"/>
          </w:rPr>
          <w:t xml:space="preserve">Technical Appendix §3.4 — Method 2: Revealed Preference</w:t>
        </w:r>
      </w:hyperlink>
      <w:r>
        <w:t xml:space="preserve">.)</w:t>
      </w:r>
    </w:p>
    <w:p>
      <w:pPr>
        <w:pStyle w:val="BodyText"/>
      </w:pPr>
      <w:r>
        <w:rPr>
          <w:b/>
          <w:bCs/>
        </w:rPr>
        <w:t xml:space="preserve">Method 3 — Scarcity-Adjusted Option Value.</w:t>
      </w:r>
      <w:r>
        <w:t xml:space="preserve"> </w:t>
      </w:r>
      <w:r>
        <w:t xml:space="preserve">The third method asks: what is the option value of preserving the commons under explicit scarcity-and-irreversibility weighting? Applied to McDowell coal via Dixit and Pindyck’s 1994 real-options framework with the framework’s scarcity multiplier (logarithmic in commons-stock-to-sustainable-flow ratio) and irreversibility premium (calibrated to the probability the commons cannot be restored at any finite cost once extracted), Method 3 produces a per-ton range of four hundred twenty to thirteen thousand one hundred dollars, with a mid-range estimate around twenty-five hundred dollars per ton. For regimes where coal extraction operates as a commons-extinction event, the irreversibility parameter sits in the 0.9-to-1.0 range — the α-dominance regime, in which the irreversibility premium dominates the scarcity multiplier — per the Technical Appendix’s cross-case sensitivity analysis. This is the framework’s upper bound: a method that prices what extraction forecloses under explicit recognition that the foreclosed commons cannot be brought back at any finite cost. The wide numerical range reflects scarcity-and-irreversibility parameter uncertainty rather than methodological imprecision; the α-dominance finding across the documented case library is the empirical signal that the asymmetric-regret structure is not an edge case but the dominant cross-case driver of commons-extraction-cost variance. (Formal specification in</w:t>
      </w:r>
      <w:r>
        <w:t xml:space="preserve"> </w:t>
      </w:r>
      <w:hyperlink r:id="rId11">
        <w:r>
          <w:rPr>
            <w:rStyle w:val="Hyperlink"/>
          </w:rPr>
          <w:t xml:space="preserve">Technical Appendix §3.5 — Method 3: Scarcity-Adjusted Option Value</w:t>
        </w:r>
      </w:hyperlink>
      <w:r>
        <w:t xml:space="preserve">.)</w:t>
      </w:r>
    </w:p>
    <w:p>
      <w:pPr>
        <w:pStyle w:val="BodyText"/>
      </w:pPr>
      <w:r>
        <w:rPr>
          <w:b/>
          <w:bCs/>
        </w:rPr>
        <w:t xml:space="preserve">The triangulation, applied forward and backward.</w:t>
      </w:r>
      <w:r>
        <w:t xml:space="preserve"> </w:t>
      </w:r>
      <w:r>
        <w:t xml:space="preserve">The three methods together — Replacement Cost as floor, Revealed Preference as middle, Scarcity-Adjusted Option Value as ceiling — produce a convergence range rather than a point estimate. The framework’s reporting discipline requires that every RCV estimate publish all three method figures plus the convergence range plus identified divergence sources; no single-method RCV claim has standing. The same triangulation runs in reverse. Where extraction has already occurred — Chapter 5’s backward-direction application of the apparatus to legacy effects already realized — Method 1 — Replacement Cost specializes to remediation cost rather than substitute-engineering cost; Method 2 — Revealed Preference specializes to revealed restitution (the case lineage of Holocaust reparations, the 1988 Civil Liberties Act for Japanese-American internment redress, Black Lung Trust Fund payouts, the South African Truth and Reconciliation Commission, and the reparations-economics methodology Darity and Mullen 2020 developed for the racial-wealth-gap accumulated through American policy choices since 1619); Method 3 — Scarcity-Adjusted Option Value specializes to the option value extinguished at the time of past extraction, evaluable retrospectively from parameters known at analysis time. The methodology is direction-agnostic; the calibration adjusts per case. (The bidirectional structural property is formalized in</w:t>
      </w:r>
      <w:r>
        <w:t xml:space="preserve"> </w:t>
      </w:r>
      <w:hyperlink r:id="rId13">
        <w:r>
          <w:rPr>
            <w:rStyle w:val="Hyperlink"/>
          </w:rPr>
          <w:t xml:space="preserve">Technical Appendix §5.5</w:t>
        </w:r>
      </w:hyperlink>
      <w:r>
        <w:t xml:space="preserve">.)</w:t>
      </w:r>
    </w:p>
    <w:p>
      <w:r>
        <w:pict>
          <v:rect style="width:0;height:1.5pt" o:hralign="center" o:hrstd="t" o:hr="t"/>
        </w:pict>
      </w:r>
    </w:p>
    <w:bookmarkEnd w:id="14"/>
    <w:bookmarkStart w:id="16" w:name="the-substitutability-function"/>
    <w:p>
      <w:pPr>
        <w:pStyle w:val="Heading3"/>
      </w:pPr>
      <w:r>
        <w:t xml:space="preserve">The Substitutability Function</w:t>
      </w:r>
    </w:p>
    <w:p>
      <w:pPr>
        <w:pStyle w:val="FirstParagraph"/>
      </w:pPr>
      <w:r>
        <w:t xml:space="preserve">Before turning to the convergence result, a word about what the substitutability function is doing, because it is the model’s most novel move and also its most vulnerable.</w:t>
      </w:r>
    </w:p>
    <w:p>
      <w:pPr>
        <w:pStyle w:val="BodyText"/>
      </w:pPr>
      <w: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Different administrations have set the social cost of carbon at $3, $42, and $190 across the last decade. The philosophical question refuses to be settled.</w:t>
      </w:r>
    </w:p>
    <w:p>
      <w:pPr>
        <w:pStyle w:val="BodyText"/>
      </w:pPr>
      <w:r>
        <w:t xml:space="preserve">The substitutability function sidesteps this impasse. Instead of asking</w:t>
      </w:r>
      <w:r>
        <w:t xml:space="preserve"> </w:t>
      </w:r>
      <w:r>
        <w:t xml:space="preserve">“how much do future generations matter?”</w:t>
      </w:r>
      <w:r>
        <w:t xml:space="preserve"> </w:t>
      </w:r>
      <w:r>
        <w:t xml:space="preserve">it asks</w:t>
      </w:r>
      <w:r>
        <w:t xml:space="preserve"> </w:t>
      </w:r>
      <w:r>
        <w:t xml:space="preserve">“how quickly can we develop alternatives?”</w:t>
      </w:r>
      <w:r>
        <w:t xml:space="preserve"> </w:t>
      </w:r>
      <w:r>
        <w:t xml:space="preserve">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pPr>
        <w:pStyle w:val="BodyText"/>
      </w:pPr>
      <w: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asymptotic limit S(∞|t₀) ≤ 1; for some resources, complete substitution may never be physically possible. And it depends on investment; the timeline for a given substitute is not fixed but responsive to the price signals and research priorities that an honest pricing regime would generate.</w:t>
      </w:r>
    </w:p>
    <w:p>
      <w:pPr>
        <w:pStyle w:val="BodyText"/>
      </w:pPr>
      <w: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better hard problem — substitutability is an empirical question whose error bars shrink with research, whereas the discount rate is a philosophical one whose error bars have not shrunk in a century. (Formal specification in</w:t>
      </w:r>
      <w:r>
        <w:t xml:space="preserve"> </w:t>
      </w:r>
      <w:hyperlink r:id="rId15">
        <w:r>
          <w:rPr>
            <w:rStyle w:val="Hyperlink"/>
          </w:rPr>
          <w:t xml:space="preserve">Technical Appendix §13 — Substitutability Function and Gap</w:t>
        </w:r>
      </w:hyperlink>
      <w:r>
        <w:t xml:space="preserve">.)</w:t>
      </w:r>
    </w:p>
    <w:p>
      <w:r>
        <w:pict>
          <v:rect style="width:0;height:1.5pt" o:hralign="center" o:hrstd="t" o:hr="t"/>
        </w:pict>
      </w:r>
    </w:p>
    <w:bookmarkEnd w:id="16"/>
    <w:bookmarkStart w:id="18" w:name="the-convergence"/>
    <w:p>
      <w:pPr>
        <w:pStyle w:val="Heading3"/>
      </w:pPr>
      <w:r>
        <w:t xml:space="preserve">The Convergence</w:t>
      </w:r>
    </w:p>
    <w:p>
      <w:pPr>
        <w:pStyle w:val="FirstParagraph"/>
      </w:pPr>
      <w: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pPr>
        <w:pStyle w:val="BodyText"/>
      </w:pPr>
      <w:r>
        <w:t xml:space="preserve">A simpler framework would have offered a single estimation approach — bottom-up damage-accounting alone, or the real-options model alone, or the RCV model alone. A single approach would have been simpler to teach, simpler to implement, and simpler to defend. It would also have inherited that single approach’s pathologies. Bottom-up damage-accounting is grounded in identified damages but cannot capture costs no one has yet thought to count. The real-options model prices substitutability under irreversibility but inherits the parameter-calibration uncertainty in the substitutability function. The RCV model integrates across future generations but depends on the stock-dependent utility and externality-tail estimates the analyst chooses. Each approach has a strength the other two lack and a blind spot the other two illuminate. Triangulation is the standard scientific-method response to estimation under uncertainty: produce three independent estimates from three independent epistemological angles, report the convergence range, treat divergence as informative rather than as failure. (The three-model convergence is formalized in</w:t>
      </w:r>
      <w:r>
        <w:t xml:space="preserve"> </w:t>
      </w:r>
      <w:hyperlink r:id="rId17">
        <w:r>
          <w:rPr>
            <w:rStyle w:val="Hyperlink"/>
          </w:rPr>
          <w:t xml:space="preserve">Technical Appendix §9 — Three-Model Convergence</w:t>
        </w:r>
      </w:hyperlink>
      <w:r>
        <w:t xml:space="preserve">.)</w:t>
      </w:r>
    </w:p>
    <w:p>
      <w:pPr>
        <w:pStyle w:val="BodyText"/>
      </w:pPr>
      <w:r>
        <w:t xml:space="preserve">Apply the inner three methods — Replacement Cost, Revealed Preference, Scarcity-Adjusted Option Value — to the cases the framework has worked with, and compare: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Market Price</w:t>
            </w:r>
          </w:p>
        </w:tc>
        <w:tc>
          <w:tcPr/>
          <w:p>
            <w:pPr>
              <w:pStyle w:val="Compact"/>
            </w:pPr>
            <w:r>
              <w:t xml:space="preserve">M1 — Replacement Cost</w:t>
            </w:r>
          </w:p>
        </w:tc>
        <w:tc>
          <w:tcPr/>
          <w:p>
            <w:pPr>
              <w:pStyle w:val="Compact"/>
            </w:pPr>
            <w:r>
              <w:t xml:space="preserve">M2 — Revealed Preference</w:t>
            </w:r>
          </w:p>
        </w:tc>
        <w:tc>
          <w:tcPr/>
          <w:p>
            <w:pPr>
              <w:pStyle w:val="Compact"/>
            </w:pPr>
            <w:r>
              <w:t xml:space="preserve">M3 — Scarcity-Adjusted Option Value</w:t>
            </w:r>
          </w:p>
        </w:tc>
        <w:tc>
          <w:tcPr/>
          <w:p>
            <w:pPr>
              <w:pStyle w:val="Compact"/>
            </w:pPr>
            <w:r>
              <w:t xml:space="preserve">Direction</w:t>
            </w:r>
          </w:p>
        </w:tc>
      </w:tr>
      <w:tr>
        <w:tc>
          <w:tcPr/>
          <w:p>
            <w:pPr>
              <w:pStyle w:val="Compact"/>
            </w:pPr>
            <w:r>
              <w:t xml:space="preserve">McDowell County coal</w:t>
            </w:r>
          </w:p>
        </w:tc>
        <w:tc>
          <w:tcPr/>
          <w:p>
            <w:pPr>
              <w:pStyle w:val="Compact"/>
            </w:pPr>
            <w:r>
              <w:t xml:space="preserve">$4.50/ton (1960 mine-mouth)</w:t>
            </w:r>
          </w:p>
        </w:tc>
        <w:tc>
          <w:tcPr/>
          <w:p>
            <w:pPr>
              <w:pStyle w:val="Compact"/>
            </w:pPr>
            <w:r>
              <w:t xml:space="preserve">$261–$2,412/ton</w:t>
            </w:r>
          </w:p>
        </w:tc>
        <w:tc>
          <w:tcPr/>
          <w:p>
            <w:pPr>
              <w:pStyle w:val="Compact"/>
            </w:pPr>
            <w:r>
              <w:t xml:space="preserve">$8–$88/ton</w:t>
            </w:r>
          </w:p>
        </w:tc>
        <w:tc>
          <w:tcPr/>
          <w:p>
            <w:pPr>
              <w:pStyle w:val="Compact"/>
            </w:pPr>
            <w:r>
              <w:t xml:space="preserve">$420–$13,100/ton; mid $2,500</w:t>
            </w:r>
          </w:p>
        </w:tc>
        <w:tc>
          <w:tcPr/>
          <w:p>
            <w:pPr>
              <w:pStyle w:val="Compact"/>
            </w:pPr>
            <w:r>
              <w:t xml:space="preserve">CS &gt; 0</w:t>
            </w:r>
          </w:p>
        </w:tc>
      </w:tr>
      <w:tr>
        <w:tc>
          <w:tcPr/>
          <w:p>
            <w:pPr>
              <w:pStyle w:val="Compact"/>
            </w:pPr>
            <w:r>
              <w:t xml:space="preserve">Norway petroleum</w:t>
            </w:r>
          </w:p>
        </w:tc>
        <w:tc>
          <w:tcPr/>
          <w:p>
            <w:pPr>
              <w:pStyle w:val="Compact"/>
            </w:pPr>
            <w:r>
              <w:t xml:space="preserve">~$48/BOE rent captured</w:t>
            </w:r>
          </w:p>
        </w:tc>
        <w:tc>
          <w:tcPr/>
          <w:p>
            <w:pPr>
              <w:pStyle w:val="Compact"/>
            </w:pPr>
            <w:r>
              <w:t xml:space="preserve">$161–$422/BOE</w:t>
            </w:r>
          </w:p>
        </w:tc>
        <w:tc>
          <w:tcPr/>
          <w:p>
            <w:pPr>
              <w:pStyle w:val="Compact"/>
            </w:pPr>
            <w:r>
              <w:t xml:space="preserve">$48/BOE</w:t>
            </w:r>
          </w:p>
        </w:tc>
        <w:tc>
          <w:tcPr/>
          <w:p>
            <w:pPr>
              <w:pStyle w:val="Compact"/>
            </w:pPr>
            <w:r>
              <w:t xml:space="preserve">$70–$1,000/BOE; mid $280</w:t>
            </w:r>
          </w:p>
        </w:tc>
        <w:tc>
          <w:tcPr/>
          <w:p>
            <w:pPr>
              <w:pStyle w:val="Compact"/>
            </w:pPr>
            <w:r>
              <w:t xml:space="preserve">CS &gt; 0</w:t>
            </w:r>
          </w:p>
        </w:tc>
      </w:tr>
      <w:tr>
        <w:tc>
          <w:tcPr/>
          <w:p>
            <w:pPr>
              <w:pStyle w:val="Compact"/>
            </w:pPr>
            <w:r>
              <w:t xml:space="preserve">Deepwater Horizon</w:t>
            </w:r>
          </w:p>
        </w:tc>
        <w:tc>
          <w:tcPr/>
          <w:p>
            <w:pPr>
              <w:pStyle w:val="Compact"/>
            </w:pPr>
            <w:r>
              <w:t xml:space="preserve">$4.25B Macondo revenue</w:t>
            </w:r>
          </w:p>
        </w:tc>
        <w:tc>
          <w:tcPr/>
          <w:p>
            <w:pPr>
              <w:pStyle w:val="Compact"/>
            </w:pPr>
            <w:r>
              <w:t xml:space="preserve">~$22B engineering + ecological restoration (BP response ~$14B + NRDA $8.8B per 2016 Consent Decree)</w:t>
            </w:r>
          </w:p>
        </w:tc>
        <w:tc>
          <w:tcPr/>
          <w:p>
            <w:pPr>
              <w:pStyle w:val="Compact"/>
            </w:pPr>
            <w:r>
              <w:t xml:space="preserve">~$20–$25B settlements + damages paid (CWA $5.5B + DOJ criminal $4.5B + class-action economic ~$10–$15B)</w:t>
            </w:r>
          </w:p>
        </w:tc>
        <w:tc>
          <w:tcPr/>
          <w:p>
            <w:pPr>
              <w:pStyle w:val="Compact"/>
            </w:pPr>
            <w:r>
              <w:t xml:space="preserve">N/A†</w:t>
            </w:r>
          </w:p>
        </w:tc>
        <w:tc>
          <w:tcPr/>
          <w:p>
            <w:pPr>
              <w:pStyle w:val="Compact"/>
            </w:pPr>
            <w:r>
              <w:t xml:space="preserve">CS &gt; 0</w:t>
            </w:r>
          </w:p>
        </w:tc>
      </w:tr>
      <w:tr>
        <w:tc>
          <w:tcPr/>
          <w:p>
            <w:pPr>
              <w:pStyle w:val="Compact"/>
            </w:pPr>
            <w:r>
              <w:t xml:space="preserve">Libby, Montana</w:t>
            </w:r>
          </w:p>
        </w:tc>
        <w:tc>
          <w:tcPr/>
          <w:p>
            <w:pPr>
              <w:pStyle w:val="Compact"/>
            </w:pPr>
            <w:r>
              <w:t xml:space="preserve">~$100M lifetime revenue</w:t>
            </w:r>
          </w:p>
        </w:tc>
        <w:tc>
          <w:tcPr/>
          <w:p>
            <w:pPr>
              <w:pStyle w:val="Compact"/>
            </w:pPr>
            <w:r>
              <w:t xml:space="preserve">~$0.6B EPA Superfund cleanup spending + ongoing remediation; long-tail illness-cost flow $4–$7B</w:t>
            </w:r>
          </w:p>
        </w:tc>
        <w:tc>
          <w:tcPr/>
          <w:p>
            <w:pPr>
              <w:pStyle w:val="Compact"/>
            </w:pPr>
            <w:r>
              <w:t xml:space="preserve">~$0.3B W.R. Grace settlements ($250M 2008 EPA + $18.5M 2023 NRDA + $5.1M 2008 DEQ)</w:t>
            </w:r>
          </w:p>
        </w:tc>
        <w:tc>
          <w:tcPr/>
          <w:p>
            <w:pPr>
              <w:pStyle w:val="Compact"/>
            </w:pPr>
            <w:r>
              <w:t xml:space="preserve">N/A†</w:t>
            </w:r>
          </w:p>
        </w:tc>
        <w:tc>
          <w:tcPr/>
          <w:p>
            <w:pPr>
              <w:pStyle w:val="Compact"/>
            </w:pPr>
            <w:r>
              <w:t xml:space="preserve">CS &gt; 0</w:t>
            </w:r>
          </w:p>
        </w:tc>
      </w:tr>
      <w:tr>
        <w:tc>
          <w:tcPr/>
          <w:p>
            <w:pPr>
              <w:pStyle w:val="Compact"/>
            </w:pPr>
            <w:r>
              <w:t xml:space="preserve">Exxon Valdez</w:t>
            </w:r>
          </w:p>
        </w:tc>
        <w:tc>
          <w:tcPr/>
          <w:p>
            <w:pPr>
              <w:pStyle w:val="Compact"/>
            </w:pPr>
            <w:r>
              <w:t xml:space="preserve">$5.5M product spilled</w:t>
            </w:r>
          </w:p>
        </w:tc>
        <w:tc>
          <w:tcPr/>
          <w:p>
            <w:pPr>
              <w:pStyle w:val="Compact"/>
            </w:pPr>
            <w:r>
              <w:t xml:space="preserve">~$2.3B cleanup + ecological restoration (Exxon $2.2B + NRDA ~$100M per 1991 settlement)</w:t>
            </w:r>
          </w:p>
        </w:tc>
        <w:tc>
          <w:tcPr/>
          <w:p>
            <w:pPr>
              <w:pStyle w:val="Compact"/>
            </w:pPr>
            <w:r>
              <w:t xml:space="preserve">~$1.9B settlements + damages paid (1991 civil $900M + private claims ~$507M + punitive $507M + criminal $25M)</w:t>
            </w:r>
          </w:p>
        </w:tc>
        <w:tc>
          <w:tcPr/>
          <w:p>
            <w:pPr>
              <w:pStyle w:val="Compact"/>
            </w:pPr>
            <w:r>
              <w:t xml:space="preserve">N/A†</w:t>
            </w:r>
          </w:p>
        </w:tc>
        <w:tc>
          <w:tcPr/>
          <w:p>
            <w:pPr>
              <w:pStyle w:val="Compact"/>
            </w:pPr>
            <w:r>
              <w:t xml:space="preserve">CS &gt; 0</w:t>
            </w:r>
          </w:p>
        </w:tc>
      </w:tr>
    </w:tbl>
    <w:p>
      <w:pPr>
        <w:pStyle w:val="BodyText"/>
      </w:pPr>
      <w:r>
        <w:t xml:space="preserve">† Method 3 (Scarcity-Adjusted Option Value) does not cleanly apply to one-event historical cases at the forward direction: the option-value framing prices what extraction forecloses on future generations, and for completed historical events the forward-foreclosure question is moot. The backward-direction application of Method 3 (option value extinguished at the time of past extraction, evaluable retrospectively from parameters known at analysis time, per Technical Appendix §5.5) is structurally available for these cases but sits outside this volume’s empirical scope.</w:t>
      </w:r>
    </w:p>
    <w:p>
      <w:pPr>
        <w:pStyle w:val="BodyText"/>
      </w:pPr>
      <w:r>
        <w:t xml:space="preserve">The M1, M2, and M3 cells report per-method estimates anchored to the method specifications in Technical Appendix §§3.3–3.5. McDowell County coal and Norway petroleum figures are sourced verbatim from the Technical Appendix’s worked-example calibration (§3.6 Block 4 numerical execution). Deepwater Horizon, Libby, and Exxon Valdez figures are derived from the method specifications applied to each case’s documented cost record, with cell values cross-referenced against authoritative public sources (NOAA Office of Response and Restoration, DOJ, and the 2016 BP Consent Decree for Deepwater; the EPA Libby Asbestos Superfund Site record, Montana Department of Justice, and W.R. Grace settlement public filings for Libby; the Exxon Valdez Oil Spill Trustee Council and DOJ 1991 settlement record for Exxon Valdez). A reader comparing the M1, M2, and M3 ranges across cases will see ranges rather than single numbers: the per-method convergence range is the framework’s reporting discipline, and the divergences across methods are empirically informative — surfacing what feature of the commons each method captures.</w:t>
      </w:r>
    </w:p>
    <w:p>
      <w:pPr>
        <w:pStyle w:val="BodyText"/>
      </w:pPr>
      <w:r>
        <w:t xml:space="preserve">Numerical validation across the case library cross-confirms the per-case settlement figures at the lower end of the triangulated three-method range.</w:t>
      </w:r>
    </w:p>
    <w:p>
      <w:pPr>
        <w:pStyle w:val="BodyText"/>
      </w:pPr>
      <w:r>
        <w:t xml:space="preserve">McDowell coal’s per-case implied IPG of approximately fifty times (per the Technical Appendix’s implied cost-severance summary in §3.6 Block 4) falls inside the triangulated fifty-to-five-hundred-fifty-five-times range when the M1, M2, and M3 estimates are aggregated estimate-by-estimate; the variance reflects time-horizon attribution (1960 nominal mine-mouth price versus 2025 real cost-severance) more than framework imprecision.</w:t>
      </w:r>
    </w:p>
    <w:p>
      <w:pPr>
        <w:pStyle w:val="BodyText"/>
      </w:pPr>
      <w:r>
        <w:t xml:space="preserve">Libby’s documented cost-to-revenue ratio of forty-times sits inside the M1-and-M2-anchored cleanup-plus-settlements aggregate, with the long-tail illness-cost flow documented as a separate stream the M1 column captures but the per-case settlement work compresses to a single ratio.</w:t>
      </w:r>
    </w:p>
    <w:p>
      <w:pPr>
        <w:pStyle w:val="BodyText"/>
      </w:pPr>
      <w:r>
        <w:t xml:space="preserve">Deepwater’s forty-percent cost-recovery ratio (BP paid out roughly forty percent of total documented damages through the M2 settlement pathway; the remainder runs through the M1 restoration pathway plus uncounted long-tail damage) takes a different form than the multiplicative IPG figures because Deepwater is a one-event disaster — total documented cost is bounded — versus the extraction-lifetime cases, where IPG multiples capture cumulative underpricing across decades.</w:t>
      </w:r>
    </w:p>
    <w:p>
      <w:pPr>
        <w:pStyle w:val="BodyText"/>
      </w:pPr>
      <w:r>
        <w:t xml:space="preserve">Every cost-severance figure carries an implicit method-and-time-horizon attribution, and the convergence-table presentation reports the range across methods rather than collapsing to a single number. Readers who want the simplest defensible single-number version per case will find it where the case is introduced; readers who want the full method-level decomposition will find it in the Technical Appendix. The convergence-table ranges sit between the two — broader than the per-case headlines, narrower than the full method-decomposition — and make the methodological structure visible in a single view.</w:t>
      </w:r>
    </w:p>
    <w:p>
      <w:pPr>
        <w:pStyle w:val="BodyText"/>
      </w:pPr>
      <w: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pPr>
        <w:pStyle w:val="BodyText"/>
      </w:pPr>
      <w: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pPr>
        <w:pStyle w:val="BodyText"/>
      </w:pPr>
      <w:r>
        <w:t xml:space="preserve">Three more questions arise at this point, and the chapter owes the reader an answer to each.</w:t>
      </w:r>
    </w:p>
    <w:p>
      <w:pPr>
        <w:pStyle w:val="BodyText"/>
      </w:pPr>
      <w:r>
        <w:t xml:space="preserve">The first is the</w:t>
      </w:r>
      <w:r>
        <w:t xml:space="preserve"> </w:t>
      </w:r>
      <w:r>
        <w:t xml:space="preserve">“choose-your-own-adventure”</w:t>
      </w:r>
      <w:r>
        <w:t xml:space="preserve"> </w:t>
      </w:r>
      <w:r>
        <w:t xml:space="preserve">objection: that the model’s output depends on parameter choices the analyst makes, and that different choices produce different numbers. This is partly correct. But the convergence above is itself evidence against arbitrariness. If the output were purely an artifact of arbitrary parameter choices, three different methods built on different foundations would not converge. They do. The convergence is evidence that the models are measuring something real, however imprecisely.</w:t>
      </w:r>
    </w:p>
    <w:p>
      <w:pPr>
        <w:pStyle w:val="BodyText"/>
      </w:pPr>
      <w:r>
        <w:t xml:space="preserve">The second is the Popperian falsifiability question. A model that says extraction is always underpriced, the philosopher of science will say, is unfalsifiable. The correct response is that the model is falsifiable — the book has simply not yet found a case where it fails. Recall the definition: CS = RCV − B. The model produces CS &gt; 0 only when the accountability bond B is smaller than the true intergenerational cost. CS can theoretically equal zero or be negative. Two kinds of case approach this possibility. A sustainably managed renewable resource with full ecosystem accountability — timber from a plantation forest harvested at or below regrowth rates, with full replanting and habitat maintenance bonded to the operation — approaches CS ≈ 0; the foreclosure component is zero because the resource regenerates, and the bond covers the remainder. A highly abundant non-renewable extracted under stringent accountability — common construction sand from a lawfully permitted pit in a jurisdiction with full reclamation bonding — approaches CS ≈ 0 by a different path; the stock-dependent utility is near zero because the resource is effectively non-scarce on any meaningful timescale, and the bond can match the RCV. Both kinds of case are practically attainable; both predictions are testable; both would be falsified by clean counterexamples.</w:t>
      </w:r>
    </w:p>
    <w:p>
      <w:pPr>
        <w:pStyle w:val="BodyText"/>
      </w:pPr>
      <w: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 This is analogous to the claim, made in 1940, that no existing airplane could fly faster than sound. The claim was true, not because it was unfalsifiable, but because the necessary technology had not been built. It was falsified in 1947 when Chuck Yeager flew through the barrier.</w:t>
      </w:r>
    </w:p>
    <w:p>
      <w:pPr>
        <w:pStyle w:val="BodyText"/>
      </w:pPr>
      <w:r>
        <w:t xml:space="preserve">Two distinct falsifiability operations are at work. The Commons Inversion Test is a thought-experiment filter — a candidate cost claim either survives or fails its counterfactual inversion.</w:t>
      </w:r>
      <w:r>
        <w:t xml:space="preserve"> </w:t>
      </w:r>
      <w:r>
        <w:rPr>
          <w:i/>
          <w:iCs/>
        </w:rPr>
        <w:t xml:space="preserve">Would the cost be priced differently if the commons were absent?</w:t>
      </w:r>
      <w:r>
        <w:t xml:space="preserve"> </w:t>
      </w:r>
      <w:r>
        <w:rPr>
          <w:i/>
          <w:iCs/>
        </w:rPr>
        <w:t xml:space="preserve">Would it be priced differently if the commons were inexhaustible?</w:t>
      </w:r>
      <w:r>
        <w:t xml:space="preserve"> </w:t>
      </w:r>
      <w:r>
        <w:t xml:space="preserve">This is conceptual filtering; thought-experiments don’t survive empirical falsification in the Popperian sense, and the framework does not claim they do. The empirical falsifiability operates one layer above it, at the level of specific cost-claim predictions.</w:t>
      </w:r>
      <w:r>
        <w:t xml:space="preserve"> </w:t>
      </w:r>
      <w:r>
        <w:rPr>
          <w:i/>
          <w:iCs/>
        </w:rPr>
        <w:t xml:space="preserve">CS &gt; 0 for case X under existing accountability regimes.</w:t>
      </w:r>
      <w:r>
        <w:t xml:space="preserve"> </w:t>
      </w:r>
      <w:r>
        <w:t xml:space="preserve">That prediction is empirically testable through the case-study record; it is what the three approaches calibrate. Until full intergenerational foreclosure pricing is built, the universal CS &gt; 0 prediction stands, and its universality is evidence of a structural gap, not a methodological trick.</w:t>
      </w:r>
    </w:p>
    <w:p>
      <w:pPr>
        <w:pStyle w:val="BodyText"/>
      </w:pPr>
      <w:r>
        <w:t xml:space="preserve">The third is the reproducibility question: two analysts applying the framework to the same case will not, in general, produce the same number. They will choose different substitutability curves, different social-cost-of-carbon estimates, different discount factors, different assumptions about the externality tail. Their outputs will overlap but will not be identical. This is how applied cost-accounting works across every framework in active use — benefit-cost analysis of environmental regulations, health-technology assessment, nuclear decommissioning cost estimates, actuarial forecasts. None of these fields treats the presence of a range as a failure of the method. What they treat as a failure is an estimate whose sensitivity to parameter choice is not disclosed, or whose central case is invented rather than derived from data. The framework guarantees not uniform outputs but transparent disagreement — outputs whose dependence on each parameter is exposed rather than hidden, and whose disagreements resolve to specific empirical questions that further research can answer.</w:t>
      </w:r>
    </w:p>
    <w:p>
      <w:r>
        <w:pict>
          <v:rect style="width:0;height:1.5pt" o:hralign="center" o:hrstd="t" o:hr="t"/>
        </w:pict>
      </w:r>
    </w:p>
    <w:bookmarkEnd w:id="18"/>
    <w:bookmarkStart w:id="19" w:name="the-norway-backtest"/>
    <w:p>
      <w:pPr>
        <w:pStyle w:val="Heading3"/>
      </w:pPr>
      <w:r>
        <w:t xml:space="preserve">The Norway Backtest</w:t>
      </w:r>
    </w:p>
    <w:p>
      <w:pPr>
        <w:pStyle w:val="FirstParagraph"/>
      </w:pPr>
      <w:r>
        <w:t xml:space="preserve">To test whether the model only screams disaster, apply it to the best-managed extraction case in the world.</w:t>
      </w:r>
    </w:p>
    <w:p>
      <w:pPr>
        <w:pStyle w:val="BodyText"/>
      </w:pPr>
      <w:r>
        <w:t xml:space="preserve">Norwegian oil. The Norwegian sovereign wealth fund — formally, the Government Pension Fund Global — holds approximately $2.2 trillion (early 2025 NBIM)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pPr>
        <w:pStyle w:val="BodyText"/>
      </w:pPr>
      <w:r>
        <w:t xml:space="preserve">Apply the residual commons value framework. The fund is an enormous accountability bond.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pPr>
        <w:pStyle w:val="BodyText"/>
      </w:pPr>
      <w: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residual commons value is not so much larger than the accountability bond, but it is still larger.</w:t>
      </w:r>
    </w:p>
    <w:p>
      <w:pPr>
        <w:pStyle w:val="BodyText"/>
      </w:pPr>
      <w:r>
        <w:t xml:space="preserve">The model does what a good model should. It differentiates. It does not say</w:t>
      </w:r>
      <w:r>
        <w:t xml:space="preserve"> </w:t>
      </w:r>
      <w:r>
        <w:t xml:space="preserve">“extraction is always bad at the same rate.”</w:t>
      </w:r>
      <w:r>
        <w:t xml:space="preserve"> </w:t>
      </w:r>
      <w:r>
        <w:t xml:space="preserve">It says</w:t>
      </w:r>
      <w:r>
        <w:t xml:space="preserve"> </w:t>
      </w:r>
      <w:r>
        <w:t xml:space="preserve">“extraction under these conditions produces this much cost severance, and extraction under those conditions produces that much.”</w:t>
      </w:r>
      <w:r>
        <w:t xml:space="preserve"> </w:t>
      </w:r>
      <w:r>
        <w:t xml:space="preserve">Norway is closer to honest pricing than anywhere else. It is still not all the way there.</w:t>
      </w:r>
    </w:p>
    <w:p>
      <w:r>
        <w:pict>
          <v:rect style="width:0;height:1.5pt" o:hralign="center" o:hrstd="t" o:hr="t"/>
        </w:pict>
      </w:r>
    </w:p>
    <w:bookmarkEnd w:id="19"/>
    <w:bookmarkStart w:id="20" w:name="Xf5cd533cb1a9dbc173f4a8c645df3552c2913be"/>
    <w:p>
      <w:pPr>
        <w:pStyle w:val="Heading3"/>
      </w:pPr>
      <w:r>
        <w:t xml:space="preserve">Ten Commons Categories — Examples From the Cases This Book Examines</w:t>
      </w:r>
    </w:p>
    <w:p>
      <w:pPr>
        <w:pStyle w:val="FirstParagraph"/>
      </w:pPr>
      <w:r>
        <w:t xml:space="preserve">Across the eighteen cases this book examines, the Commons Inversion Test has repeatedly surfaced ten commons categories worth naming as examples:</w:t>
      </w:r>
    </w:p>
    <w:p>
      <w:pPr>
        <w:pStyle w:val="BodyText"/>
      </w:pPr>
      <w:r>
        <w:t xml:space="preserve">Habitability · Spatial · Temporal · Institutional · Kindred · Ecosystem · Political · Cohesion · Epistemic · Autonomy.</w:t>
      </w:r>
    </w:p>
    <w:p>
      <w:pPr>
        <w:pStyle w:val="BodyText"/>
      </w:pPr>
      <w:r>
        <w:t xml:space="preserve">These are</w:t>
      </w:r>
      <w:r>
        <w:t xml:space="preserve"> </w:t>
      </w:r>
      <w:r>
        <w:rPr>
          <w:i/>
          <w:iCs/>
        </w:rPr>
        <w:t xml:space="preserve">examples for illustrative purposes, not an exhaustive list.</w:t>
      </w:r>
      <w:r>
        <w:t xml:space="preserve"> </w:t>
      </w:r>
      <w:r>
        <w:t xml:space="preserve">The ten represent what showed up across the eighteen cases tested; readers applying the methodology to their own cases may surface different categories or refine these. The framework’s universality is about the method, not about whether ten is the right number. Ostrom listed eight design principles. Sen and Nussbaum elaborated ten central capabilities. Rawls listed primary goods. Each of those frameworks succeeded by being honest about what they had identified — examples drawn from cases, not metaphysical claims about what exists.</w:t>
      </w:r>
    </w:p>
    <w:p>
      <w:pPr>
        <w:pStyle w:val="BodyText"/>
      </w:pPr>
      <w:r>
        <w:t xml:space="preserve">A note before going further. This framework doesn’t argue that autonomy is universally a commons, or that habitability is, or that time is. It argues that when any of these operate</w:t>
      </w:r>
      <w:r>
        <w:t xml:space="preserve"> </w:t>
      </w:r>
      <w:r>
        <w:rPr>
          <w:i/>
          <w:iCs/>
        </w:rPr>
        <w:t xml:space="preserve">as</w:t>
      </w:r>
      <w:r>
        <w:t xml:space="preserve"> </w:t>
      </w:r>
      <w:r>
        <w:t xml:space="preserve">commons in a given society — shared, depended-on, collectively enabling — extraction can sever cost from that commons, and this methodology measures the severance.</w:t>
      </w:r>
    </w:p>
    <w:p>
      <w:pPr>
        <w:pStyle w:val="BodyText"/>
      </w:pPr>
      <w:r>
        <w:t xml:space="preserve">Different political traditions have different commitments about what is shared and what is individual. Classical liberalism treats autonomy as individual natural-right; civic republicanism treats autonomy as non-domination requiring shared institutions; socialist and communitarian traditions treat autonomy as enabled by shared infrastructure; Marxist analysis treats autonomy as material-conditions dependent; lived-oppression perspectives treat autonomy as something extracted, not shared. The framework works within any of those commitments. What it doesn’t accept is extraction without accountability, regardless of which commons is being extracted from.</w:t>
      </w:r>
    </w:p>
    <w:p>
      <w:pPr>
        <w:pStyle w:val="BodyText"/>
      </w:pPr>
      <w:r>
        <w:t xml:space="preserve">The available alternative would have been legislative — declare these ten as the closed and complete enumeration of commons, and route any candidate eleventh through a framework-controlled admission process. The framework rejects that posture because what counts as a commons is politically and traditionally contested; a framework that legislates the ten as definitive declares one political-philosophical tradition’s commitments correct and the others incorrect, and surfaces the framework’s own political commitments as a precondition for using its accounting.</w:t>
      </w:r>
    </w:p>
    <w:p>
      <w:pPr>
        <w:pStyle w:val="BodyText"/>
      </w:pPr>
      <w:r>
        <w:t xml:space="preserve">The ten categories above are examples drawn from cases this book examines. A reader whose tradition handles them differently can apply the same methodology and surface different categories. The through-line is the mechanism, not the enumeration.</w:t>
      </w:r>
    </w:p>
    <w:p>
      <w:pPr>
        <w:pStyle w:val="BodyText"/>
      </w:pPr>
      <w:r>
        <w:t xml:space="preserve">Autonomy is the most contested of these examples, and worth lingering on. Classical liberals will recognize autonomy as individual natural-right; the supporting infrastructure (rule of law; contract enforceability; labor protections; severance norms) is enabling but not itself commons. Civic republicans, in the tradition of Anderson, Pettit, and Skinner, will recognize autonomy as non-domination, requiring shared institutions to remain sustainable — institutions that function as commons. The framework doesn’t settle this debate. It accommodates both readings — and the lived-oppression reading, in which autonomy is something extracted from rather than shared with the bearer. What the framework asks: when extraction operates on whatever autonomy-supporting infrastructure your case treats as load-bearing, the cost-severance methodology applies. The Commons Inversion Test imagines the supporting infrastructure absent or consumed; the costs that become visible are commons-grounded; they admit to RCV.</w:t>
      </w:r>
    </w:p>
    <w:p>
      <w:pPr>
        <w:pStyle w:val="BodyText"/>
      </w:pPr>
      <w:r>
        <w:t xml:space="preserve">Chapter 1’s account of a knowledge-worker billing 120 hours per week is the framework’s most-favorable-conditions test of this proposition. The billing was voluntary. The contract was negotiated. The worker had elite credentials and could have walked. And what the contract priced was the billable time, not the displacement — not the spouse recovering from dying, not the son who could have been held longer, not the autonomy-supporting infrastructure (employment law shaping severance norms; the social architecture that makes elite-knowledge-worker autonomy possible) that the contract architecture systematically eroded. Whether you read that as a Commons-Consumption Inversion against an autonomy commons (the civic-republican reading), as a market mechanism functioning as designed (the classical-liberal reading), or as evidence of structural domination (the lived-oppression reading), the framework’s measurement applies. That is the framework’s claim to universality: not that one tradition is right, but that the cost-severance methodology operates across them.</w:t>
      </w:r>
    </w:p>
    <w:p>
      <w:pPr>
        <w:pStyle w:val="BodyText"/>
      </w:pPr>
      <w:r>
        <w:t xml:space="preserve">This chapter walks two of the ten commons categories at depth — habitability through the McDowell case, and time / autonomy through the personal-scale Consumption-Inversion examples carried over from Chapter 1. The remaining eight commons categories work through the same methodology applied to different cases. Their per-category specifications, with the full worked-example record from the eighteen cases this book has examined, are catalogued in the Technical Appendix. Readers who want to see the methodology applied across the full case library will find it there. Readers applying the framework to their own cases will find their own commons categories — and the methodology will work whether their categories match this book’s ten or surface others.</w:t>
      </w:r>
    </w:p>
    <w:bookmarkEnd w:id="20"/>
    <w:bookmarkStart w:id="21" w:name="what-is-owed"/>
    <w:p>
      <w:pPr>
        <w:pStyle w:val="Heading3"/>
      </w:pPr>
      <w:r>
        <w:t xml:space="preserve">What Is Owed</w:t>
      </w:r>
    </w:p>
    <w:p>
      <w:pPr>
        <w:pStyle w:val="FirstParagraph"/>
      </w:pPr>
      <w:r>
        <w:t xml:space="preserve">The framework prices what extraction severs from future generations. This is a strong claim, and it deserves a strong philosophical anchor — because critics will push on a particular question: how can extraction wrong people who do not yet exist?</w:t>
      </w:r>
    </w:p>
    <w:p>
      <w:pPr>
        <w:pStyle w:val="BodyText"/>
      </w:pPr>
      <w:r>
        <w:t xml:space="preserve">The most rigorous form of this objection is what Derek Parfit named the</w:t>
      </w:r>
      <w:r>
        <w:t xml:space="preserve"> </w:t>
      </w:r>
      <w:r>
        <w:rPr>
          <w:b/>
          <w:bCs/>
        </w:rPr>
        <w:t xml:space="preserve">non-identity problem</w:t>
      </w:r>
      <w:r>
        <w:t xml:space="preserve">. Different policy choices today determine which specific future people come into existence at all. A world that extracts coal aggressively produces some particular set of future humans living particular lives; a world that extracts coal gently produces a different set of future humans living different lives. The aggressive-extraction children cannot be wronged by the policy that produced them, on a strict person-affecting account, because the alternative for them is non-existence rather than better-existence. This is not an abstruse philosophical puzzle; it is the deepest objection to any framework that prices future-generation costs.</w:t>
      </w:r>
    </w:p>
    <w:p>
      <w:pPr>
        <w:pStyle w:val="BodyText"/>
      </w:pPr>
      <w:r>
        <w:t xml:space="preserve">Parfit’s response — and the response this framework adopts — is to operate at the level of</w:t>
      </w:r>
      <w:r>
        <w:t xml:space="preserve"> </w:t>
      </w:r>
      <w:r>
        <w:rPr>
          <w:b/>
          <w:bCs/>
        </w:rPr>
        <w:t xml:space="preserve">outcomes</w:t>
      </w:r>
      <w:r>
        <w:t xml:space="preserve"> </w:t>
      </w:r>
      <w:r>
        <w:t xml:space="preserve">rather than of specific persons. The moral question is not</w:t>
      </w:r>
      <w:r>
        <w:t xml:space="preserve"> </w:t>
      </w:r>
      <w:r>
        <w:t xml:space="preserve">“did the extraction wrong any particular future person?”</w:t>
      </w:r>
      <w:r>
        <w:t xml:space="preserve"> </w:t>
      </w:r>
      <w:r>
        <w:t xml:space="preserve">but rather</w:t>
      </w:r>
      <w:r>
        <w:t xml:space="preserve"> </w:t>
      </w:r>
      <w:r>
        <w:t xml:space="preserve">“is the future-generation outcome worse than it would have been under different extraction policy?”</w:t>
      </w:r>
      <w:r>
        <w:t xml:space="preserve"> </w:t>
      </w:r>
      <w:r>
        <w:t xml:space="preserve">If the answer is yes, the loss is real, and the accounting matters, regardless of whether the persons who bear the loss could have been the same persons under different policy. This is what philosophers call an</w:t>
      </w:r>
      <w:r>
        <w:t xml:space="preserve"> </w:t>
      </w:r>
      <w:r>
        <w:rPr>
          <w:i/>
          <w:iCs/>
        </w:rPr>
        <w:t xml:space="preserve">impersonal</w:t>
      </w:r>
      <w:r>
        <w:t xml:space="preserve"> </w:t>
      </w:r>
      <w:r>
        <w:t xml:space="preserve">moral framework — outcomes are evaluated by their goodness for whoever-the-future-people-turn-out-to-be, not by their goodness for specific identifiable individuals.</w:t>
      </w:r>
    </w:p>
    <w:p>
      <w:pPr>
        <w:pStyle w:val="BodyText"/>
      </w:pPr>
      <w:r>
        <w:t xml:space="preserve">The framework’s Residual Commons Value calculation operates in exactly this register. RCV does not price what was taken from a particular named miner’s grandchild. RCV prices what extraction severs from whatever future generations arise — the commons not available to be lived in, not available to be drawn from, not available to be passed forward. The Foreclosure Bond is the framework’s accounting instrument for that severance, paired with the Restitution Bond’s accounting for harm already realized. The two-instrument architecture inherits Parfit’s distinction between forward-looking impersonal-outcomes evaluation (the Foreclosure Bond’s domain) and backward-looking person-affecting evaluation (the Restitution Bond’s domain) — both are legitimate moral domains; the framework distinguishes them rather than collapsing them.</w:t>
      </w:r>
    </w:p>
    <w:p>
      <w:pPr>
        <w:pStyle w:val="BodyText"/>
      </w:pPr>
      <w:r>
        <w:t xml:space="preserve">The methodological work each instrument requires is also different. Reparations economics has spent half a century developing methodology for already-realized person-affecting harm; environmental-bond economics has spent three decades on prospective impersonal-outcomes loss. Both are real, both are sophisticated. A simpler framework that specified a single Cost Severance accounting object — backward-looking and forward-looking together, undifferentiated — would have failed under stress, because the accounting work each direction requires is structurally different. The two instruments share the same central equation — Cost Severance equals Residual Commons Value minus Bond posting — but they answer different questions on opposite sides of it.</w:t>
      </w:r>
    </w:p>
    <w:p>
      <w:pPr>
        <w:pStyle w:val="BodyText"/>
      </w:pPr>
      <w:r>
        <w:t xml:space="preserve">This grounding does not solve the non-identity problem in its philosophical depth. Parfit himself did not solve it; the literature has not solved it; the framework does not pretend to. What the framework does is</w:t>
      </w:r>
      <w:r>
        <w:t xml:space="preserve"> </w:t>
      </w:r>
      <w:r>
        <w:rPr>
          <w:b/>
          <w:bCs/>
        </w:rPr>
        <w:t xml:space="preserve">operate within</w:t>
      </w:r>
      <w:r>
        <w:t xml:space="preserve"> </w:t>
      </w:r>
      <w:r>
        <w:t xml:space="preserve">an established moral-philosophy vocabulary for intergenerational status, rather than treating intergenerational obligation as something the reader is asked to accept on faith. The moral standing of future generations is, in Parfit’s framework, a defensible philosophical commitment — and the framework’s IPG of 33 (the McDowell-coal compression) is the empirical apparatus that prices what is owed under that commitment.</w:t>
      </w:r>
    </w:p>
    <w:p>
      <w:pPr>
        <w:pStyle w:val="BodyText"/>
      </w:pPr>
      <w:r>
        <w:t xml:space="preserve">The methodology applied to the Restitution Bond builds on Darity and Mullen’s reparations-economics wealth-gap framework, engaged at depth in Chapter 5’s introduction of the two-instrument apparatus; Chapter 6’s role here is methodological. The framework’s damages-already-realized instrument is a specialization of that methodology to extraction-community contexts — portable mechanism, per-context calibration.</w:t>
      </w:r>
    </w:p>
    <w:p>
      <w:pPr>
        <w:pStyle w:val="BodyText"/>
      </w:pPr>
      <w:r>
        <w:t xml:space="preserve">A second philosophical grounding the framework operates within — complementary to Parfit’s impersonal-outcomes evaluation — is Amartya Sen’s capability-and-social-welfare-function framework. Where Parfit answers the question of</w:t>
      </w:r>
      <w:r>
        <w:t xml:space="preserve"> </w:t>
      </w:r>
      <w:r>
        <w:rPr>
          <w:i/>
          <w:iCs/>
        </w:rPr>
        <w:t xml:space="preserve">whether</w:t>
      </w:r>
      <w:r>
        <w:t xml:space="preserve"> </w:t>
      </w:r>
      <w:r>
        <w:t xml:space="preserve">future generations have moral standing, Sen answers the question of</w:t>
      </w:r>
      <w:r>
        <w:t xml:space="preserve"> </w:t>
      </w:r>
      <w:r>
        <w:rPr>
          <w:i/>
          <w:iCs/>
        </w:rPr>
        <w:t xml:space="preserve">how</w:t>
      </w:r>
      <w:r>
        <w:t xml:space="preserve"> </w:t>
      </w:r>
      <w:r>
        <w:t xml:space="preserve">their standing should be valued: in terms of the capabilities the framework’s accounting can preserve or extinguish. The framework’s Residual Commons Value calculation is, in Sen’s vocabulary, a measurement of the capability set extraction forecloses on whoever-the-future-people-turn-out-to-be. Critics who ask</w:t>
      </w:r>
      <w:r>
        <w:t xml:space="preserve"> </w:t>
      </w:r>
      <w:r>
        <w:t xml:space="preserve">“why give value to future generations?”</w:t>
      </w:r>
      <w:r>
        <w:t xml:space="preserve"> </w:t>
      </w:r>
      <w:r>
        <w:t xml:space="preserve">are asking a Parfit-domain question; the framework’s answer is</w:t>
      </w:r>
      <w:r>
        <w:t xml:space="preserve"> </w:t>
      </w:r>
      <w:r>
        <w:rPr>
          <w:i/>
          <w:iCs/>
        </w:rPr>
        <w:t xml:space="preserve">because they will have capabilities that present extraction will or will not constrain</w:t>
      </w:r>
      <w:r>
        <w:t xml:space="preserve">, and Sen’s framework names the capabilities and the valuation methodology that grounds the framework’s pricing. The pairing — Parfit grounding the standing, Sen grounding the valuation — is what makes the framework’s intergenerational-pricing claim defensible across the moral-philosophy and welfare-economics traditions simultaneously rather than within only one.</w:t>
      </w:r>
    </w:p>
    <w:bookmarkEnd w:id="21"/>
    <w:bookmarkStart w:id="22" w:name="two-kinds-of-commons"/>
    <w:p>
      <w:pPr>
        <w:pStyle w:val="Heading3"/>
      </w:pPr>
      <w:r>
        <w:t xml:space="preserve">Two Kinds of Commons</w:t>
      </w:r>
    </w:p>
    <w:p>
      <w:pPr>
        <w:pStyle w:val="FirstParagraph"/>
      </w:pPr>
      <w:r>
        <w:t xml:space="preserve">A reader from the Ostrom tradition will hold a particular question at arm’s length when this framework is introduced. The question is whether the Commons Inversion Test, when it filters cost claims, is filtering</w:t>
      </w:r>
      <w:r>
        <w:t xml:space="preserve"> </w:t>
      </w:r>
      <w:r>
        <w:rPr>
          <w:i/>
          <w:iCs/>
        </w:rPr>
        <w:t xml:space="preserve">the same kind of commons</w:t>
      </w:r>
      <w:r>
        <w:t xml:space="preserve"> </w:t>
      </w:r>
      <w:r>
        <w:t xml:space="preserve">that Ostrom’s</w:t>
      </w:r>
      <w:r>
        <w:t xml:space="preserve"> </w:t>
      </w:r>
      <w:r>
        <w:rPr>
          <w:i/>
          <w:iCs/>
        </w:rPr>
        <w:t xml:space="preserve">Governing the Commons</w:t>
      </w:r>
      <w:r>
        <w:t xml:space="preserve"> </w:t>
      </w:r>
      <w:r>
        <w:t xml:space="preserve">describes — and if so, whether the framework is competing with Ostrom-tradition commons-economics or extending it into adjacent territory. The honest answer requires distinguishing two structurally different commons-classes that have, until recently, been treated under one heading.</w:t>
      </w:r>
    </w:p>
    <w:p>
      <w:pPr>
        <w:pStyle w:val="BodyText"/>
      </w:pPr>
      <w:r>
        <w:t xml:space="preserve">The first class — call it the coordination commons — is what Ostrom’s eight design principles address. A fishery shared by twenty boats. A grazing pasture shared by forty households. An irrigation system shared by a hundred farms. The commons is finite. Multiple users draw from it. The risk Ostrom names is that uncoordinated drawing produces collective ruin — Hardin’s</w:t>
      </w:r>
      <w:r>
        <w:t xml:space="preserve"> </w:t>
      </w:r>
      <w:r>
        <w:t xml:space="preserve">“tragedy”</w:t>
      </w:r>
      <w:r>
        <w:t xml:space="preserve"> </w:t>
      </w:r>
      <w:r>
        <w:t xml:space="preserve">— and her contribution was to demonstrate, empirically across hundreds of cases, that communities of shared-stakeholders can self-govern these commons through specific institutional architectures. The cost the framework would have to price, if it were applied to a coordination commons, is the cost of coordination breakdown. That is not what this framework prices. Coordination breakdown is a cost the existing Ostrom-tradition apparatus already prices, and prices well, where the necessary institutional architecture is in place.</w:t>
      </w:r>
    </w:p>
    <w:p>
      <w:pPr>
        <w:pStyle w:val="BodyText"/>
      </w:pPr>
      <w:r>
        <w:t xml:space="preserve">The second class — call it the extraction commons — is what</w:t>
      </w:r>
      <w:r>
        <w:t xml:space="preserve"> </w:t>
      </w:r>
      <w:r>
        <w:rPr>
          <w:i/>
          <w:iCs/>
        </w:rPr>
        <w:t xml:space="preserve">this</w:t>
      </w:r>
      <w:r>
        <w:t xml:space="preserve"> </w:t>
      </w:r>
      <w:r>
        <w:t xml:space="preserve">framework addresses. The atmospheric carbon-stability that makes habitable climate. The Appalachian mountain habitat that exists or doesn’t. The ancestral land whose dispossession is permanent. The cumulative collective-cognitive-bandwidth that platform attention extraction can deplete or not. Multiple users still draw from these commons. But the actors</w:t>
      </w:r>
      <w:r>
        <w:t xml:space="preserve"> </w:t>
      </w:r>
      <w:r>
        <w:rPr>
          <w:i/>
          <w:iCs/>
        </w:rPr>
        <w:t xml:space="preserve">capturing</w:t>
      </w:r>
      <w:r>
        <w:t xml:space="preserve"> </w:t>
      </w:r>
      <w:r>
        <w:t xml:space="preserve">value through extraction are not, in any meaningful sense, shared-stakeholders with the actors</w:t>
      </w:r>
      <w:r>
        <w:t xml:space="preserve"> </w:t>
      </w:r>
      <w:r>
        <w:rPr>
          <w:i/>
          <w:iCs/>
        </w:rPr>
        <w:t xml:space="preserve">bearing</w:t>
      </w:r>
      <w:r>
        <w:t xml:space="preserve"> </w:t>
      </w:r>
      <w:r>
        <w:t xml:space="preserve">cost. The mining company is not a member of the McDowell community. The platform is not a member of the user population whose attention it monetizes. The carbon emitter is not a member of the future generation whose habitable climate is being foreclosed. The asymmetry between value-capture and cost-bearing is structural, not contingent. The cost the framework prices is the severance enabled by that asymmetry.</w:t>
      </w:r>
    </w:p>
    <w:p>
      <w:pPr>
        <w:pStyle w:val="BodyText"/>
      </w:pPr>
      <w:r>
        <w:t xml:space="preserve">The Commons Inversion Test’s two sub-forms make the distinction operational. Commons-Absence Inversion asks whether the cost claim is commons-grounded at all. Commons-Consumption Inversion asks whether it is consumption-of-finite-commons that the cost is grounded in. A coordination commons fails the second test: if the fishery were inexhaustible, the coordination cost would be unchanged — communities would still need to govern access — and so the cost the cost claim names is not severance in this framework’s specific sense. An extraction commons passes the second test: if the atmospheric carbon-stability were inexhaustible, extraction would price differently because the cost-bearing party’s cost would not exist. The framework operates on extraction commons; Ostrom operates on coordination commons; the two domains are adjacent and the methodologies extend rather than compete with one another. Where a real-world case carries both elements — a forest that is both shared-stakeholder pastoral commons (Ostrom territory) and target of external timber extraction (this framework’s territory) — the analyses run in parallel. The Commons Inversion Test screens what this framework can address; Ostrom’s eight design principles address what hers can. Each method does work the other can’t.</w:t>
      </w:r>
    </w:p>
    <w:p>
      <w:pPr>
        <w:pStyle w:val="BodyText"/>
      </w:pPr>
      <w:r>
        <w:t xml:space="preserve">A second break-point Ostrom’s framework does not address is the heterogeneous-stakeholder commons: where a community drawing from a shared commons is divided on ethnic, racial, class, or other grounds, and carries conflicting use-preferences for the commons itself. Ostrom’s eight design principles presume substantially-aligned stakeholders capable of negotiating governance institutions; when the stakeholders are structurally divided, the design principles do not produce a solution because the problem is not solely coordination-of-mutually-acceptable-use but contestation over what acceptable use is. This framework’s apparatus reaches such commons because the Commons Inversion Test operates on the commons-extraction relationship rather than on the stakeholder-coordination relationship; the cost severance the framework prices is the cost of extraction</w:t>
      </w:r>
      <w:r>
        <w:t xml:space="preserve"> </w:t>
      </w:r>
      <w:r>
        <w:rPr>
          <w:i/>
          <w:iCs/>
        </w:rPr>
        <w:t xml:space="preserve">from</w:t>
      </w:r>
      <w:r>
        <w:t xml:space="preserve"> </w:t>
      </w:r>
      <w:r>
        <w:t xml:space="preserve">the commons by extracting parties structurally outside the commons-bearing community, and this cost is measurable whether the cost-bearing community is internally aligned or divided. This second break-point connects the framework to the analytical apparatus of stratification economics (Darity, Hamilton, and collaborators), which analyzes structural-extraction operating through hierarchical group-divisions of race, class, and ethnicity. The framework’s commons-governance extension applies stratification-economics analysis of intergroup relationships to commons that are simultaneously contested across stakeholder-group lines and being extracted from by structural outsiders.</w:t>
      </w:r>
    </w:p>
    <w:bookmarkEnd w:id="22"/>
    <w:bookmarkStart w:id="26" w:name="the-four-gates"/>
    <w:p>
      <w:pPr>
        <w:pStyle w:val="Heading3"/>
      </w:pPr>
      <w:r>
        <w:t xml:space="preserve">The Four Gates</w:t>
      </w:r>
    </w:p>
    <w:p>
      <w:pPr>
        <w:pStyle w:val="FirstParagraph"/>
      </w:pPr>
      <w:r>
        <w:t xml:space="preserve">The book has carried the framework’s discipline implicitly from the earlier chapters. Here, where the formula is specified, the discipline should be named directly. Any cost the framework admits into the residual commons value computation must pass four gates. A cost that fails any one is not included; a cost that passes all four is.</w:t>
      </w:r>
    </w:p>
    <w:p>
      <w:pPr>
        <w:pStyle w:val="BodyText"/>
      </w:pPr>
      <w:r>
        <w:rPr>
          <w:b/>
          <w:bCs/>
        </w:rPr>
        <w:t xml:space="preserve">The first gate is the Commons Inversion Test.</w:t>
      </w:r>
      <w:r>
        <w:t xml:space="preserve"> </w:t>
      </w:r>
      <w:r>
        <w:t xml:space="preserve">Faced with a candidate cost — say, the health damages from a coal mine — we ask whether the cost depends on a commons. The procedure is to imagine the commons inverted: either absent altogether (what would it take to replace what was lost?) or unconsumed (what could the commons do if it weren’t being drawn down?). When the cost becomes visible only against an inverted commons, the cost is commons-dependent and admitted to RCV. When the cost would persist regardless — when it’s intrinsic to the activity rather than to the commons-state — the test rejects it as not commons-grounded.</w:t>
      </w:r>
    </w:p>
    <w:p>
      <w:pPr>
        <w:pStyle w:val="BodyText"/>
      </w:pPr>
      <w:r>
        <w:t xml:space="preserve">The test has two operational sub-forms.</w:t>
      </w:r>
    </w:p>
    <w:p>
      <w:pPr>
        <w:pStyle w:val="BodyText"/>
      </w:pPr>
      <w:r>
        <w:rPr>
          <w:b/>
          <w:bCs/>
        </w:rPr>
        <w:t xml:space="preserve">Commons-Absence Inversion</w:t>
      </w:r>
      <w:r>
        <w:t xml:space="preserve"> </w:t>
      </w:r>
      <w:r>
        <w:t xml:space="preserve">asks: imagine the commons not existing. Picture extraction stripping a place of habitability the way a coal seam strips a county of its hillsides. Picture the atmospheric oxygen that feels free on Earth simply gone, the way it is in space. The cost the test surfaces is replacement cost — what it would take to recreate or compensate for what was destroyed. McDowell County’s habitability commons, demonstrably stripped, generates a Commons-Absence cost: thirteen years of life expectancy, communities that don’t refill, ecological remediation work that no one has been priced for.</w:t>
      </w:r>
    </w:p>
    <w:p>
      <w:pPr>
        <w:pStyle w:val="BodyText"/>
      </w:pPr>
      <w:r>
        <w:rPr>
          <w:b/>
          <w:bCs/>
        </w:rPr>
        <w:t xml:space="preserve">Commons-Consumption Inversion</w:t>
      </w:r>
      <w:r>
        <w:t xml:space="preserve"> </w:t>
      </w:r>
      <w:r>
        <w:t xml:space="preserve">asks: imagine the commons not being consumed. Picture the lifetime hours that could have gone to learning a language or raising a child if they hadn’t been spent commuting two and a half hours each direction. Picture the forest that could have continued to function as carbon sink and watershed if it hadn’t been cut. The cost the test surfaces is opportunity cost — what the commons would have done if it weren’t being drawn down. Most resource-extraction cases are Commons-Absence; most personal-scale extractions (time, attention, health expenditure) are Commons-Consumption; some, like a mine that destroys a hillside AND consumes lifetime labor, exercise both.</w:t>
      </w:r>
    </w:p>
    <w:p>
      <w:pPr>
        <w:pStyle w:val="BodyText"/>
      </w:pPr>
      <w:r>
        <w:t xml:space="preserve">Naming the two sub-forms makes visible what the test was always doing under the abstract phrase</w:t>
      </w:r>
      <w:r>
        <w:t xml:space="preserve"> </w:t>
      </w:r>
      <w:r>
        <w:t xml:space="preserve">“abundance inversion.”</w:t>
      </w:r>
      <w:r>
        <w:t xml:space="preserve"> </w:t>
      </w:r>
      <w:r>
        <w:t xml:space="preserve">The grounding object is the commons; the operation is to imagine the commons differently than it currently is.</w:t>
      </w:r>
    </w:p>
    <w:p>
      <w:pPr>
        <w:pStyle w:val="BodyText"/>
      </w:pPr>
      <w:r>
        <w:t xml:space="preserve">The two sub-forms run different filters. Commons-Absence Inversion distinguishes commons-grounded claims from private-property externalities (a different framework applies to the latter). Commons-Consumption Inversion distinguishes consumption-of-finite-commons claims from coordination-of-mutually-acceptable-use claims (the Ostrom-tradition framework discussed in the prior section). A single-form Commons Inversion Test would have collapsed these into one test and produced ambiguous results in the most-load-bearing case — an Ostrom-tradition coordination commons where Commons-Absence passes but Commons-Consumption fails. The two-sub-form architecture makes the routing explicit.</w:t>
      </w:r>
    </w:p>
    <w:p>
      <w:pPr>
        <w:pStyle w:val="BodyText"/>
      </w:pPr>
      <w:r>
        <w:t xml:space="preserve">The framework’s choice of</w:t>
      </w:r>
      <w:r>
        <w:t xml:space="preserve"> </w:t>
      </w:r>
      <w:r>
        <w:rPr>
          <w:i/>
          <w:iCs/>
        </w:rPr>
        <w:t xml:space="preserve">Commons Inversion Test</w:t>
      </w:r>
      <w:r>
        <w:t xml:space="preserve"> </w:t>
      </w:r>
      <w:r>
        <w:t xml:space="preserve">as the name for its discovery method is a deliberate one (see</w:t>
      </w:r>
      <w:r>
        <w:t xml:space="preserve"> </w:t>
      </w:r>
      <w:hyperlink r:id="rId23">
        <w:r>
          <w:rPr>
            <w:rStyle w:val="Hyperlink"/>
          </w:rPr>
          <w:t xml:space="preserve">Technical Appendix §6 — Commons Inversion Test</w:t>
        </w:r>
      </w:hyperlink>
      <w:r>
        <w:t xml:space="preserve">). Other names were available —</w:t>
      </w:r>
      <w:r>
        <w:t xml:space="preserve"> </w:t>
      </w:r>
      <w:r>
        <w:rPr>
          <w:i/>
          <w:iCs/>
        </w:rPr>
        <w:t xml:space="preserve">commons reversal test</w:t>
      </w:r>
      <w:r>
        <w:t xml:space="preserve">,</w:t>
      </w:r>
      <w:r>
        <w:t xml:space="preserve"> </w:t>
      </w:r>
      <w:r>
        <w:rPr>
          <w:i/>
          <w:iCs/>
        </w:rPr>
        <w:t xml:space="preserve">commons recovery test</w:t>
      </w:r>
      <w:r>
        <w:t xml:space="preserve">,</w:t>
      </w:r>
      <w:r>
        <w:t xml:space="preserve"> </w:t>
      </w:r>
      <w:r>
        <w:rPr>
          <w:i/>
          <w:iCs/>
        </w:rPr>
        <w:t xml:space="preserve">counterfactual commons test</w:t>
      </w:r>
      <w:r>
        <w:t xml:space="preserve"> </w:t>
      </w:r>
      <w:r>
        <w:t xml:space="preserve">— and each fails to carry the specific structural feature</w:t>
      </w:r>
      <w:r>
        <w:t xml:space="preserve"> </w:t>
      </w:r>
      <w:r>
        <w:rPr>
          <w:i/>
          <w:iCs/>
        </w:rPr>
        <w:t xml:space="preserve">inversion</w:t>
      </w:r>
      <w:r>
        <w:t xml:space="preserve"> </w:t>
      </w:r>
      <w:r>
        <w:t xml:space="preserve">names. The test does not reverse anything in the world; reversal implies an action taken on the resource itself, which the test does not perform. The test does not recover anything; recovery implies the resource is restored or made whole, which is not the methodology’s claim.</w:t>
      </w:r>
      <w:r>
        <w:t xml:space="preserve"> </w:t>
      </w:r>
      <w:r>
        <w:rPr>
          <w:i/>
          <w:iCs/>
        </w:rPr>
        <w:t xml:space="preserve">Counterfactual commons test</w:t>
      </w:r>
      <w:r>
        <w:t xml:space="preserve"> </w:t>
      </w:r>
      <w:r>
        <w:t xml:space="preserve">is structurally accurate but loses the directional specificity the inversion move carries — the test does not run any counterfactual; it runs</w:t>
      </w:r>
      <w:r>
        <w:t xml:space="preserve"> </w:t>
      </w:r>
      <w:r>
        <w:rPr>
          <w:i/>
          <w:iCs/>
        </w:rPr>
        <w:t xml:space="preserve">one specific</w:t>
      </w:r>
      <w:r>
        <w:t xml:space="preserve"> </w:t>
      </w:r>
      <w:r>
        <w:t xml:space="preserve">counterfactual, the inversion of the scarcity premise. The mechanism is precise. The test asks, of any proposed cost claim, whether the same physical extraction would still impose that cost if the underlying commons were non-scarce. The world is held fixed in every other respect; only the resource-scarcity dimension is inverted. If the cost survives the inversion — if the same extraction would impose the same cost under non-scarcity — the cost is intrinsic to the activity, not a cost of commons-extraction; it does not enter the framework’s accounting. If the cost vanishes under inversion — if non-scarcity would have made the cost go away — the cost is grounded in the commons-extraction relationship and admits to the framework’s measurement. The methodology is the David Lewis counterfactual-reasoning tradition specialized to one specific premise-flip. The alternative the framework declined was revealed preference, which reads what current institutional architectures have already priced as the measure of what a commons is worth. Revealed preference reveals what existing institutions have captured, not what the underlying commons costs to extract from. The framework uses revealed preference as one estimation input later, but rejects it as the discrimination gate — the gate has to be independent of the institutional architecture the framework is trying to assess.</w:t>
      </w:r>
      <w:r>
        <w:t xml:space="preserve"> </w:t>
      </w:r>
      <w:r>
        <w:rPr>
          <w:i/>
          <w:iCs/>
        </w:rPr>
        <w:t xml:space="preserve">Inversion</w:t>
      </w:r>
      <w:r>
        <w:t xml:space="preserve"> </w:t>
      </w:r>
      <w:r>
        <w:t xml:space="preserve">names what the test does, and what no other available name does as precisely.</w:t>
      </w:r>
    </w:p>
    <w:p>
      <w:pPr>
        <w:pStyle w:val="BodyText"/>
      </w:pPr>
      <w:r>
        <w:t xml:space="preserve">The available alternative for filtering cost claims at the gate level was revealed preference — read what polities or markets have already paid as a measure of what a commons is worth. The advantage is empirical: the data exist, the methodology is established. The disadvantage is structural: revealed preference reveals what current institutional architectures have priced, not what the underlying commons is worth. Norway’s revealed-preference per-barrel value reveals what Norwegian institutional architecture captured; it does not reveal what the atmospheric externality from combusting Norwegian oil costs the populations bearing that externality. The Commons Inversion Test, by contrast, runs a thought-experiment counterfactual that is independent of current institutional architecture. The framework uses revealed preference as one estimation input within Approach 2, but uses it as estimation, not as the discrimination gate. The two roles are different; the framework specifies them separately because conflating them produces institutionally-captured results.</w:t>
      </w:r>
    </w:p>
    <w:p>
      <w:pPr>
        <w:pStyle w:val="BodyText"/>
      </w:pPr>
      <w:r>
        <w:t xml:space="preserve">The second gate is Units Consistency. A candidate must be expressible as dollars per unit of resource per unit of time. This looks like bookkeeping, and it is, but it does real work: it excludes costs specified only in ordinal terms (quality-of-life scores, dignity indices, cultural-importance rankings) until they are converted to dollar-equivalents with transparent methodology. The gate does not forbid the conversion — hedonic pricing, contingent valuation, and revealed-preference methods are all admissible — but the conversion has to be explicit before a term enters a formula whose other terms are already priced in dollars.</w:t>
      </w:r>
    </w:p>
    <w:p>
      <w:pPr>
        <w:pStyle w:val="BodyText"/>
      </w:pPr>
      <w:r>
        <w:t xml:space="preserve">The third gate is boundedness. The candidate’s contribution to the integral must converge to a finite value under the framework’s discount assumptions. A cost that grows without bound as the time horizon extends cannot enter the formula in that form. Most empirically measured costs satisfy this gate automatically; it exists to exclude unbounded theoretical constructions that would otherwise consume any finite residual commons value.</w:t>
      </w:r>
    </w:p>
    <w:p>
      <w:pPr>
        <w:pStyle w:val="BodyText"/>
      </w:pPr>
      <w:r>
        <w:t xml:space="preserve">The fourth gate is independence. A candidate must not double-count what an existing term already captures. If two candidates overlap, the framework resolves the overlap by redefining one of them, merging the two into a single broader term, or rejecting the redundant candidate. This is the same discipline the book has applied to the commons categories, now operating at the cost-term level rather than the dimension level.</w:t>
      </w:r>
    </w:p>
    <w:p>
      <w:pPr>
        <w:pStyle w:val="BodyText"/>
      </w:pPr>
      <w:r>
        <w:t xml:space="preserve">The Commons Inversion Test alone is necessary for the framework’s accounting but not sufficient. A cost claim that passes both Commons-Absence and Commons-Consumption Inversion has demonstrated that it is grounded in consumption of a finite commons; it has not yet demonstrated that its units are consistent (a claim mixing monetary, physical, and qualitative units fails Units Consistency); that its bounds are finite (a claim of</w:t>
      </w:r>
      <w:r>
        <w:t xml:space="preserve"> </w:t>
      </w:r>
      <w:r>
        <w:t xml:space="preserve">“infinite”</w:t>
      </w:r>
      <w:r>
        <w:t xml:space="preserve"> </w:t>
      </w:r>
      <w:r>
        <w:t xml:space="preserve">cost dominates any aggregation); or that it does not double-count across overlapping commons categories (a single harm priced both as Habitability and as Ecosystem inflates the aggregate). The framework specifies all four gates because each does work the others can’t; specifying fewer would admit cost claims that are commons-grounded but unit-incoherent, or finite-bounded but double-counted.</w:t>
      </w:r>
    </w:p>
    <w:p>
      <w:pPr>
        <w:pStyle w:val="BodyText"/>
      </w:pPr>
      <w:r>
        <w:t xml:space="preserve">All four gates have formal statements, worked examples, and a step-by-step application protocol in the Technical Appendix’s</w:t>
      </w:r>
      <w:r>
        <w:t xml:space="preserve"> </w:t>
      </w:r>
      <w:hyperlink r:id="rId24">
        <w:r>
          <w:rPr>
            <w:rStyle w:val="Hyperlink"/>
          </w:rPr>
          <w:t xml:space="preserve">Four Gates Admission Apparatus section</w:t>
        </w:r>
      </w:hyperlink>
      <w:r>
        <w:t xml:space="preserve">. The Appendix also derives the formula’s general form — RCV as a discounted integral of a sum of cost terms, rather than only the two-term expression introduced above — and shows that the two-term formula is the n = 2 special case under the four gates (</w:t>
      </w:r>
      <w:hyperlink r:id="rId25">
        <w:r>
          <w:rPr>
            <w:rStyle w:val="Hyperlink"/>
          </w:rPr>
          <w:t xml:space="preserve">Formula Generalization section</w:t>
        </w:r>
      </w:hyperlink>
      <w:r>
        <w:t xml:space="preserve">). The same apparatus runs in both temporal directions; the bidirectional applicability of the framework’s gates and three methods is articulated in</w:t>
      </w:r>
      <w:r>
        <w:t xml:space="preserve"> </w:t>
      </w:r>
      <w:hyperlink r:id="rId13">
        <w:r>
          <w:rPr>
            <w:rStyle w:val="Hyperlink"/>
          </w:rPr>
          <w:t xml:space="preserve">Technical Appendix §5.5</w:t>
        </w:r>
      </w:hyperlink>
      <w:r>
        <w:t xml:space="preserve">. The generalization is what makes the framework extensible. Future analyses can admit cost terms this book does not enumerate, provided each admission passes the gates. The two-term expression remains the formula that produces the numbers in the convergence table. Everything downstream in this chapter and in subsequent analysis sits on top of the generalization.</w:t>
      </w:r>
    </w:p>
    <w:p>
      <w:r>
        <w:pict>
          <v:rect style="width:0;height:1.5pt" o:hralign="center" o:hrstd="t" o:hr="t"/>
        </w:pict>
      </w:r>
    </w:p>
    <w:bookmarkEnd w:id="26"/>
    <w:bookmarkStart w:id="27" w:name="the-contribution"/>
    <w:p>
      <w:pPr>
        <w:pStyle w:val="Heading3"/>
      </w:pPr>
      <w:r>
        <w:t xml:space="preserve">The Contribution</w:t>
      </w:r>
    </w:p>
    <w:p>
      <w:pPr>
        <w:pStyle w:val="FirstParagraph"/>
      </w:pPr>
      <w:r>
        <w:t xml:space="preserve">One more thing the chapter owes the reader before the critics get their hearing. What, specifically, does the residual commons value framework add?</w:t>
      </w:r>
    </w:p>
    <w:p>
      <w:pPr>
        <w:pStyle w:val="BodyText"/>
      </w:pPr>
      <w:r>
        <w:t xml:space="preserve">This framework extends two intellectual traditions — Pigouvian externality theory and Ostrom-lineage commons governance — into a setting neither addressed: extraction contexts where commons are drawn down rather than managed-in-place. From Pigou comes the move to internalize externalities through pricing instruments. From Ostrom comes the recognition that commons can be governed sustainably under specific design-principle conditions. The framework adds what neither developed: a measurement methodology (Commons Inversion Test, with two sub-forms) for the commons-extraction relationship; a quantification framework (Residual Commons Value); a pricing instrument (Accountability Bond) sized to the residual commons value rather than to a single externality.</w:t>
      </w:r>
    </w:p>
    <w:p>
      <w:pPr>
        <w:pStyle w:val="BodyText"/>
      </w:pPr>
      <w:r>
        <w:t xml:space="preserve">The framework’s name for what extraction takes from the commons-side —</w:t>
      </w:r>
      <w:r>
        <w:t xml:space="preserve"> </w:t>
      </w:r>
      <w:r>
        <w:rPr>
          <w:i/>
          <w:iCs/>
        </w:rPr>
        <w:t xml:space="preserve">Residual Commons Value</w:t>
      </w:r>
      <w:r>
        <w:t xml:space="preserve"> </w:t>
      </w:r>
      <w:r>
        <w:t xml:space="preserve">— assembles three loaded sub-choices, and each carries a tradition the term means to honor rather than a coinage the framework invented.</w:t>
      </w:r>
      <w:r>
        <w:t xml:space="preserve"> </w:t>
      </w:r>
      <w:r>
        <w:rPr>
          <w:i/>
          <w:iCs/>
        </w:rPr>
        <w:t xml:space="preserve">Residual</w:t>
      </w:r>
      <w:r>
        <w:t xml:space="preserve"> </w:t>
      </w:r>
      <w:r>
        <w:t xml:space="preserve">is the resource-economics word for what is left after standard accounting has priced what standard accounting prices. John Hartwick’s 1977 rule for sustainable extraction worked the residual side of exhaustible-resource economics: the rents that accrue to extraction are owed forward as residual obligations to future generations. The framework’s residual is in that family — it is what remains to be priced after market revenue and standard externality-accounting have done their work, not a substitute for either.</w:t>
      </w:r>
      <w:r>
        <w:t xml:space="preserve"> </w:t>
      </w:r>
      <w:r>
        <w:rPr>
          <w:i/>
          <w:iCs/>
        </w:rPr>
        <w:t xml:space="preserve">Commons</w:t>
      </w:r>
      <w:r>
        <w:t xml:space="preserve"> </w:t>
      </w:r>
      <w:r>
        <w:t xml:space="preserve">is the institutional-form word, and the framework uses it in Elinor Ostrom’s specific sense: a commons is a resource governed by — or extracted from — a community of users with a structural relation to the resource. Alternatives were available.</w:t>
      </w:r>
      <w:r>
        <w:t xml:space="preserve"> </w:t>
      </w:r>
      <w:r>
        <w:rPr>
          <w:i/>
          <w:iCs/>
        </w:rPr>
        <w:t xml:space="preserve">Resource</w:t>
      </w:r>
      <w:r>
        <w:t xml:space="preserve"> </w:t>
      </w:r>
      <w:r>
        <w:t xml:space="preserve">would have been generic;</w:t>
      </w:r>
      <w:r>
        <w:t xml:space="preserve"> </w:t>
      </w:r>
      <w:r>
        <w:rPr>
          <w:i/>
          <w:iCs/>
        </w:rPr>
        <w:t xml:space="preserve">public good</w:t>
      </w:r>
      <w:r>
        <w:t xml:space="preserve"> </w:t>
      </w:r>
      <w:r>
        <w:t xml:space="preserve">would have implied non-rivalrous and non-excludable, which the commons-under-extraction precisely is not;</w:t>
      </w:r>
      <w:r>
        <w:t xml:space="preserve"> </w:t>
      </w:r>
      <w:r>
        <w:rPr>
          <w:i/>
          <w:iCs/>
        </w:rPr>
        <w:t xml:space="preserve">natural capital</w:t>
      </w:r>
      <w:r>
        <w:t xml:space="preserve"> </w:t>
      </w:r>
      <w:r>
        <w:t xml:space="preserve">would have collapsed the institutional question into a financial-asset register the framework specifically avoids.</w:t>
      </w:r>
      <w:r>
        <w:t xml:space="preserve"> </w:t>
      </w:r>
      <w:r>
        <w:rPr>
          <w:i/>
          <w:iCs/>
        </w:rPr>
        <w:t xml:space="preserve">Value</w:t>
      </w:r>
      <w:r>
        <w:t xml:space="preserve"> </w:t>
      </w:r>
      <w:r>
        <w:t xml:space="preserve">is the third deliberate choice. Mariana Mazzucato distinguishes value created from value extracted; the framework’s value is what the commons creates over time for the parties who depend on it — a value extraction takes without paying for. Cost would have inverted the sign and routed through the cost-bearer side of the ledger; wealth would have collapsed into commodity-finance vocabulary; worth would have been too qualitative to dollar-denominate. The three components converge: what is left after standard accounting (Hartwick), priced from the commons-side rather than the extractor-side (Ostrom), in the value-as-created register that names what extraction has been taking without paying (Mazzucato). The term is the convergence.</w:t>
      </w:r>
    </w:p>
    <w:p>
      <w:pPr>
        <w:pStyle w:val="BodyText"/>
      </w:pPr>
      <w:r>
        <w:t xml:space="preserve">Three additions, each consequential.</w:t>
      </w:r>
    </w:p>
    <w:p>
      <w:pPr>
        <w:pStyle w:val="BodyText"/>
      </w:pPr>
      <w:r>
        <w:t xml:space="preserve">Substitutability-weighting. Standard externality analysis prices damage when damage occurs. A ton of coal emits a certain quantity of CO₂; the CO₂ does damage D; the external cost is D. The calculation is time-of-damage. What this misses is the counterfactual that every future generation faces: if the resource had been left in the ground until a substitute existed, the damage would not have been done at all. Foreclosure cost — the cost of having extracted early, weighted by the probability that no substitute exists at each future time — is a category standard externality analysis does not have. Standard externality pricing charges the extractor for carbon emissions, health damage, and environmental remediation. It does not charge the option value lost when a resource was burned before its substitute existed. The substitutability function is the instrument that translates that counterfactual into a quantity.</w:t>
      </w:r>
    </w:p>
    <w:p>
      <w:pPr>
        <w:pStyle w:val="BodyText"/>
      </w:pPr>
      <w:r>
        <w:t xml:space="preserve">The substitutability-weighting addition has a formal precedent worth naming. Hotelling’s 1931 exhaustible-resource economics prices the rent rule for private extraction of finite resources but does not price the option-value of leaving resources in situ for future generations. Pigou’s externality framework prices the harm extraction does to third parties — pollution, health damage, environmental cost — but does not price that option-value either. Each tradition does what it does well, but neither alone prices what commons-extraction actually costs when both extraction-rent dynamics and ongoing harm-to-others operate simultaneously. The Hotelling Identity is the framework’s bridge: per-unit Residual Commons Value minus per-unit standard Hotelling rent equals per-unit Cost Severance — commons-extraction cost is precisely the residual value beyond standard Hotelling rent under honest accounting. It does not replace either tradition; it formalizes what each leaves out.</w:t>
      </w:r>
    </w:p>
    <w:p>
      <w:pPr>
        <w:pStyle w:val="BodyText"/>
      </w:pPr>
      <w:r>
        <w:t xml:space="preserve">Integrated architecture. Standard practice treats foreclosure, externalities, community disruption, intergenerational equity, and epistemic loss as separate concerns governed by separate methods. Each has its own literature, its own measurement conventions, its own reviewers. What no single existing method delivers is a formula that integrates them — one expression whose output is the total cost severance for a given extraction, with each component contributing additively under a shared set of gates. The RCV integrand</w:t>
      </w:r>
      <w:r>
        <w:t xml:space="preserve"> </w:t>
      </w: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oMath>
      <w:r>
        <w:t xml:space="preserve"> </w:t>
      </w:r>
      <w:r>
        <w:t xml:space="preserve">unites the foreclosure and externality terms; the general form extends the sum to any additional cost term that passes the framework’s gates. This is not a replacement for the component methods. It is a synthesis that lets analysts produce a single number when a single number is what a decision requires — a reclamation bond, a remediation fund, a severance levy — and that lets them show, transparently, how the components contribute.</w:t>
      </w:r>
    </w:p>
    <w:p>
      <w:pPr>
        <w:pStyle w:val="BodyText"/>
      </w:pPr>
      <w:r>
        <w:t xml:space="preserve">The Commons Inversion Test. Standard externality analysis prices what the analyst has already decided to price. The category of costs is inherited; the question is only how much. What the book adds is a discovery method. The Commons Inversion Test asks, of any proposed cost, whether the same physical extraction would still impose it if the underlying resource were non-scarce. If yes, the cost is intrinsic to the activity, not a cost of extraction; it does not enter the RCV. If no, the cost is a scarcity-grounded intergenerational claim and belongs in the integrand. This gives analysts a way to discover previously unpriced costs — or to rule out costs that are attention-capturing but not structural — before committing numbers to them. The Commons Inversion Test is the methodology that makes the framework generative: new variables can be added as the test reveals them, each arriving with its own worked reasoning rather than by assertion.</w:t>
      </w:r>
    </w:p>
    <w:p>
      <w:pPr>
        <w:pStyle w:val="BodyText"/>
      </w:pPr>
      <w:r>
        <w:t xml:space="preserve">Apply the three additions to the working cases.</w:t>
      </w:r>
    </w:p>
    <w:p>
      <w:pPr>
        <w:pStyle w:val="BodyText"/>
      </w:pPr>
      <w:r>
        <w:t xml:space="preserve">McDowell County coal. Under standard Pigouvian accounting, price health, environmental damage, and carbon — a number that, under $190/ton CO₂, lands around $449 to $464 per ton of coal. RCV adds the foreclosure term (what 1960 coal extracted from 2020’s renewable alternatives, weighted by substitutability) and lets the Commons Inversion Test probe the community-disruption costs — those Chapter 2 named qualitatively and this chapter’s bottom-up walkthrough priced at $5 to $15 per ton — that Pigouvian accounting treats as separate policy questions rather than as components of the extraction’s true cost. Same case. Same historical data. Larger, more complete number.</w:t>
      </w:r>
    </w:p>
    <w:p>
      <w:pPr>
        <w:pStyle w:val="BodyText"/>
      </w:pPr>
      <w:r>
        <w:t xml:space="preserve">Deepwater Horizon. Under pure Pigouvian accounting, the per-barrel external cost is the documented cleanup plus restoration plus lost-ecosystem services — the $65 billion of Chapter 5’s enumeration. Under RCV, that figure is the E term; the foreclosure term adds the lost optionality of extracting later at better substitutability and with better spill-prevention technology; and the Commons Inversion Test surfaces the Gulf-fishery community-disruption cost that standard Pigouvian analysis, organized by pollutant and by medium, does not naturally capture. The two numbers are not in conflict. The RCV number is larger because it integrates more of what was severed.</w:t>
      </w:r>
    </w:p>
    <w:p>
      <w:pPr>
        <w:pStyle w:val="BodyText"/>
      </w:pPr>
      <w:r>
        <w:t xml:space="preserve">Libby, Montana. The methodological point lands sharpest here. Standard externality accounting produces a medical-damage figure for asbestos-related illness and a remediation figure for the physical mine site. Under RCV, those costs enter as the E term; the Commons Inversion Test then surfaces the foreclosure cost associated with the destruction of Libby itself as a functioning town — the community-disruption variable — and the downstream lineage labor cost borne by families whose caregiving decades were restructured around asbestos-related illness. Standard Pigouvian analysis has no principled reason to exclude these costs; it simply has no method for including them. RCV has a method.</w:t>
      </w:r>
    </w:p>
    <w:p>
      <w:pPr>
        <w:pStyle w:val="BodyText"/>
      </w:pPr>
      <w:r>
        <w:t xml:space="preserve">The three additions are real, and the framework is non-trivial relative to the tradition it grew from. It is not a rejection of externality economics. It is an extension.</w:t>
      </w:r>
    </w:p>
    <w:p>
      <w:r>
        <w:pict>
          <v:rect style="width:0;height:1.5pt" o:hralign="center" o:hrstd="t" o:hr="t"/>
        </w:pict>
      </w:r>
    </w:p>
    <w:bookmarkEnd w:id="27"/>
    <w:bookmarkStart w:id="29" w:name="what-the-chapter-leaves-for-later"/>
    <w:p>
      <w:pPr>
        <w:pStyle w:val="Heading3"/>
      </w:pPr>
      <w:r>
        <w:t xml:space="preserve">What the Chapter Leaves for Later</w:t>
      </w:r>
    </w:p>
    <w:p>
      <w:pPr>
        <w:pStyle w:val="FirstParagraph"/>
      </w:pPr>
      <w: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framework’s full cost-decomposition — resource-specific rather than resource-general — to show what the computed gap looks like when it is not aggregated, abstracted, or dissolved in policy language.</w:t>
      </w:r>
    </w:p>
    <w:p>
      <w:pPr>
        <w:pStyle w:val="BodyText"/>
      </w:pPr>
      <w:r>
        <w:t xml:space="preserve">This chapter has done the mathematics. The next chapter tests whether the mathematics is universal. The chapter after that makes the number concrete for one extraction we have followed from the book’s beginning.</w:t>
      </w:r>
    </w:p>
    <w:p>
      <w:pPr>
        <w:pStyle w:val="BodyText"/>
      </w:pPr>
      <w:r>
        <w:t xml:space="preserve">A methodological apparatus the chapter has not formally introduced is the framework’s decision-rule under deep uncertainty. Standard policy-evaluation methodology is some variant of Cost-Benefit Analysis, which performs well when costs and benefits are symmetrically reversible, expected values are reliable, and the time-horizon is short. Commons-extraction decisions violate all three conditions: irreversible commons-loss cannot be undone, expected values are subject to deep uncertainty over century-scale horizons, and the asymmetry between extracting (mostly irreversible) and not-extracting (revisitable) makes the regret structure asymmetric in a way CBA does not capture. The framework’s response is the Asymmetric Regret Rule, which specializes Savage 1951’s minimax-regret discipline to commons-extraction decisions where one direction of regret is commons-extinction. The rule does not replace CBA where CBA performs well; it specializes for the case-class where CBA’s symmetry assumption fails. The Technical Appendix carries the formal specification (</w:t>
      </w:r>
      <w:hyperlink r:id="rId28">
        <w:r>
          <w:rPr>
            <w:rStyle w:val="Hyperlink"/>
          </w:rPr>
          <w:t xml:space="preserve">§8, Asymmetric Regret Rule</w:t>
        </w:r>
      </w:hyperlink>
      <w:r>
        <w:t xml:space="preserve">), with empirical evidence from Method 3 (Scarcity-Adjusted Option Value) demonstrating the rule’s prescriptions hold across the documented case library. Chapter 9’s policy economy applies the rule to specific decisions.</w:t>
      </w:r>
    </w:p>
    <w:p>
      <w:pPr>
        <w:pStyle w:val="BodyText"/>
      </w:pPr>
      <w:r>
        <w:t xml:space="preserve">The framework’s choice of</w:t>
      </w:r>
      <w:r>
        <w:t xml:space="preserve"> </w:t>
      </w:r>
      <w:r>
        <w:rPr>
          <w:i/>
          <w:iCs/>
        </w:rPr>
        <w:t xml:space="preserve">Asymmetric Regret Rule</w:t>
      </w:r>
      <w:r>
        <w:t xml:space="preserve"> </w:t>
      </w:r>
      <w:r>
        <w:t xml:space="preserve">as the name for its decision-rule under deep uncertainty defends at the name level on two distinctions. The</w:t>
      </w:r>
      <w:r>
        <w:t xml:space="preserve"> </w:t>
      </w:r>
      <w:r>
        <w:rPr>
          <w:i/>
          <w:iCs/>
        </w:rPr>
        <w:t xml:space="preserve">regret</w:t>
      </w:r>
      <w:r>
        <w:t xml:space="preserve"> </w:t>
      </w:r>
      <w:r>
        <w:t xml:space="preserve">(rather than</w:t>
      </w:r>
      <w:r>
        <w:t xml:space="preserve"> </w:t>
      </w:r>
      <w:r>
        <w:rPr>
          <w:i/>
          <w:iCs/>
        </w:rPr>
        <w:t xml:space="preserve">risk</w:t>
      </w:r>
      <w:r>
        <w:t xml:space="preserve">) choice reflects that under deep uncertainty over century-scale horizons, the probabilities expected-utility risk would require are not knowable; Savage 1951’s minimax-regret discipline, which the framework specializes, operates without them. The</w:t>
      </w:r>
      <w:r>
        <w:t xml:space="preserve"> </w:t>
      </w:r>
      <w:r>
        <w:rPr>
          <w:i/>
          <w:iCs/>
        </w:rPr>
        <w:t xml:space="preserve">asymmetric</w:t>
      </w:r>
      <w:r>
        <w:t xml:space="preserve"> </w:t>
      </w:r>
      <w:r>
        <w:t xml:space="preserve">(rather than</w:t>
      </w:r>
      <w:r>
        <w:t xml:space="preserve"> </w:t>
      </w:r>
      <w:r>
        <w:rPr>
          <w:i/>
          <w:iCs/>
        </w:rPr>
        <w:t xml:space="preserve">one-sided</w:t>
      </w:r>
      <w:r>
        <w:t xml:space="preserve">) choice reflects the specific structural feature commons-extinction produces: one direction’s regret is unbounded (commons-extinction is loss of access that cannot be recovered at any cost), and the other direction’s regret is bounded (foregone extraction revenue across a fixed time horizon). The framework joins the regret-theory tradition and names what its specialization adds: the asymmetry the irreversibility of commons-extinction produces.</w:t>
      </w:r>
    </w:p>
    <w:p>
      <w:pPr>
        <w:pStyle w:val="BodyText"/>
      </w:pPr>
      <w:r>
        <w:t xml:space="preserve">Three methods. Different foundations. Same direction. When markets do not price what honest accounting prices, the difference is not a rounding error. It is the subsidy by which the entire extraction economy runs.</w:t>
      </w:r>
    </w:p>
    <w:p>
      <w:pPr>
        <w:pStyle w:val="BodyText"/>
      </w:pPr>
      <w:r>
        <w:t xml:space="preserve">— End of Chapter 6 —</w:t>
      </w:r>
    </w:p>
    <w:bookmarkEnd w:id="29"/>
    <w:bookmarkEnd w:id="30"/>
    <w:bookmarkEnd w:id="31"/>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_rels/footnotes.xml.rels><?xml version="1.0" encoding="UTF-8"?><Relationships xmlns="http://schemas.openxmlformats.org/package/2006/relationships"><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2026-05-18T20:38:44Z</dcterms:created>
  <dcterms:modified xsi:type="dcterms:W3CDTF">2026-05-18T20:38:44Z</dcterms:modified>
</cp:coreProperties>
</file>

<file path=docProps/custom.xml><?xml version="1.0" encoding="utf-8"?>
<Properties xmlns="http://schemas.openxmlformats.org/officeDocument/2006/custom-properties" xmlns:vt="http://schemas.openxmlformats.org/officeDocument/2006/docPropsVTypes"/>
</file>