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the-accountability-gap"/>
    <w:p>
      <w:pPr>
        <w:pStyle w:val="Heading1"/>
      </w:pPr>
      <w:r>
        <w:t xml:space="preserve">The Accountability Gap</w:t>
      </w:r>
    </w:p>
    <w:bookmarkStart w:id="20" w:name="libby"/>
    <w:p>
      <w:pPr>
        <w:pStyle w:val="Heading2"/>
      </w:pPr>
      <w:r>
        <w:t xml:space="preserve">Libby</w:t>
      </w:r>
    </w:p>
    <w:p>
      <w:pPr>
        <w:pStyle w:val="FirstParagraph"/>
      </w:pPr>
      <w:r>
        <w:t xml:space="preserve">W. R. Grace and Company ran a vermiculite mine outside Libby, Montana, from 1963 to 1990. For most of those twenty-seven years the operation supplied roughly eighty percent of the world’s vermiculite, a light, fire-resistant mineral that the company processed into Zonolite-brand insulation. Zonolite went into an estimated thirty-five million American homes. It was also sold as a soil conditioner, scattered across gardens and ball fields. The mine produced about one hundred million dollars in revenue across its working life. By the ordinary measures of a regional industry, it was a modest success.</w:t>
      </w:r>
    </w:p>
    <w:p>
      <w:pPr>
        <w:pStyle w:val="BodyText"/>
      </w:pPr>
      <w:r>
        <w:t xml:space="preserve">The vermiculite at the Libby deposit was contaminated with tremolite, a particularly lethal form of asbestos. Internal company documents, released years later during litigation, showed that Grace had identified the contamination as early as 1963 and had measured the exposure levels its workers were absorbing throughout the mine’s operation. The dust traveled home on coveralls. It drifted off the processing piles into town. Children played in it.</w:t>
      </w:r>
    </w:p>
    <w:p>
      <w:pPr>
        <w:pStyle w:val="BodyText"/>
      </w:pPr>
      <w:r>
        <w:t xml:space="preserve">The numbers on the other side of the ledger are not modest. More than four hundred Libby residents have died of asbestos-related disease. Roughly three thousand have been diagnosed with lung abnormalities consistent with asbestos exposure. The local mortality rate from asbestosis runs forty to eighty times the national average. The Environmental Protection Agency eventually declared the entire town a public health emergency, the first time the agency had ever issued such a declaration for a man-made disaster. When the documented costs are totaled across medical care, environmental remediation, legal settlements, lost property values, and the health monitoring that will continue for decades, they exceed four billion dollars. Against one hundred million dollars in lifetime revenue, that is a ratio of forty to one. For every dollar the mine earned, the surrounding world absorbed at least forty in damage.</w:t>
      </w:r>
    </w:p>
    <w:p>
      <w:pPr>
        <w:pStyle w:val="BodyText"/>
      </w:pPr>
      <w:r>
        <w:t xml:space="preserve">W. R. Grace declared bankruptcy in 2001. Its assets were reorganized, its shareholders and executives moved on. In 2005 a federal grand jury indicted the company and seven of its senior executives, by name and by role, on charges of conspiring to violate the Clean Air Act and to obstruct the federal investigation. It was the largest environmental criminal prosecution in American history to that point. In 2009, after a trial that lasted thirteen weeks, every defendant was acquitted.</w:t>
      </w:r>
    </w:p>
    <w:p>
      <w:pPr>
        <w:pStyle w:val="BodyText"/>
      </w:pPr>
      <w:r>
        <w:t xml:space="preserve">The acquittal did not mean the contamination had not happened. It did not mean the executives had not known. It did not mean the forty-to-one ratio was a fiction. It meant that the criminal-law machinery available to the prosecution was not built to reach a harm assembled out of thousands of small decisions spread across thirty years. Criminal law looks for an act, an intent, a moment. What happened at Libby was not a moment. It was an architecture. The cost of the vermiculite was severed from its revenue and lodged in the lungs of the people who lived nearest the mine, and the law could find no single hand to hold to it.</w:t>
      </w:r>
    </w:p>
    <w:bookmarkEnd w:id="20"/>
    <w:bookmarkStart w:id="21" w:name="the-pattern-across-cases"/>
    <w:p>
      <w:pPr>
        <w:pStyle w:val="Heading2"/>
      </w:pPr>
      <w:r>
        <w:t xml:space="preserve">The pattern across cases</w:t>
      </w:r>
    </w:p>
    <w:p>
      <w:pPr>
        <w:pStyle w:val="FirstParagraph"/>
      </w:pPr>
      <w:r>
        <w:t xml:space="preserve">What happened at Libby is not an anomaly of one bad company in one isolated valley. It is the visible form of a mechanism that recurs across industries, geographies, and decades. Call it cost severance: the structural separation of the party that captures the value of an activity from the party that absorbs its costs, where the second party has less power than the first to refuse the transfer. It is more than what economists call an externality. An externality names a cost that falls outside a transaction; cost severance names the legal architecture that put it there, and the power asymmetry that keeps the cost-bearer from refusing it. Once the mechanism has a name, it becomes easy to see how often it operates.</w:t>
      </w:r>
    </w:p>
    <w:p>
      <w:pPr>
        <w:pStyle w:val="BodyText"/>
      </w:pPr>
      <w:r>
        <w:t xml:space="preserve">On April 20, 2010, the Deepwater Horizon drilling platform exploded at the Macondo well in the Gulf of Mexico. Eleven workers were killed. Over the following eighty-seven days the well released 4.9 million barrels of oil. In the five years before the blowout, British Petroleum had earned about sixty billion dollars from its Gulf operations. The total documented cost of the disaster, counting roughly twenty-one billion dollars in federal and state fines, a compensation fund of about twenty billion for affected businesses and individuals, and the rest in cleanup and litigation, came to somewhere between sixty and sixty-five billion dollars for BP. But the aggregate economic loss ran far higher. The National Oceanic and Atmospheric Administration estimated billions of oysters and trillions of newly hatched fish killed, tens of thousands of birds and sea turtles dead, more than seven billion dollars in lost tourism over three years, and roughly twelve billion in coastal property-value declines. Academic, insurance-industry, and federal sources put total losses above one hundred fifty billion dollars. BP paid about sixty. The gap between what was lost and what was recovered is the accountability gap, and at Deepwater it can be measured: the disaster paid forty percent of its cost. The honest target is the full hundred, not because every activity whose costs exceed its revenue must stop, but because the party that captures the value, not the party downstream of it, should be the one to decide whether the activity is worth continuing once the full cost sits on its own books.</w:t>
      </w:r>
    </w:p>
    <w:p>
      <w:pPr>
        <w:pStyle w:val="BodyText"/>
      </w:pPr>
      <w:r>
        <w:t xml:space="preserve">The legal architecture, not the contamination, set that figure. BP’s 2018 settlement with the Mexican federal government, for damage along a coastline that does not respect national borders, came to about twenty-five million dollars, three orders of magnitude smaller than its American settlements for comparable harm per mile of coast. The oil did not distinguish between the two countries. The legal systems did. The United States had the Oil Pollution Act of 1990, a developed tort regime, and a class-action infrastructure capable of forcing a settlement. Mexico had far weaker tools for pressing claims against a foreign corporation. The asymmetry in payment tracks the asymmetry in legal power, not the asymmetry in injury.</w:t>
      </w:r>
    </w:p>
    <w:p>
      <w:pPr>
        <w:pStyle w:val="BodyText"/>
      </w:pPr>
      <w:r>
        <w:t xml:space="preserve">The mechanism does not require an explosion or a mine. It can run through a financial instrument. Beginning in the late 1970s, American workers were moved off defined-benefit pensions and onto the 401(k), an account structure that shifted retirement risk from employers onto individuals. Over the following decades, the assets in those accounts came to hold mortgage-backed securities and collateralized debt obligations, packaged into the mutual funds and target-date funds that ordinary savers were told were prudent. The subprime origination machine that fed those securities paid its brokers by volume rather than by whether the loans were repaid. Disclosed terms differed materially from contract terms. Adjustable-rate products were marketed, by the industry’s own later acknowledgment, to borrowers who were not expected to understand how the rate resets would work. When the structure failed, the Federal Reserve extended sixteen trillion dollars in cumulative emergency lending, by the Government Accountability Office’s 2011 audit, and the Treasury committed seven hundred billion through the Troubled Asset Relief Program. Around ten million households received foreclosure filings between 2008 and 2012, and about five million lost their homes. The Financial Crisis Inquiry Commission concluded in 2011 that the collapse was the result of</w:t>
      </w:r>
      <w:r>
        <w:t xml:space="preserve"> </w:t>
      </w:r>
      <w:r>
        <w:t xml:space="preserve">“</w:t>
      </w:r>
      <w:r>
        <w:t xml:space="preserve">human action and inaction, not forces beyond human control.</w:t>
      </w:r>
      <w:r>
        <w:t xml:space="preserve">”</w:t>
      </w:r>
    </w:p>
    <w:p>
      <w:pPr>
        <w:pStyle w:val="BodyText"/>
      </w:pPr>
      <w:r>
        <w:t xml:space="preserve">It is sometimes said that TARP cost the public nothing, since most of its direct outlays were recovered through repayments and asset sales. The accounting is correct and the conclusion is beside the point. TARP is the wrong unit of measure. The cost severed onto the public was not the rescue of the banks. It was the unrecovered welfare lost by the ten million households that received foreclosure filings, the workers displaced when regional economies contracted, and the slower erosion of trust in the institutions that were supposed to police the system. Those losses were never repaid, because no instrument existed to repay them.</w:t>
      </w:r>
    </w:p>
    <w:p>
      <w:pPr>
        <w:pStyle w:val="BodyText"/>
      </w:pPr>
      <w:r>
        <w:t xml:space="preserve">There is a counter-history that suggests the distribution of the loss was a choice. When Sweden faced banking collapse in the 1930s, it devalued the krona in 1931, paired its 1933 bank rescue with mortgage-modification programs that kept people in their homes, ran public-works employment through the middle of the decade, and in 1938 institutionalized a durable welfare-state settlement at Saltsjöbaden. The crisis was comparable in kind. The distribution of who absorbed the cost was not.</w:t>
      </w:r>
    </w:p>
    <w:p>
      <w:pPr>
        <w:pStyle w:val="BodyText"/>
      </w:pPr>
      <w:r>
        <w:t xml:space="preserve">The mechanism can also run through time rather than space, and through statute rather than fraud. Social Security was designed in 1935 as a pay-as-you-go system: current workers fund current retirees, and surpluses are held in special-issue Treasury bonds. The design was sound for the demography of its era. But the baby-boom generation began reaching retirement age around 2008, the program’s outflow exceeded its inflow by 2021, and the trust fund is projected to be depleted in 2033. After that, absent congressional action, the program can pay about seventy-seven percent of promised benefits. The foregone return embedded in this arrangement, the difference between what the contributions might have compounded into and what the pay-as-you-go structure preserved, runs into the tens of trillions of dollars, an order of magnitude above the program’s current trust-fund balance. The benefit of expanding the program accrued to the workers and retirees of the mid-century decades; the cost of the demographic shortfall falls on a younger cohort that was never asked whether it consented to bear it. The transfer is no less real for being slow.</w:t>
      </w:r>
    </w:p>
    <w:p>
      <w:pPr>
        <w:pStyle w:val="BodyText"/>
      </w:pPr>
      <w:r>
        <w:t xml:space="preserve">The same shape appears wherever one looks for it. American medical financing has come to rely on charitable appeals: between 2011 and 2020 the annual number of medical fundraising campaigns on GoFundMe grew twenty-five-fold, until more than a third of all campaigns on the platform were for medical expenses, even as only a small fraction reached their goals and campaigns organized under distinctively Black or Hispanic surnames raised measurably less. The platform’s own chief executive has said it was never designed to be a healthcare system. Far away, in Baotou, Inner Mongolia, the refining of roughly sixty percent of the world’s rare-earth elements, the metals inside nearly every advanced device on Earth, produces about ten tons of toxic and radioactive wastewater per ton of oxide, and has left farmland within a ten-kilometer radius unusable. The consumer at the far end of that supply chain is not a villain. He is a structural participant in a transfer he cannot see. In each case the surface details differ. The mechanism is the same.</w:t>
      </w:r>
    </w:p>
    <w:bookmarkEnd w:id="21"/>
    <w:bookmarkStart w:id="22" w:name="Xa07559d472580eac9b1fcb90d9825e308a0b3c9"/>
    <w:p>
      <w:pPr>
        <w:pStyle w:val="Heading2"/>
      </w:pPr>
      <w:r>
        <w:t xml:space="preserve">Why the existing architecture cannot reach this</w:t>
      </w:r>
    </w:p>
    <w:p>
      <w:pPr>
        <w:pStyle w:val="FirstParagraph"/>
      </w:pPr>
      <w:r>
        <w:t xml:space="preserve">If cost severance were a series of accidents, the law would have a tool for each one. The recurrence across such different settings suggests something else: that the legal architecture itself is built to permit the severance, not to prevent it.</w:t>
      </w:r>
    </w:p>
    <w:p>
      <w:pPr>
        <w:pStyle w:val="BodyText"/>
      </w:pPr>
      <w:r>
        <w:t xml:space="preserve">Katharina Pistor’s account of capital is the clearest way to see this. In</w:t>
      </w:r>
      <w:r>
        <w:t xml:space="preserve"> </w:t>
      </w:r>
      <w:r>
        <w:rPr>
          <w:iCs/>
          <w:i/>
        </w:rPr>
        <w:t xml:space="preserve">The Code of Capital</w:t>
      </w:r>
      <w:r>
        <w:t xml:space="preserve"> </w:t>
      </w:r>
      <w:r>
        <w:t xml:space="preserve">she argues that capital is not a substance but a legal artifact, that an ordinary asset becomes capital only when the law endows it with particular attributes through a handful of modules: property, collateral, trust, the corporate veil, bankruptcy, and choice of law. These are the instruments lawyers use to make wealth durable, to shield it, to prioritize its claims, and to move it across jurisdictions. They are not flaws in the system. They are the system, working as designed.</w:t>
      </w:r>
    </w:p>
    <w:p>
      <w:pPr>
        <w:pStyle w:val="BodyText"/>
      </w:pPr>
      <w:r>
        <w:t xml:space="preserve">Read through Pistor’s modules, the Libby acquittal stops looking like a failure of prosecution and starts looking like a feature of the code. The corporate veil separates the people who made decisions from liability for the decisions. Bankruptcy reorganized W. R. Grace and discharged claims while the underlying asbestos kept doing its work. The criminal law, sitting on the surface, could not reach a harm distributed across decades because the legal architecture beneath it had already been arranged so that no individual could be made to answer for the whole. The deeper finding is not that one jury got it wrong. It is that the architecture was built to protect capital, not to internalize the costs that capital sheds.</w:t>
      </w:r>
    </w:p>
    <w:p>
      <w:pPr>
        <w:pStyle w:val="BodyText"/>
      </w:pPr>
      <w:r>
        <w:t xml:space="preserve">The arrangement does not maintain itself by accident. The tradition of public-choice analysis associated with James Buchanan and Gordon Tullock supplies the complementary lens: rules are made by people who benefit from them, and concentrated interests will spend to shape the rules in their favor when the costs are diffuse enough that no one on the other side has the incentive to resist. The history bears it out. W. R. Grace lobbied to delay the EPA’s regulatory action on asbestos. The Minerals Management Service, the agency that was supposed to oversee offshore drilling before Deepwater, had been so captured by the industry it regulated that it was dismantled and reorganized after the spill. Cost-severance accounting does not replace this analysis. It prices what the rent-seeking buys. The lobbying delay and the regulatory capture are the mechanisms by which the gap is held open; the accounting names what the gap costs.</w:t>
      </w:r>
    </w:p>
    <w:p>
      <w:pPr>
        <w:pStyle w:val="BodyText"/>
      </w:pPr>
      <w:r>
        <w:t xml:space="preserve">There is one corner of the system that almost works, and its near-success is instructive. The Federal Black Lung Benefits Program has paid out about forty-four billion dollars over half a century to coal miners disabled by their work. It is financed largely by an excise tax on coal extraction, written into the Internal Revenue Code, which is to say the value-extracting side of the activity is structurally tagged to fund the cost-bearing side. That is the right design. But the program’s trust fund carried roughly 5.1 billion dollars in outstanding debt as of September 2024, and that shortfall is covered by general taxation rather than by the extraction value the program was built to track. The design points one way; the financing drifts the other. Reclamation bonds, posted by mining companies to guarantee that they restore the land they disturb, tell a similar story: they routinely fall four to six billion dollars short of the actual cost of reclamation. The architecture knows how to tag cost to value. It simply does so incompletely, and the incompleteness is where the severance lives. The prices the architecture produces are not natural facts but products of how the code is written, a point Brett Christophers develops at length in</w:t>
      </w:r>
      <w:r>
        <w:t xml:space="preserve"> </w:t>
      </w:r>
      <w:r>
        <w:rPr>
          <w:iCs/>
          <w:i/>
        </w:rPr>
        <w:t xml:space="preserve">The Price is Wrong</w:t>
      </w:r>
      <w:r>
        <w:t xml:space="preserve">.</w:t>
      </w:r>
    </w:p>
    <w:bookmarkEnd w:id="22"/>
    <w:bookmarkStart w:id="23" w:name="two-directions-of-accountability"/>
    <w:p>
      <w:pPr>
        <w:pStyle w:val="Heading2"/>
      </w:pPr>
      <w:r>
        <w:t xml:space="preserve">Two directions of accountability</w:t>
      </w:r>
    </w:p>
    <w:p>
      <w:pPr>
        <w:pStyle w:val="FirstParagraph"/>
      </w:pPr>
      <w:r>
        <w:t xml:space="preserve">Once cost severance is visible as a structural mechanism rather than a string of misfortunes, the accountability gap resolves into two distinct shapes, and they point in opposite directions in time.</w:t>
      </w:r>
    </w:p>
    <w:p>
      <w:pPr>
        <w:pStyle w:val="BodyText"/>
      </w:pPr>
      <w:r>
        <w:t xml:space="preserve">One direction is backward. Some of the harm has already been realized. The people of Libby are sick or dead. The Gulf ecosystems were poisoned and have only partly recovered. McDowell County, in the West Virginia coalfields, has been hollowed out by an extraction economy that took its value and left its costs. Ten million households received foreclosure filings. These are debts already incurred, on a ledger that has been kept whether or not anyone chose to read it. The question they pose is one of restitution: what is owed for damage that has already happened.</w:t>
      </w:r>
    </w:p>
    <w:p>
      <w:pPr>
        <w:pStyle w:val="BodyText"/>
      </w:pPr>
      <w:r>
        <w:t xml:space="preserve">The other direction is forward. Some of the harm has not yet been realized but is already in motion. The carbon being emitted today will impose costs on people not yet born. The commons being foreclosed now, the stable climate, the unspoiled coastlines, the fisheries, will be unavailable to a generation that had no say in the decision to spend them. The Social Security obligation maturing in the 2030s is a cost a younger cohort will be made to bear without having been asked. The question here is one of foreclosure in the older sense of the word: the barring of a future party from options that are being closed off in the present.</w:t>
      </w:r>
    </w:p>
    <w:p>
      <w:pPr>
        <w:pStyle w:val="BodyText"/>
      </w:pPr>
      <w:r>
        <w:t xml:space="preserve">Naming the two directions does not yet name the instruments that would discharge them. But it clarifies what the instruments would have to do. One would have to reach back and price what was severed. The other would have to reach forward and hold open what is being closed. The accountability gap, properly seen, is bidirectional, and an honest accounting needs a tool for each face.</w:t>
      </w:r>
    </w:p>
    <w:bookmarkEnd w:id="23"/>
    <w:bookmarkStart w:id="24" w:name="the-restitution-bond"/>
    <w:p>
      <w:pPr>
        <w:pStyle w:val="Heading2"/>
      </w:pPr>
      <w:r>
        <w:t xml:space="preserve">The Restitution Bond</w:t>
      </w:r>
    </w:p>
    <w:p>
      <w:pPr>
        <w:pStyle w:val="FirstParagraph"/>
      </w:pPr>
      <w:r>
        <w:t xml:space="preserve">The backward-looking instrument is the Restitution Bond. Its purpose is to make the cost-severance accounting payable: to total the costs that an extraction severed onto a community, set them against the value the extraction captured, and require that the difference be discharged.</w:t>
      </w:r>
    </w:p>
    <w:p>
      <w:pPr>
        <w:pStyle w:val="BodyText"/>
      </w:pPr>
      <w:r>
        <w:t xml:space="preserve">A word on the term. These are bonds in the sense that a contractor or a mining operator posts one: a sum committed in advance to guarantee an obligation is met, and forfeit if it is not. They are not the bonds a saver buys for a return. The reclamation bond and the decommissioning bond are the family the law already uses to make a party answer for a cost before it comes due; the two instruments proposed here extend that family to costs the law does not yet require anyone to post against.</w:t>
      </w:r>
    </w:p>
    <w:p>
      <w:pPr>
        <w:pStyle w:val="BodyText"/>
      </w:pPr>
      <w:r>
        <w:t xml:space="preserve">The methodology for doing this with rigor already exists, and it was not invented for asbestos or oil. It was built by the tradition of reparations economics. Ta-Nehisi Coates set out the argumentative architecture in</w:t>
      </w:r>
      <w:r>
        <w:t xml:space="preserve"> </w:t>
      </w:r>
      <w:r>
        <w:t xml:space="preserve">“</w:t>
      </w:r>
      <w:r>
        <w:t xml:space="preserve">The Case for Reparations</w:t>
      </w:r>
      <w:r>
        <w:t xml:space="preserve">”</w:t>
      </w:r>
      <w:r>
        <w:t xml:space="preserve"> </w:t>
      </w:r>
      <w:r>
        <w:t xml:space="preserve">in 2014: name the mechanism, name the harm, name the debt. William Darity Jr. and A. Kirsten Mullen gave it empirical weight in</w:t>
      </w:r>
      <w:r>
        <w:t xml:space="preserve"> </w:t>
      </w:r>
      <w:r>
        <w:rPr>
          <w:iCs/>
          <w:i/>
        </w:rPr>
        <w:t xml:space="preserve">From Here to Equality</w:t>
      </w:r>
      <w:r>
        <w:t xml:space="preserve"> </w:t>
      </w:r>
      <w:r>
        <w:t xml:space="preserve">in 2020, calculating a cumulative wealth deficit on the order of fourteen trillion dollars and anchoring it to a specific historical record of slavery, sharecropping, redlining, convict leasing, and the discriminatory housing and employment policy that followed. The empirical method beneath that figure was developed by Darrick Hamilton and his collaborators in</w:t>
      </w:r>
      <w:r>
        <w:t xml:space="preserve"> </w:t>
      </w:r>
      <w:r>
        <w:rPr>
          <w:iCs/>
          <w:i/>
        </w:rPr>
        <w:t xml:space="preserve">Umbrellas Don’t Make It Rain</w:t>
      </w:r>
      <w:r>
        <w:t xml:space="preserve"> </w:t>
      </w:r>
      <w:r>
        <w:t xml:space="preserve">in 2015, which used matched comparison, setting the wealth of one group against structurally similar others, to isolate the effect of the structural variable itself. Dalton Conley laid the foundation in</w:t>
      </w:r>
      <w:r>
        <w:t xml:space="preserve"> </w:t>
      </w:r>
      <w:r>
        <w:rPr>
          <w:iCs/>
          <w:i/>
        </w:rPr>
        <w:t xml:space="preserve">Being Black, Living in the Red</w:t>
      </w:r>
      <w:r>
        <w:t xml:space="preserve"> </w:t>
      </w:r>
      <w:r>
        <w:t xml:space="preserve">in 1999, treating wealth as a structural variable rather than a personal achievement. This is the methodological lineage the Restitution Bond draws on. The accounting it requires is the accounting this tradition built.</w:t>
      </w:r>
    </w:p>
    <w:p>
      <w:pPr>
        <w:pStyle w:val="BodyText"/>
      </w:pPr>
      <w:r>
        <w:t xml:space="preserve">The relationship between the Restitution Bond and reparations needs to be stated plainly, because the risk of misreading it runs both ways. Darity and Mullen describe a three-part program: acknowledgment and atonement; redress, which decomposes into symbolic redress and material restitution; and closure. The Restitution Bond is not a renaming of reparations and does not absorb that tradition’s specific historical claim. It is the instrument that operationalizes the material-restitution component of redress, and it extends that operational logic to the broader class of cases where value was extracted and cost was severed: the asbestos at Libby, the black lung in the coalfields, the hollowing of McDowell County, the poisoning of extraction zones from the Niger Delta to Baotou. The bond joins the reparations-economics tradition. It does not translate it or rebrand it. The name marks the extension while leaving the original claim intact. The wealth gap that Darity and Mullen documented is not one item in a list of cost-severance cases; it is the claim that taught the method how to count, and extending the method to asbestos and oil takes nothing from it.</w:t>
      </w:r>
    </w:p>
    <w:p>
      <w:pPr>
        <w:pStyle w:val="BodyText"/>
      </w:pPr>
      <w:r>
        <w:t xml:space="preserve">In practice the instrument is concrete. At Libby it would mean totaling the four billion dollars in documented costs, recognizing that this exceeds the mine’s lifetime revenue forty times over, and treating the difference as a debt to be discharged rather than a misfortune to be mourned. The debt would draw first against the residual estate and whatever entities succeeded Grace’s operations. Where the corporate apparatus has dissolved beyond reach, it would draw against a fund posted by the industry that produces structurally similar exposures, on the model of the coal excise tax that already finances black-lung claims. That last step is what lets the instrument reach a harm the bankruptcy was designed to discharge: the obligation attaches to the activity, not only to the firm that has since dissolved. At Deepwater it would mean closing the gap between the sixty billion BP paid and the hundred fifty billion the disaster cost, rather than declaring forty percent recovery a victory. For 2008 it would mean pricing the unrecovered welfare loss to the foreclosed households and displaced workers, the loss that TARP’s repayment ledger conveniently omits, and assigning it to the parties who captured the value of the securities while it lasted. The bond is the form an honest backward-looking accounting takes when it is made into something a society can actually pay.</w:t>
      </w:r>
    </w:p>
    <w:bookmarkEnd w:id="24"/>
    <w:bookmarkStart w:id="25" w:name="the-foreclosure-bond"/>
    <w:p>
      <w:pPr>
        <w:pStyle w:val="Heading2"/>
      </w:pPr>
      <w:r>
        <w:t xml:space="preserve">The Foreclosure Bond</w:t>
      </w:r>
    </w:p>
    <w:p>
      <w:pPr>
        <w:pStyle w:val="FirstParagraph"/>
      </w:pPr>
      <w:r>
        <w:t xml:space="preserve">The forward-looking instrument is the Foreclosure Bond, and the name is chosen with care. Readers will associate foreclosure with the seizure of a mortgaged home, and that association is not wrong, but it sits on top of an older meaning. Foreclosure comes from the Old French</w:t>
      </w:r>
      <w:r>
        <w:t xml:space="preserve"> </w:t>
      </w:r>
      <w:r>
        <w:rPr>
          <w:iCs/>
          <w:i/>
        </w:rPr>
        <w:t xml:space="preserve">forclore</w:t>
      </w:r>
      <w:r>
        <w:t xml:space="preserve">, to bar from, to shut out. The Foreclosure Bond addresses the way present extraction bars a future party from options it will never get to choose. The mortgage sense and the original sense meet in the same instrument: something is being closed off, and someone who is not in the room will bear it.</w:t>
      </w:r>
    </w:p>
    <w:p>
      <w:pPr>
        <w:pStyle w:val="BodyText"/>
      </w:pPr>
      <w:r>
        <w:t xml:space="preserve">This instrument, too, has a lineage, and it is an environmental and philosophical one rather than a legal-historical one. The economist John Hartwick formalized the relevant rule in 1977: if a society extracts an exhaustible resource, sustaining its welfare across generations requires that it invest the rents from that extraction into reproducible capital, so that the depletion is offset rather than simply consumed. The principle already appears, in partial form, throughout existing law. The Surface Mining Control and Reclamation Act of 1977 requires mining operators to post bonds against the restoration of the land. Oil-and-gas decommissioning bonds require operators to set aside funds to plug wells and dismantle platforms at the end of production. These are forward-looking instruments that bar an operator from walking away from a future cost. They are also, as the reclamation-bond shortfall showed, chronically underfunded. The principle is sound; the execution is partial.</w:t>
      </w:r>
    </w:p>
    <w:p>
      <w:pPr>
        <w:pStyle w:val="BodyText"/>
      </w:pPr>
      <w:r>
        <w:t xml:space="preserve">The fullest realization of Hartwick’s rule is Norway’s Government Pension Fund Global. Norway took the rents from its North Sea petroleum and, rather than spending them, channeled them into a sovereign fund that now holds more than two trillion dollars, more than three hundred ninety thousand dollars for every Norwegian citizen. A fiscal rule adopted in 2001 caps annual spending from the fund at roughly the level of its expected real return, leaving the capital itself inviolate. The petroleum will run out. The fund is designed so that the value it represents will not. This is the Foreclosure Bond in working form: a present generation, extracting a finite resource, declining to bar the future from the value of what it spends.</w:t>
      </w:r>
    </w:p>
    <w:p>
      <w:pPr>
        <w:pStyle w:val="BodyText"/>
      </w:pPr>
      <w:r>
        <w:t xml:space="preserve">The philosophical grounding for why a society should do this comes from two traditions BR readers will recognize. Derek Parfit, in</w:t>
      </w:r>
      <w:r>
        <w:t xml:space="preserve"> </w:t>
      </w:r>
      <w:r>
        <w:rPr>
          <w:iCs/>
          <w:i/>
        </w:rPr>
        <w:t xml:space="preserve">Reasons and Persons</w:t>
      </w:r>
      <w:r>
        <w:t xml:space="preserve">, worked out the logic of obligations toward people who do not yet exist, showing that the fact that future persons cannot speak to us now does not dissolve our duties to them. Philip Pettit, in</w:t>
      </w:r>
      <w:r>
        <w:t xml:space="preserve"> </w:t>
      </w:r>
      <w:r>
        <w:rPr>
          <w:iCs/>
          <w:i/>
        </w:rPr>
        <w:t xml:space="preserve">Republicanism</w:t>
      </w:r>
      <w:r>
        <w:t xml:space="preserve">, and Quentin Skinner, in</w:t>
      </w:r>
      <w:r>
        <w:t xml:space="preserve"> </w:t>
      </w:r>
      <w:r>
        <w:rPr>
          <w:iCs/>
          <w:i/>
        </w:rPr>
        <w:t xml:space="preserve">Liberty Before Liberalism</w:t>
      </w:r>
      <w:r>
        <w:t xml:space="preserve">, recovered the older idea of freedom as non-domination: to be free is not merely to be unobstructed but to be free from subjection to another’s arbitrary power, even when that power is not currently being exercised. A future generation is, in the most literal sense, dominated by the present one. It cannot contest the decisions being made on its behalf. It will inherit the foreclosed climate, the spent fisheries, and the unfunded obligation, with no standing to refuse. The Foreclosure Bond is the institutional form of a commitment not to dominate the future: a standing obligation, funded now, that holds the future’s options open rather than spending them in advance.</w:t>
      </w:r>
    </w:p>
    <w:p>
      <w:pPr>
        <w:pStyle w:val="BodyText"/>
      </w:pPr>
      <w:r>
        <w:t xml:space="preserve">Applied to Social Security, the instrument reframes the problem. The recurring debate over how to close the funding gap, whether to raise the retirement age, lift the payroll-tax cap, or trim benefits, treats the question as one of arithmetic. The arithmetic is real and the gap is closeable. But every one of those adjustments transfers the obligation onto the cost-bearing generation. Tractability is not the absence of severance. It is severance proceeding on schedule. A Foreclosure Bond would have required the value extracted in the benefit expansions of the mid-century decades to be funded as it was promised, the way Norway funds its petroleum obligations, rather than left as a claim on a generation that had no vote in the matter. Applied to climate, the logic is identical and the stakes are larger: the carbon spent now forecloses a livable future that no instrument currently requires the present to fund.</w:t>
      </w:r>
    </w:p>
    <w:bookmarkEnd w:id="25"/>
    <w:bookmarkStart w:id="26" w:name="what-an-honest-accounting-requires"/>
    <w:p>
      <w:pPr>
        <w:pStyle w:val="Heading2"/>
      </w:pPr>
      <w:r>
        <w:t xml:space="preserve">What an honest accounting requires</w:t>
      </w:r>
    </w:p>
    <w:p>
      <w:pPr>
        <w:pStyle w:val="FirstParagraph"/>
      </w:pPr>
      <w:r>
        <w:t xml:space="preserve">The accountability gap is not a fact of nature. It is engineered. Pistor’s modules, the public-choice incentives that keep them in place, the bankruptcy that let W. R. Grace walk, the legal asymmetry that let BP pay Mexico three orders of magnitude less than it paid Louisiana: all of these were chosen, written, and maintained. What is engineered can be engineered differently. Norway chose to fund its future and Sweden chose to absorb its crisis fairly, and neither faced an easier problem than the United States faces. They made a different architectural choice on the same kind of problem.</w:t>
      </w:r>
    </w:p>
    <w:p>
      <w:pPr>
        <w:pStyle w:val="BodyText"/>
      </w:pPr>
      <w:r>
        <w:t xml:space="preserve">The two instruments are the form that choice would take. The Restitution Bond prices the harm already done and makes it payable. The Foreclosure Bond prices the harm being set in motion and bars the present from spending the future’s options without funding them. Together they close the gap in both directions, backward and forward, and they do so not by appealing to anyone’s generosity but by making explicit what a society already says it owes. We say no community should be sacrificed for a product sold elsewhere. We say no generation should inherit a bill it had no part in running up. The bonds are simply the instruments that would make those statements something other than rhetoric.</w:t>
      </w:r>
    </w:p>
    <w:p>
      <w:pPr>
        <w:pStyle w:val="BodyText"/>
      </w:pPr>
      <w:r>
        <w:t xml:space="preserve">Return, at the end, to Libby. For the cost severance there to have been priced, the architecture would have had to reach a harm that took thirty years to assemble and that no single person could be made to answer for. The criminal law could not reach it. Bankruptcy let it dissolve. The four billion dollars in cost sits on a ledger that has been kept all along, against one hundred million dollars in revenue, and the difference has simply gone unpaid because no instrument existed to pay it. An honest accounting would not require anyone to invent that ledger. It would require only building the instrument that reads it and settles the account.</w:t>
      </w:r>
    </w:p>
    <w:bookmarkEnd w:id="26"/>
    <w:bookmarkEnd w:id="27"/>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2026-06-03T15:43:54Z</dcterms:created>
  <dcterms:modified xsi:type="dcterms:W3CDTF">2026-06-03T15:43:54Z</dcterms:modified>
</cp:coreProperties>
</file>

<file path=docProps/custom.xml><?xml version="1.0" encoding="utf-8"?>
<Properties xmlns="http://schemas.openxmlformats.org/officeDocument/2006/custom-properties" xmlns:vt="http://schemas.openxmlformats.org/officeDocument/2006/docPropsVTypes"/>
</file>