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ommons-bonds"/>
    <w:p>
      <w:pPr>
        <w:pStyle w:val="Heading1"/>
      </w:pPr>
      <w:r>
        <w:t xml:space="preserve">Commons Bonds</w:t>
      </w:r>
    </w:p>
    <w:bookmarkStart w:id="17" w:name="chapter-5-the-accountability-gap"/>
    <w:p>
      <w:pPr>
        <w:pStyle w:val="Heading2"/>
      </w:pPr>
      <w:r>
        <w:t xml:space="preserve">Chapter 5: The Accountability Gap</w:t>
      </w:r>
    </w:p>
    <w:p>
      <w:pPr>
        <w:pStyle w:val="FirstParagraph"/>
      </w:pPr>
      <w:r>
        <w:t xml:space="preserve">The pattern repeats with such mechanical precision that once you learn to see it, you cannot stop seeing it. A company or institution extracts value from a resource, a community, or a system. The costs generated by that extraction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pPr>
        <w:pStyle w:val="BodyText"/>
      </w:pPr>
      <w:r>
        <w:t xml:space="preserve">The reckoning always comes. The only question is who carries it.</w:t>
      </w:r>
    </w:p>
    <w:p>
      <w:pPr>
        <w:pStyle w:val="BodyText"/>
      </w:pPr>
      <w:r>
        <w:t xml:space="preserve">This chapter traces that pattern across six cases separated by geography, industry, and decades, but united by the same underlying mechanism. A vermiculite mine in Montana. An oil platform in the Gulf of Mexico. A rare earth processing facility in Inner Mongolia. A national financial system’s compressed double-risk-transfer in 2008. The retirement promise that was supposed to be America’s most sacred compact between generations — the Social Security system itself. And the healthcare system that now routes its shortfalls through crowdfunding campaigns and unpaid caregiving labor during the most vulnerable stretches of life.</w:t>
      </w:r>
    </w:p>
    <w:p>
      <w:pPr>
        <w:pStyle w:val="BodyText"/>
      </w:pPr>
      <w:r>
        <w:t xml:space="preserve">Each case tells the same story. The arithmetic is different. The mechanism is identical.</w:t>
      </w:r>
    </w:p>
    <w:p>
      <w:r>
        <w:pict>
          <v:rect style="width:0;height:1.5pt" o:hralign="center" o:hrstd="t" o:hr="t"/>
        </w:pict>
      </w:r>
    </w:p>
    <w:bookmarkStart w:id="9" w:name="libby-montana"/>
    <w:p>
      <w:pPr>
        <w:pStyle w:val="Heading3"/>
      </w:pPr>
      <w:r>
        <w:t xml:space="preserve">Libby, Montana</w:t>
      </w:r>
    </w:p>
    <w:p>
      <w:pPr>
        <w:pStyle w:val="FirstParagraph"/>
      </w:pPr>
      <w: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pPr>
        <w:pStyle w:val="BodyText"/>
      </w:pPr>
      <w:r>
        <w:t xml:space="preserve">What Grace did not advertise — what Grace actively concealed — was that the vermiculite in Libby was contaminated with a particularly lethal form of asbestos.</w:t>
      </w:r>
    </w:p>
    <w:p>
      <w:pPr>
        <w:pStyle w:val="BodyText"/>
      </w:pPr>
      <w: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pPr>
        <w:pStyle w:val="BodyText"/>
      </w:pPr>
      <w:r>
        <w:t xml:space="preserve">And it mined for twenty-seven more years.</w:t>
      </w:r>
    </w:p>
    <w:p>
      <w:pPr>
        <w:pStyle w:val="BodyText"/>
      </w:pPr>
      <w: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pPr>
        <w:pStyle w:val="BodyText"/>
      </w:pPr>
      <w: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extracted, Libby and its residents absorbed forty dollars in costs that Grace never paid.</w:t>
      </w:r>
    </w:p>
    <w:p>
      <w:pPr>
        <w:pStyle w:val="BodyText"/>
      </w:pPr>
      <w:r>
        <w:t xml:space="preserve">W.R. Grace declared bankruptcy in 2001, eleven years after the mine closed. The company’s assets were reorganized. Its shareholders and executives moved on. Libby is still there, still dying, still counting its dead.</w:t>
      </w:r>
    </w:p>
    <w:p>
      <w:pPr>
        <w:pStyle w:val="BodyText"/>
      </w:pPr>
      <w:r>
        <w:t xml:space="preserve">The legal architecture’s response to Libby is itself a case study in cost-severance accounting. In 2005, the United States Department of Justice obtained a federal grand jury indictment of W.R. Grace and seven of its senior executives on charges of conspiracy to violate the Clean Air Act and to obstruct federal investigation of the contamination. The indictment was the largest environmental criminal prosecution in American history at the time, and it named specific executives by name and by role. In 2009, after a thirteen-week trial, all of the defendants were acquitted. The acquittal does not mean the contamination did not happen, that the executives did not know about it, or that the cost severance documented above did not occur. It means the criminal-law architecture available to the prosecution was not structurally suited to the case the prosecution was trying to make. Criminal law prosecutes individual acts, identifiable knowledge of identifiable harm at identifiable moments; cost severance is a structural mechanism that operates across decades through accumulated decisions whose individual-act elements are difficult to isolate at the criminal-knowledge-and-intent threshold. The framework’s accounting does not require the criminal-law standard; it operates at the structural-mechanism level the criminal law could not reach. Libby’s full record is the cost severance the framework’s accounting names; the criminal acquittal is evidence that the existing legal architecture was not built to recognize the mechanism the framework prices.</w:t>
      </w:r>
    </w:p>
    <w:p>
      <w:r>
        <w:pict>
          <v:rect style="width:0;height:1.5pt" o:hralign="center" o:hrstd="t" o:hr="t"/>
        </w:pict>
      </w:r>
    </w:p>
    <w:bookmarkEnd w:id="9"/>
    <w:bookmarkStart w:id="10" w:name="deepwater-horizon"/>
    <w:p>
      <w:pPr>
        <w:pStyle w:val="Heading3"/>
      </w:pPr>
      <w:r>
        <w:t xml:space="preserve">Deepwater Horizon</w:t>
      </w:r>
    </w:p>
    <w:p>
      <w:pPr>
        <w:pStyle w:val="FirstParagraph"/>
      </w:pPr>
      <w: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w:t>
      </w:r>
      <w:r>
        <w:t xml:space="preserve"> </w:t>
      </w:r>
      <w:r>
        <w:t xml:space="preserve">“nightmare”</w:t>
      </w:r>
      <w:r>
        <w:t xml:space="preserve"> </w:t>
      </w:r>
      <w:r>
        <w:t xml:space="preserve">geology.</w:t>
      </w:r>
    </w:p>
    <w:p>
      <w:pPr>
        <w:pStyle w:val="BodyText"/>
      </w:pPr>
      <w:r>
        <w:t xml:space="preserve">BP had extracted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pPr>
        <w:pStyle w:val="BodyText"/>
      </w:pPr>
      <w:r>
        <w:t xml:space="preserve">The spill severed costs in every form cost severance can take.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pPr>
        <w:pStyle w:val="BodyText"/>
      </w:pPr>
      <w: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pPr>
        <w:pStyle w:val="BodyText"/>
      </w:pPr>
      <w:r>
        <w:t xml:space="preserve">Even that number understates the true cost. The National Oceanic and Atmospheric Administration estimated that the spill killed 4 to 8 billion oysters and 2 to 5 trillion newly hatched fish, along with tens of thousands of birds and sea turtles that would have supported Gulf fisheries and ecosystems for years. Tourism revenue losses in affected areas exceeded seven billion dollars in the three years following the spill. Property values along affected coastlines declined by an estimated twelve billion dollars. Aggregate estimates from academic, insurance-industry, and federal sources place total economic losses at over one hundred and fifty billion dollars.</w:t>
      </w:r>
    </w:p>
    <w:p>
      <w:pPr>
        <w:pStyle w:val="BodyText"/>
      </w:pPr>
      <w:r>
        <w:t xml:space="preserve">BP’s sixty billion dollars in penalties against one hundred and fifty billion dollars in total costs yields a cost recovery ratio of forty percent. The company captured the full value of the oil it extracted. It paid less than half the cost of its extraction. The framework’s accountability target is one hundred percent — extractors paying the full residual cost. Deepwater paid forty. The forty-percent ratio is the documented, court-validated, settlement-ratified empirical magnitude of the accountability gap for one of the largest environmental disasters in American history.</w:t>
      </w:r>
    </w:p>
    <w:p>
      <w:pPr>
        <w:pStyle w:val="BodyText"/>
      </w:pPr>
      <w:r>
        <w:t xml:space="preserve">The cost-severance asymmetry also operated across borders. The Macondo well’s spill reached Mexican Gulf waters, contaminating Yucatán-Peninsula coastlines, fisheries, and tourism economies. BP’s settlement with the Mexican federal government in 2018 totaled approximately twenty-five million dollars — three orders of magnitude smaller than the U.S. settlements for comparable per-mile-of-coastline damage. The asymmetry was not a function of the contamination’s distribution; the slick’s geographic distribution was relatively even across the affected coastlines. The asymmetry was a function of the legal architecture available to each jurisdiction’s claimants. American Gulf-state litigation operated under the Oil Pollution Act of 1990 + extensive state-level environmental and tort jurisprudence + a class-action infrastructure that allowed individual claimants to aggregate at scale. Mexican claimants operated under a substantially weaker legal-architecture for cross-border environmental claims against a foreign-domiciled corporation. Same spill, same operator, same physical-mechanism of damage, structurally different bond postings. The international architectural-asymmetry is not a bug of the framework’s accounting — it is a feature the accounting makes visible.</w:t>
      </w:r>
    </w:p>
    <w:p>
      <w:pPr>
        <w:pStyle w:val="BodyText"/>
      </w:pPr>
      <w:r>
        <w:t xml:space="preserve">And these calculations exclude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
        <w:pict>
          <v:rect style="width:0;height:1.5pt" o:hralign="center" o:hrstd="t" o:hr="t"/>
        </w:pict>
      </w:r>
    </w:p>
    <w:bookmarkEnd w:id="10"/>
    <w:bookmarkStart w:id="11" w:name="baotou-inner-mongolia"/>
    <w:p>
      <w:pPr>
        <w:pStyle w:val="Heading3"/>
      </w:pPr>
      <w:r>
        <w:t xml:space="preserve">Baotou, Inner Mongolia</w:t>
      </w:r>
    </w:p>
    <w:p>
      <w:pPr>
        <w:pStyle w:val="FirstParagraph"/>
      </w:pPr>
      <w: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pPr>
        <w:pStyle w:val="BodyText"/>
      </w:pPr>
      <w: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pPr>
        <w:pStyle w:val="BodyText"/>
      </w:pPr>
      <w:r>
        <w:t xml:space="preserve">The companies operating in Baotou — a mix of Chinese state-owned enterprises and private firms — have extracted enormous value from global demand for rare earths. China’s rare earth industry generates an estimated ten to twelve billion dollars in annual revenue, with Baotou facilities accounting for roughly half of that total. The extracted value flows through global supply chains to electronics manufacturers, automotive companies, and renewable energy firms whose products depend entirely on Baotou’s rare earths.</w:t>
      </w:r>
    </w:p>
    <w:p>
      <w:pPr>
        <w:pStyle w:val="BodyText"/>
      </w:pPr>
      <w: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pPr>
        <w:pStyle w:val="BodyText"/>
      </w:pPr>
      <w:r>
        <w:t xml:space="preserve">The numbers are harder to pin down than in the Montana or Gulf cases because the Chinese government restricts access to health and environmental data from the region. Some peer-reviewed research has nonetheless been published despite the access constraints — environmental epidemiology studies in</w:t>
      </w:r>
      <w:r>
        <w:t xml:space="preserve"> </w:t>
      </w:r>
      <w:r>
        <w:rPr>
          <w:i/>
          <w:iCs/>
        </w:rPr>
        <w:t xml:space="preserve">Environmental Pollution</w:t>
      </w:r>
      <w:r>
        <w:t xml:space="preserve">,</w:t>
      </w:r>
      <w:r>
        <w:t xml:space="preserve"> </w:t>
      </w:r>
      <w:r>
        <w:rPr>
          <w:i/>
          <w:iCs/>
        </w:rPr>
        <w:t xml:space="preserve">Ecotoxicology and Environmental Safety</w:t>
      </w:r>
      <w:r>
        <w:t xml:space="preserve">, and</w:t>
      </w:r>
      <w:r>
        <w:t xml:space="preserve"> </w:t>
      </w:r>
      <w:r>
        <w:rPr>
          <w:i/>
          <w:iCs/>
        </w:rPr>
        <w:t xml:space="preserve">Science of the Total Environment</w:t>
      </w:r>
      <w:r>
        <w:t xml:space="preserve"> </w:t>
      </w:r>
      <w:r>
        <w:t xml:space="preserve">document elevated heavy-metal concentrations (lead; cadmium; thorium; uranium) in soil, water, and resident-population biomarkers within ten kilometers of the Baotou tailings ponds; specific village-level mortality and respiratory-disease registries that researchers have compiled despite the data restrictions; and longitudinal studies tracking workforce-cohort outcomes that have, where they have been allowed to publish, found elevated rates of cancer and reproductive abnormalities consistent with the chemical and radiological exposure profiles. The published evidence is partial; the unpublished evidence is partial in the opposite direction.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pPr>
        <w:pStyle w:val="BodyText"/>
      </w:pPr>
      <w:r>
        <w:t xml:space="preserve">Against roughly five to six billion dollars in annual value extraction, the severed costs accumulate at a rate that dwarfs what the industry has ever paid or provisioned to pay. The rare earth industry globally spends less than one percent of its revenue on environmental remediation or community health programs.</w:t>
      </w:r>
    </w:p>
    <w:p>
      <w:pPr>
        <w:pStyle w:val="BodyText"/>
      </w:pPr>
      <w:r>
        <w:t xml:space="preserve">The gadgets work. The turbines spin. The electric vehicles charge. The costs accumulate in Inner Mongolia, where the rest of the world does not have to see them. And the consumer at the other end of the supply chain — the engineer in California with the smartphone in their pocket; the driver in Norway with the electric vehicle on the highway; the family in Berlin with the wind-generated electricity in their home — is not a villain in this account. The framework’s mechanism does not require villains. The consumer is a structural participant in the cost-severance architecture by virtue of consuming the products the architecture produces; the consumer’s individual moral position is irrelevant to the structural finding. What the framework names is that the architecture severs cost from the value-extracting party; the consumer shares in the extracted value (via the product’s utility) and the consumer is structurally separated from the cost-bearing party (the Inner Mongolian families bearing the contamination). Spatial cost severance, operating through global supply chains, is what makes the consumer-and-cost-bearer relationship invisible in ways that allow the architecture to keep operating regardless of any individual consumer’s preferences.</w:t>
      </w:r>
    </w:p>
    <w:p>
      <w:r>
        <w:pict>
          <v:rect style="width:0;height:1.5pt" o:hralign="center" o:hrstd="t" o:hr="t"/>
        </w:pict>
      </w:r>
    </w:p>
    <w:bookmarkEnd w:id="11"/>
    <w:bookmarkStart w:id="12" w:name="and-the-double-risk-transfer"/>
    <w:p>
      <w:pPr>
        <w:pStyle w:val="Heading3"/>
      </w:pPr>
      <w:r>
        <w:t xml:space="preserve">2008 and the Double Risk Transfer</w:t>
      </w:r>
    </w:p>
    <w:p>
      <w:pPr>
        <w:pStyle w:val="FirstParagraph"/>
      </w:pPr>
      <w:r>
        <w:t xml:space="preserve">The same mechanism operates at national-financial scale — which is where its scale becomes hardest to ignore, because unlike Appalachia or the Niger Delta, it happens to the entire economy simultaneously, leaving no cultural or geographic explanation intact.</w:t>
      </w:r>
    </w:p>
    <w:p>
      <w:pPr>
        <w:pStyle w:val="BodyText"/>
      </w:pPr>
      <w:r>
        <w:t xml:space="preserve">The setup began in 1978, when Congress created the 401(k) retirement-account structure. Over the following two decades, defined-benefit pensions were systematically replaced by 401(k)s, and the replacement was presented to workers as freedom — as now owning their own retirement rather than being bound to employer-managed plans. What was not disclosed is that the freedom was primarily the corporation’s freedom from liability. Market risk, longevity risk, and behavioral risk moved from institutional balance sheets to individual workers who had no capacity to pool, hedge, or insure against them. The first transfer ran quietly for thirty years.</w:t>
      </w:r>
    </w:p>
    <w:p>
      <w:pPr>
        <w:pStyle w:val="BodyText"/>
      </w:pPr>
      <w:r>
        <w:t xml:space="preserve">The second transfer came in a compressed window between 2001 and 2008, when financial institutions created mortgage-backed securities and collateralized debt obligations — instruments whose complexity was not incidental but structural, because only complex instruments could be sold to investors who could not evaluate them. The instruments were packaged into mutual funds and target-date funds sold inside the same 401(k) accounts that had absorbed the first risk transfer. When the instruments collapsed in 2008, the losses flowed into those retirement accounts. The workers who had been told in the 1980s that they were now responsible for their own retirement security bore the losses of instruments the financial sector had created, collected fees from, and would shortly be rescued from.</w:t>
      </w:r>
    </w:p>
    <w:p>
      <w:pPr>
        <w:pStyle w:val="BodyText"/>
      </w:pPr>
      <w:r>
        <w:t xml:space="preserve">The rescue did come. TARP provided seven hundred billion dollars in public funds to stabilize financial institutions. The Federal Reserve’s emergency lending facilities, the full scale of which emerged only through later congressional requests and litigation, exceeded sixteen trillion dollars in cumulative emergency loans across the crisis (per the GAO’s 2011 audit). Executive bonuses at rescued institutions resumed within eighteen months. Meanwhile, approximately ten million American households received foreclosure filings between 2008 and 2012, with roughly five million resulting in completed foreclosure — more households affected than there are in the entire state of Pennsylvania, in under five years. No comparable federal intervention was organized for those households. The Home Affordable Modification Program reached a small fraction of eligible applicants and suffered administrative failures documented in multiple Government Accountability Office reports.</w:t>
      </w:r>
    </w:p>
    <w:p>
      <w:pPr>
        <w:pStyle w:val="BodyText"/>
      </w:pPr>
      <w:r>
        <w:t xml:space="preserve">The asymmetry is the load-bearing fact. A system that could mobilize trillions of dollars in days to rescue institutions could not mobilize comparable resources to rescue the households whose retirement accounts had absorbed those institutions’ losses and whose homes were foreclosed in the subsequent contraction. The risk was transferred twice on the same money — once from corporations to workers through the pension-to-401(k) shift, and again from financial institutions to those same workers’ accounts through the mortgage-backed-securities machinery. The rescue restored one side of the ledger and left the other carrying its losses. The Financial Crisis Inquiry Commission, established by Congress to investigate, concluded in 2011 that the crisis was the result of human action and inaction — not forces beyond human control. The people who made those decisions received bonuses. The people whose retirements and homes absorbed the losses received nothing.</w:t>
      </w:r>
    </w:p>
    <w:p>
      <w:pPr>
        <w:pStyle w:val="BodyText"/>
      </w:pPr>
      <w:r>
        <w:t xml:space="preserve">A careful reader will object that borrowers took loans they could not afford. The serious version is straightforward: many of the mortgages that defaulted were extended to borrowers whose income could not service the payment under any reasonable model, and the borrowers signed for them. The framework’s response is not that the borrowers had no agency; it is that agency requires information, and the information architecture was structurally adversarial. Subprime origination operated under a documented playbook in which originator commissions were tied to volume rather than to default rates, in which broker-disclosed terms differed materially from contract terms, in which adjustable-rate products were marketed to borrowers whose understanding of rate-reset mechanics was, by industry-internal acknowledgment, expected to be incomplete. The Consumer Financial Protection Bureau’s post-crisis enforcement record documents the pattern at scale. Borrowers signed contracts; the contracts were sold under conditions designed to maximize signing rates over loan-quality. The agency was real; the information asymmetry was the lever the system pulled. Cost severance does not require borrower-as-victim framing; in the 2008 case it operated through deliberate information asymmetry — the value-extracting party had information the cost-bearing party did not, and the information structure was structurally adversarial. In other contexts the framework names — coercion, the normalization of value extraction as accepted cost of doing business, the routine functioning of subsidy as default — the lever differs. The structural finding is asymmetric cost-bearing, regardless of which mechanism produces it.</w:t>
      </w:r>
    </w:p>
    <w:p>
      <w:pPr>
        <w:pStyle w:val="BodyText"/>
      </w:pPr>
      <w:r>
        <w:t xml:space="preserve">A second objection holds that 2008 was a global crisis, not a U.S.-policy failure. The serious version names the European banking exposure, the Asian export-dependency contagion, the cross-border MBS holdings, the role of the Bank for International Settlements’ Basel framework in shaping global capital reserves. All of these are real. The framework’s response is that the global character of the crisis amplifies rather than dissolves the U.S.-mechanism finding. The instruments that propagated the contagion were predominantly U.S.-originated MBS and CDO products. The originator-fee architecture, the rating-agency conflict-of-interest structure (issuer-pays model), and the regulatory exemptions that permitted the products to scale were U.S. policy decisions. International transmission is what gave the crisis its global magnitude; U.S.-policy origination is what gave it its instruments. A framework explaining 2008 has to engage both, and engaging both is what makes the cost-severance finding more general — not more parochial.</w:t>
      </w:r>
    </w:p>
    <w:p>
      <w:pPr>
        <w:pStyle w:val="BodyText"/>
      </w:pPr>
      <w:r>
        <w:t xml:space="preserve">A third line of pushback notes that TARP was repaid, so taxpayers did not lose money in the long term. The serious version cites the U.S. Treasury accounting that records TARP’s direct outlays as having been substantially recovered through repayments and asset disposals; some accountings show a modest profit. The Government Accountability Office’s TARP retrospectives and the Congressional Budget Office’s lifetime-cost reviews document the recovery numbers in detail. The framework’s response is that TARP is the wrong accounting unit. The cost severance the chapter prices is the unrecovered welfare loss to the ten million foreclosed households, the displaced workers whose 401(k) balances reset to lower values that compounded forward at lower bases, the regional economies that contracted around foreclosure-cascade neighborhoods, and the political-trust commons that absorbed the asymmetric-rescue pattern as evidence of the system’s actual priorities. None of these losses is recovered by TARP repayment, and none of them appears on the GAO or CBO accounts that the recovery argument cites — those accounts measure federal-balance-sheet flow, not welfare-loss to cost-bearing parties. The Federal Reserve’s cumulative emergency lending — the sixteen-trillion-dollar figure that emerged through congressional request — was repaid in nominal terms, but the asymmetry the rescue established is itself a cost, borne in the form of legitimacy depletion that subsequent political economy has had to operate within. The accounting question is not</w:t>
      </w:r>
      <w:r>
        <w:t xml:space="preserve"> </w:t>
      </w:r>
      <w:r>
        <w:t xml:space="preserve">“did TARP cost the federal balance sheet money?”</w:t>
      </w:r>
      <w:r>
        <w:t xml:space="preserve"> </w:t>
      </w:r>
      <w:r>
        <w:t xml:space="preserve">The accounting question is</w:t>
      </w:r>
      <w:r>
        <w:t xml:space="preserve"> </w:t>
      </w:r>
      <w:r>
        <w:t xml:space="preserve">“did the rescue restore the cost-bearing parties to where they would have been absent the crisis?”</w:t>
      </w:r>
      <w:r>
        <w:t xml:space="preserve"> </w:t>
      </w:r>
      <w:r>
        <w:t xml:space="preserve">The answer to the second question is no, by orders of magnitude, regardless of TARP’s nominal recovery.</w:t>
      </w:r>
    </w:p>
    <w:p>
      <w:pPr>
        <w:pStyle w:val="BodyText"/>
      </w:pPr>
      <w:r>
        <w:t xml:space="preserve">The most reformist version of the objection points to the post-crisis Dodd-Frank Wall Street Reform and Consumer Protection Act of 2010, which substantially restructured the regulatory architecture in response to the crisis, addressing the failures the foregoing analysis identifies. The serious version is real. Dodd-Frank created the Consumer Financial Protection Bureau, established the Financial Stability Oversight Council, restricted proprietary trading through the Volcker Rule, and imposed enhanced capital and liquidity requirements on systemically important institutions. These are not nothing. The architecture changed in measurable ways; the post-2010 financial system carries accountability instruments that did not exist in 2007. The framework’s response is that this is exactly correct — Dodd-Frank is a partial implementation of accountability-bond architecture, and Chapter 9 will name it as one of the entering wedges by which the broader framework gets built. But the partial implementation reveals the size of the remaining gap rather than closing it. The CFPB’s enforcement record exists alongside its post-2017 institutional weakening; the Volcker Rule was substantially relaxed in 2018 and 2019; the systemic-importance designations have been contested, narrowed, and in some cases reversed. The architecture moves; the architecture’s stability over decades — the timeline at which intergenerational cost severance accumulates — is not yet established. A reform that holds for ten years and then is dismantled is, in cost-severance accounting, a delay rather than a correction. The framework’s claim is not that nothing has been done; the framework’s claim is that what has been done is small relative to the scale of the cost severance the cases of this chapter document, and that it has not been institutionally consolidated to the point where its persistence is structurally guaranteed. Reform is real; reform is partial; reform is reversible; reform that is reversible has not yet closed the accountability gap it was built to address.</w:t>
      </w:r>
    </w:p>
    <w:p>
      <w:pPr>
        <w:pStyle w:val="BodyText"/>
      </w:pPr>
      <w:r>
        <w:t xml:space="preserve">What survives across each of these objections is the structural finding the chapter has been making. Borrowers had agency; the information structure was adversarial. The crisis was global; the instruments were U.S.-originated. TARP was repaid; the welfare losses on the cost-bearing side were not. Dodd-Frank reformed the architecture; the reform is partial and reversible and has not yet closed the gap.</w:t>
      </w:r>
    </w:p>
    <w:p>
      <w:pPr>
        <w:pStyle w:val="BodyText"/>
      </w:pPr>
      <w:r>
        <w:t xml:space="preserve">One further observation deserves brief note before the section closes, because it bears on whether the U.S. 2008 scope-choice was inevitable or contingent. Sweden in the 1930s faced banking-crisis pressure structurally analogous to what the United States faced in 1929-1933 and again in 2008-2009, and the Swedish polity’s response combined bank-rescue with substantial household-relief programs — the 1931 krona devaluation that restored export competitiveness and household-debt purchasing power; the 1933 Riksbank-coordinated bank-rescue paired with mortgage-modification programs; the 1934-1937 public-works employment programs that restored household income directly; the 1938 Saltsjöbaden Agreement framework that institutionalized the welfare-state architecture the response had built. The 1930s Swedish response is widely cited in the comparative-banking-crisis literature (Kindleberger 1973; Eichengreen 1992) as demonstrating that bank-rescue and household-relief are not structurally either-or — a society can choose to do both. The U.S. polity in 2008-2009 and again in 2020 chose otherwise. The choice is contingent on specific historical decisions; Chapter 9 (Pricing Honestly) develops the comparison at fuller depth, including the broader cluster of cross-country and cross-century cases that demonstrate scope-choice variation in crisis-response architecture.</w:t>
      </w:r>
    </w:p>
    <w:p>
      <w:pPr>
        <w:pStyle w:val="BodyText"/>
      </w:pPr>
      <w:r>
        <w:t xml:space="preserve">The 2008 case demonstrates the structural cost-severance pattern at national-financial scale. The pattern is not specific to financial markets, and the chapter has not yet finished documenting it. The cases that follow — Social Security, where the pattern operates at intergenerational scale; the healthcare commons, where it operates at the intersection of medical institutions, family caregiving, and end-of-life decision-making — show the same mechanism in different institutional contexts. The architecture differs across cases; the asymmetry between value-extractor and cost-bearer does not. What 2008 demonstrates at the scale of millions of households and trillions of dollars, Social Security demonstrates at the scale of a hundred million workers and tens of trillions of dollars in unfunded obligations, and the healthcare commons demonstrates at the scale of every American family that will eventually face an end-of-life decision under an architecture built to extract value from the dying body. Three different institutional settings; one mechanism.</w:t>
      </w:r>
    </w:p>
    <w:p>
      <w:r>
        <w:pict>
          <v:rect style="width:0;height:1.5pt" o:hralign="center" o:hrstd="t" o:hr="t"/>
        </w:pict>
      </w:r>
    </w:p>
    <w:bookmarkEnd w:id="12"/>
    <w:bookmarkStart w:id="13" w:name="X2f1f8a02379cbdd36a2ea8163e2fb7c1e173f1f"/>
    <w:p>
      <w:pPr>
        <w:pStyle w:val="Heading3"/>
      </w:pPr>
      <w:r>
        <w:t xml:space="preserve">Social Security: Cost Severance in the Financial Commons</w:t>
      </w:r>
    </w:p>
    <w:p>
      <w:pPr>
        <w:pStyle w:val="FirstParagraph"/>
      </w:pPr>
      <w: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pPr>
        <w:pStyle w:val="BodyText"/>
      </w:pPr>
      <w: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pPr>
        <w:pStyle w:val="BodyText"/>
      </w:pPr>
      <w: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2033.</w:t>
      </w:r>
    </w:p>
    <w:p>
      <w:pPr>
        <w:pStyle w:val="BodyText"/>
      </w:pPr>
      <w:r>
        <w:t xml:space="preserve">What happens in 2033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pPr>
        <w:pStyle w:val="BodyText"/>
      </w:pPr>
      <w:r>
        <w:t xml:space="preserve">The severed cost sits in that gap. The Social Security trust-fund surpluses accumulated from 1937 onward were held in special-issue Treasury obligations rather than invested as productive sovereign capital. The opportunity cost — the gap between what the fund holds today and what it would have held if those surpluses had been invested in a broad U.S. equity index across the same window — is approximately one hundred and eight trillion dollars. That is the compounded foregone return on eighty-eight years of working-class payroll-tax contributions, extracted from the architecture by the Treasury-IOU mechanism that the surpluses were routed through.</w:t>
      </w:r>
    </w:p>
    <w:p>
      <w:pPr>
        <w:pStyle w:val="BodyText"/>
      </w:pPr>
      <w:r>
        <w:t xml:space="preserve">To understand the scale: one hundred and eight trillion dollars is roughly three times the entire current federal debt. It is nearly four times the annual gross domestic product of the United States. It represents approximately three hundred thousand dollars for every person in the country — including children who will not enter the workforce for another two decades.</w:t>
      </w:r>
    </w:p>
    <w:p>
      <w:pPr>
        <w:pStyle w:val="BodyText"/>
      </w:pPr>
      <w:r>
        <w:t xml:space="preserve">This is cost severance operating in the financial commons. The generation that voted for expanded Social Security benefits throughout the 1960s, 1970s, and 1980s extracted the political value of those promises — the votes, the electoral support, the sense of having provided security for their constituents. The foregone-investment cost the Treasury-IOU routing produced was severed from the politicians who chose that routing and the voters who rewarded the benefit-expansions it underwrote, and transferred forward in time to generations who were either too young to vote or not yet born.</w:t>
      </w:r>
    </w:p>
    <w:p>
      <w:pPr>
        <w:pStyle w:val="BodyText"/>
      </w:pPr>
      <w:r>
        <w:t xml:space="preserve">The mechanism is identical to what happened in Libby, the Gulf, and Baotou. Value was extracted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the working-class payroll-tax contributors whose surpluses failed to compound, plus every future American taxpayer who will absorb the resulting funding gap.</w:t>
      </w:r>
    </w:p>
    <w:p>
      <w:pPr>
        <w:pStyle w:val="BodyText"/>
      </w:pPr>
      <w:r>
        <w:t xml:space="preserve">The politicians who expanded Social Security benefits without funding them extracted the electoral value and departed — through retirement, electoral defeat, or death — before the costs came due. The voters who supported those expansions received the benefits they were promised. The foregone compounding was transferred to their children and grandchildren, who will inherit a system whose surpluses were routed through the Treasury-IOU mechanism instead of into productive sovereign capital, and face the political choice between absorbing the resulting funding gap themselves or breaking commitments that older Americans organized their lives around.</w:t>
      </w:r>
    </w:p>
    <w:p>
      <w:pPr>
        <w:pStyle w:val="BodyText"/>
      </w:pPr>
      <w:r>
        <w:t xml:space="preserve">Social Security is not a Ponzi scheme — it is a genuine intergenerational transfer program providing essential benefits to millions of Americans. But the specific way it has been funded reveals cost severance operating at civilizational scale. One hundred and eight trillion dollars in foregone return, extracted from the architecture by the routing choice that earlier generations made and transferred to generations who had no say in making it. The largest cost severance in human history, hiding inside a program that Americans think of as the most sacred commitment one generation can make to another.</w:t>
      </w:r>
    </w:p>
    <w:p>
      <w:pPr>
        <w:pStyle w:val="BodyText"/>
      </w:pPr>
      <w:r>
        <w:t xml:space="preserve">The architectural choice the United States made in 1935 — pay-as-you-go retirement security funded by current-worker payroll deductions, with surpluses held as Treasury obligations rather than invested as productive sovereign capital — was a contingent choice, not an inevitable one. Chapter 4 has documented Norway’s contrasting architectural choice for analogous intergenerational fiscal architecture: the Government Pension Fund Global, which channels petroleum rents into a sovereign-fund structure that compounds across decades and accumulates capital on behalf of future generations rather than depleting it. The two architectures address structurally similar problems and produce structurally different outcomes; the difference is not a function of national wealth or demographic pressure but of architectural choice made at specific historical moments. The chapter on Norway documents what was possible; the present chapter documents what was, and continues to be, the cost severance the U.S. choice produces.</w:t>
      </w:r>
    </w:p>
    <w:p>
      <w:pPr>
        <w:pStyle w:val="BodyText"/>
      </w:pPr>
      <w:r>
        <w:t xml:space="preserve">As with the 2008 case, the Social Security account invites two further objections worth engaging. The first is a public-finance-prudence objection: the Treasury-bond mechanism the trust fund used was administratively defensible, not the source of severance. The second is a timeline-and-tractability objection: the funding gap is real but solvable through minor adjustments at a manageable horizon, and the framework’s framing inflates what is structurally a soluble policy problem.</w:t>
      </w:r>
    </w:p>
    <w:p>
      <w:pPr>
        <w:pStyle w:val="BodyText"/>
      </w:pPr>
      <w:r>
        <w:t xml:space="preserve">The public-finance-prudence objection holds that the Treasury-bond mechanism by which Social Security surpluses were accumulated was prudent, not opportunistic — that holding the trust fund’s reserves in special-issue Treasury obligations is exactly what a sound sovereign-fund manager would do, that the alternative of holding the reserves in equities or other risk assets would have exposed retirees’ security to market volatility, and that the framework’s account treats a defensible administrative choice as if it were the mechanism of extraction.</w:t>
      </w:r>
    </w:p>
    <w:p>
      <w:pPr>
        <w:pStyle w:val="BodyText"/>
      </w:pPr>
      <w:r>
        <w:t xml:space="preserve">The serious form of the objection has three parts. First, Treasury bonds are the safest asset class available to a U.S. sovereign fund — they default only if the federal government defaults, which is the same condition under which any U.S.-domiciled retirement asset would fail. Second, the General Fund borrowing that the trust fund’s bond holdings facilitated did not come at Social Security’s expense; the bonds bear interest at competitive rates, which is the same return the trust fund would have earned holding any other Treasury security. Third, the alternative — holding trust fund surpluses in equities or private assets — would have introduced both market risk and the political-economy risk that comes from a federal entity holding controlling interests in private firms, a pattern most contemporary public-finance economists treat as a more serious problem than the bond-holding pattern that emerged.</w:t>
      </w:r>
    </w:p>
    <w:p>
      <w:pPr>
        <w:pStyle w:val="BodyText"/>
      </w:pPr>
      <w:r>
        <w:t xml:space="preserve">Each of these is sound on its own terms. The framework’s response is that they are addressing a different question than the one the chapter raises. The trust-fund bond-holding pattern is administratively prudent at the level of the trust fund’s portfolio. The cost severance the chapter prices is structurally upstream of the portfolio question entirely.</w:t>
      </w:r>
    </w:p>
    <w:p>
      <w:pPr>
        <w:pStyle w:val="BodyText"/>
      </w:pPr>
      <w:r>
        <w:t xml:space="preserve">The cost severance is not located in how the surpluses were invested. It is located in how the obligations were generated in the first place. Throughout the nineteen-sixties, seventies, and eighties, Social Security benefit expansions were enacted by Congresses whose members would, in nearly every case, have left office before the demographic-transition obligations matured. The benefit expansions were funded by the demographic structure of the moment — the unusually large working-age cohort relative to the retirement-age cohort during exactly the decades the expansions were enacted — and the funding gap that demographic transition would eventually create was, in every actuarial projection issued during that period, openly visible. The trust-fund Treasury-bond mechanism was the administrative vehicle through which the surplus-then-deficit demographic curve was managed. It did not create the gap. The political incentive to expand benefits during a demographic-surplus window without funding the demographic-deficit window that the actuarial reports identified as inevitable created the gap. The bond-holding pattern is downstream of that political incentive; it is not the source of severance.</w:t>
      </w:r>
    </w:p>
    <w:p>
      <w:pPr>
        <w:pStyle w:val="BodyText"/>
      </w:pPr>
      <w:r>
        <w:t xml:space="preserve">The framework’s account is not that the bonds were imprudent. It is that the obligations were generated under a structure in which value-extraction (the electoral support generated by benefit expansions) was severed from cost-bearing (the future-generation taxpayers who would actually fund the demographic-transition deficit) by exactly the time-displacement mechanism the framework names. Holding the surpluses in Treasuries during the surplus-window was prudent. Generating obligations during the surplus-window that the actuarial reports projected would deplete during the deficit-window was the cost severance. The two questions operate at different levels, and a defense at the portfolio level does not address the obligation-generation level the chapter prices.</w:t>
      </w:r>
    </w:p>
    <w:p>
      <w:pPr>
        <w:pStyle w:val="BodyText"/>
      </w:pPr>
      <w:r>
        <w:t xml:space="preserve">The timeline-and-tractability objection holds that the framework’s account inflates what is, on a sober reading, a soluble public-finance problem. The trust fund will not run out tomorrow; it will run out in 2033, more than half a century after the legislative expansions that generated the obligations. Even after depletion, payroll-tax revenue continues to fund roughly seventy-seven percent of promised benefits. The Trustees’ annual reports identify a finite range of policy adjustments — payroll tax rate increases of one to two percentage points; cap removals on the taxable wage base; benefit-formula adjustments at the upper income range; eligibility-age increases tracking longevity — any combination of which closes the seventy-five-year actuarial gap with substantially less disruption than the framing suggests. The Bipartisan Policy Center, the Concord Coalition, and successive iterations of the Simpson-Bowles and Domenici-Rivlin commissions have produced specific adjustment packages. The objection holds that the gap is a tractable policy-design problem, not a civilizational-scale severance.</w:t>
      </w:r>
    </w:p>
    <w:p>
      <w:pPr>
        <w:pStyle w:val="BodyText"/>
      </w:pPr>
      <w:r>
        <w:t xml:space="preserve">The serious version of the objection is correct as far as it goes. A combination of payroll-tax rate adjustments, taxable-wage-base cap modifications, benefit-formula refinements, and eligibility-age changes can mathematically close the seventy-five-year gap. The Trustees’ actuarial work is robust and the policy proposals are well-developed. A society that adjusted at the timeline this objection identifies would not face a Social Security collapse; it would face a phased-in adjustment.</w:t>
      </w:r>
    </w:p>
    <w:p>
      <w:pPr>
        <w:pStyle w:val="BodyText"/>
      </w:pPr>
      <w:r>
        <w:t xml:space="preserve">The framework’s response is that the timeline question and the obligation-generation question operate at different levels, and that closing the timeline gap through adjustment does not address what the framework prices. The framework prices the severance — the structural pattern by which value-extracting parties (the cohorts who voted for benefit expansions and the politicians who enacted them) were systematically separated from cost-bearing parties (the future-generation taxpayers who would fund the demographic deficit). The timeline objection grants that the gap is closeable through adjustments at the cost-bearing-party’s expense; that is exactly what the framework names as the structural problem. Closing the gap by raising payroll taxes on the demographic-deficit-window cohort, or by reducing benefits to retirees in that window, or by raising the eligibility age for the cohort that has been paying into the system for forty years, transfers the obligation onto the cost-bearing-party — not onto the cohorts who extracted the electoral value of generating the obligation. The gap is mathematically closeable; the severance the closure achieves is the severance the framework names. Sober public-finance adjustment is what cost severance looks like at civilizational scale when the time-displacement runs its course. The objection’s solution is what the framework’s account predicted would happen: when the obligations mature, the cost-bearing-party absorbs the adjustment because the value-extracting-party is no longer accessible. Tractability is not absence of severance; it is severance unfolding on schedule.</w:t>
      </w:r>
    </w:p>
    <w:p>
      <w:pPr>
        <w:pStyle w:val="BodyText"/>
      </w:pPr>
      <w:r>
        <w:t xml:space="preserve">What survives across both objections is the chapter’s structural finding. The trust-fund bond-holding mechanism was administratively defensible. The political-economy mechanism that generated the obligations the trust fund was holding bonds against was not. The funding gap is mathematically closeable through adjustment; the adjustments themselves transfer the obligation onto the cost-bearing-party rather than onto the value-extracting-party. The first observation does not absolve the second; the second observation does not refute the framework’s account. The accountability gap is upstream of the portfolio question and downstream of the timeline question — it sits in the obligation-generation mechanism that both questions take as given.</w:t>
      </w:r>
    </w:p>
    <w:p>
      <w:pPr>
        <w:pStyle w:val="BodyText"/>
      </w:pPr>
      <w:r>
        <w:t xml:space="preserve">The Social Security case demonstrates the cost-severance pattern at intergenerational scale, where time itself is the distance that separates value-extraction from cost-bearing. The 2008 case demonstrated the same pattern at national-financial scale, where institutional architecture chose what was in-scope for protection and what was not. The healthcare commons that the next section examines demonstrates the pattern at a third register: the institutional architecture of medical financing produces cost severance on individual bodies during the most vulnerable stretches of life, and the costs it severs are not abstract externalities but the specific financial ruin of specific households. Three different institutional settings; three different scales at which the severance gets hidden — financial-system architecture; intergenerational time; institutional-medical-financing — and one underlying mechanism. The chapter’s structural argument is that the mechanism is not specific to any particular institutional context; it is structural to the absence of accountability instruments that would internalize cost. The healthcare case completes the chapter’s documentation; the synthesis that closes the chapter then names the pattern explicitly across all six cases.</w:t>
      </w:r>
    </w:p>
    <w:p>
      <w:r>
        <w:pict>
          <v:rect style="width:0;height:1.5pt" o:hralign="center" o:hrstd="t" o:hr="t"/>
        </w:pict>
      </w:r>
    </w:p>
    <w:bookmarkEnd w:id="13"/>
    <w:bookmarkStart w:id="14" w:name="the-healthcare-commons"/>
    <w:p>
      <w:pPr>
        <w:pStyle w:val="Heading3"/>
      </w:pPr>
      <w:r>
        <w:t xml:space="preserve">The Healthcare Commons</w:t>
      </w:r>
    </w:p>
    <w:p>
      <w:pPr>
        <w:pStyle w:val="FirstParagraph"/>
      </w:pPr>
      <w:r>
        <w:t xml:space="preserve">The mechanism operates in American healthcare with a particular cruelty, because it operates on individual bodies during the most vulnerable stretches of life, and because the costs it severs are not abstract externalities but the specific financial ruin of specific households.</w:t>
      </w:r>
    </w:p>
    <w:p>
      <w:pPr>
        <w:pStyle w:val="BodyText"/>
      </w:pPr>
      <w:r>
        <w:t xml:space="preserve">The most visible indicator is a growth curve. Between 2011 and 2020, the annual number of US medical fundraising campaigns on the platform GoFundMe grew twenty-five-fold. By 2020, more than a third of all GoFundMe campaigns were for medical expenses; between 2016 and 2020, 438,000 such campaigns raised over two billion dollars from 21.7 million donations. Only twelve percent reached their funding goals. Sixteen percent received no donations at all. GoFundMe’s own chief executive has acknowledged the platform was never designed to function as healthcare financing and has become the default. A safety net with an eighty-eight-percent failure rate is not a safety net. It is a documentation system for a severance the formal system has stopped trying to prevent.</w:t>
      </w:r>
    </w:p>
    <w:p>
      <w:pPr>
        <w:pStyle w:val="BodyText"/>
      </w:pPr>
      <w:r>
        <w:t xml:space="preserve">The severance lands unevenly. Medical fundraising campaigns organized by individuals with distinctively African American or Hispanic surnames raise substantially less and are significantly less likely to meet their goals, even controlling for geography and time period. The replacement for a public safety net replicates the inequities the original net had been designed, however imperfectly, to reduce. This is cost severance operating through a second layer — the formal system drops the medical cost; the informal backup does not catch equally by race; the severed cost concentrates on populations whose existing wealth-and-network constraints leave them with the least capacity to absorb it.</w:t>
      </w:r>
    </w:p>
    <w:p>
      <w:pPr>
        <w:pStyle w:val="BodyText"/>
      </w:pPr>
      <w:r>
        <w:t xml:space="preserve">The structural pressure on households is not solely a function of healthcare-cost growth in absolute terms. It is also a function of wage stagnation that has not kept pace with healthcare-cost growth across the same decades. Lawrence Mishel and Josh Bivens at the Economic Policy Institute have documented that the median U.S. wage tracked roughly with productivity growth from the late 1940s through the early 1970s, then decoupled — productivity continued to rise; the median wage stagnated in real terms for the next half century. Over the same half century, healthcare costs grew at multiples of general inflation. The structural pressure on households is the gap between these two curves: wages flat against productivity that wage-earners produced; healthcare costs climbing against the same wages. Jacob Hacker’s</w:t>
      </w:r>
      <w:r>
        <w:t xml:space="preserve"> </w:t>
      </w:r>
      <w:r>
        <w:rPr>
          <w:i/>
          <w:iCs/>
        </w:rPr>
        <w:t xml:space="preserve">Great Risk Shift</w:t>
      </w:r>
      <w:r>
        <w:t xml:space="preserve"> </w:t>
      </w:r>
      <w:r>
        <w:t xml:space="preserve">(2006) named the broader pattern of risk-and-cost transfer from institutional to individual balance sheets that healthcare-cost-severance is one specific instance of. The GoFundMe-as-default-safety-net pattern is what cost severance looks like when the transfer mechanism’s cost-bearing party is structurally unable to absorb the transfer’s magnitude — wages stagnant, savings depleted, household-debt accumulating, fundraising-from-strangers as the residual mechanism.</w:t>
      </w:r>
    </w:p>
    <w:p>
      <w:pPr>
        <w:pStyle w:val="BodyText"/>
      </w:pPr>
      <w:r>
        <w:t xml:space="preserve">At the other end of the arc, in the individual case the journalist Katy Butler documented, Medicare reimbursement pays a physician fifty-four dollars for a long office visit to discuss treatment alternatives, and four hundred and sixty-one dollars — on top of a roughly twelve-thousand-dollar hospital flat fee, nearly half of which goes to the device manufacturer — for the implantation of a pacemaker. The liability architecture points in the same direction. Performing the procedure protects against malpractice exposure; declining it creates exposure. Both incentives arrive at the same outcome. Butler’s father spent five years in profound cognitive decline with the pacemaker still functioning, cared for by her eighty-year-old mother in eighty-hour weeks of unpaid labor for which no compensation exists and no ledger captures. The device manufacturer received approximately six thousand dollars. The conversation that might have prevented the procedure was worth fifty-four. This is cost severance operating on the dying body: profit extracted by the cardiologist, the hospital, and the device manufacturer; cost externalized onto the family as unpaid caregiving, onto the patient as prolonged decline, and onto an eighty-year-old spouse absorbing the labor that no formal architecture existed to account for.</w:t>
      </w:r>
    </w:p>
    <w:p>
      <w:pPr>
        <w:pStyle w:val="BodyText"/>
      </w:pPr>
      <w:r>
        <w:t xml:space="preserve">Butler’s case is one archetype of a systemic pattern. Atul Gawande’s</w:t>
      </w:r>
      <w:r>
        <w:t xml:space="preserve"> </w:t>
      </w:r>
      <w:r>
        <w:rPr>
          <w:i/>
          <w:iCs/>
        </w:rPr>
        <w:t xml:space="preserve">Being Mortal</w:t>
      </w:r>
      <w:r>
        <w:t xml:space="preserve"> </w:t>
      </w:r>
      <w:r>
        <w:t xml:space="preserve">(2014) documents the broader structure: the American healthcare-financing architecture systematically over-treats dying patients (because the reimbursement architecture incentivizes intervention at every decision point) while substantially under-funding palliative-care infrastructure (because palliative-care reimbursement is a fraction of intervention reimbursement, and most American medical-school curricula carry minimal palliative-care training). The systemic outcome is a population of dying patients receiving medically-unnecessary procedures whose cost-severance pattern reproduces Butler’s case at scale: the device manufacturer extracts value; the hospital extracts value; the cardiology practice extracts value; the dying patient and their family bear the cost. The architecture does not require any individual cardiologist or hospital administrator to choose extraction over compassion at any individual decision point — the architecture’s reimbursement structure produces the pattern by aggregating individual rational responses to incentives that are themselves the policy-design choice the framework names. End-of-life care is the most emotionally legible illustration of cost severance in healthcare; it is not the only domain where the same architecture operates. Maternal-care reimbursement, mental-health-care reimbursement, chronic-disease-management reimbursement all reproduce the same pattern at different points along the arc of human life.</w:t>
      </w:r>
    </w:p>
    <w:p>
      <w:pPr>
        <w:pStyle w:val="BodyText"/>
      </w:pPr>
      <w:r>
        <w:t xml:space="preserve">The healthcare commons demonstrates the cost-severance pattern at the institutional-medical-financing scale, where the gap between value-extractor and cost-bearer is collapsed to a single physician-patient encounter and then re-expanded through the architecture of reimbursement, malpractice liability, and family-caregiving labor that no formal compensation mechanism captures. The cost-severance the framework names is operating on individual bodies at the points in life where they are least able to refuse the transfer, and the costs it severs are not abstract externalities but the specific financial ruin and unpaid labor of specific households. Among the wealthy nations, the United States is the only one whose healthcare-financing architecture produces the GoFundMe-as-default pattern at this scale; the cross-national comparison Chapter 9 develops at fuller depth will return to this finding.</w:t>
      </w:r>
    </w:p>
    <w:p>
      <w:r>
        <w:pict>
          <v:rect style="width:0;height:1.5pt" o:hralign="center" o:hrstd="t" o:hr="t"/>
        </w:pict>
      </w:r>
    </w:p>
    <w:bookmarkEnd w:id="14"/>
    <w:bookmarkStart w:id="15" w:name="the-pattern-made-visible"/>
    <w:p>
      <w:pPr>
        <w:pStyle w:val="Heading3"/>
      </w:pPr>
      <w:r>
        <w:t xml:space="preserve">The Pattern Made Visible</w:t>
      </w:r>
    </w:p>
    <w:p>
      <w:pPr>
        <w:pStyle w:val="FirstParagraph"/>
      </w:pPr>
      <w:r>
        <w:t xml:space="preserve">Six cases. Six industries. Four continents, two of them represented twice. Six entirely different types of extraction. The pattern is identical across all of them.</w:t>
      </w:r>
    </w:p>
    <w:p>
      <w:pPr>
        <w:pStyle w:val="BodyText"/>
      </w:pPr>
      <w:r>
        <w:t xml:space="preserve">An entity — a company, a generation, a political system — extracts value from a resource or system that could theoretically be managed for long-term sustainability. That value extraction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pPr>
        <w:pStyle w:val="BodyText"/>
      </w:pPr>
      <w:r>
        <w:t xml:space="preserve">When the costs eventually materialize — when the workers get sick, when the environment collapses, when the bills come due — the original beneficiary is protected from the full reckoning by some combination of distance, time, asymmetry of what is known, asymmetry of who can refuse, normalization of the cost as routine, and the appearance of abundance that prevents the cost from registering at all. The costs are absorbed by those who remain: the people who cannot leave, the systems that cannot relocate, the generations who inherit the mess.</w:t>
      </w:r>
    </w:p>
    <w:p>
      <w:pPr>
        <w:pStyle w:val="BodyText"/>
      </w:pPr>
      <w: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the 2008 crisis, the costs were absorbed by the ten million households whose homes went into foreclosure and the workers whose retirement accounts carried losses no institutional rescue reached. In Social Security, the costs will be absorbed by future Americans who cannot opt out of inheriting the fiscal obligations that previous generations created. In the healthcare commons, the costs are absorbed by households that fail to fund their GoFundMe campaigns and by eighty-year-old spouses providing caregiving labor that appears on no ledger.</w:t>
      </w:r>
    </w:p>
    <w:p>
      <w:pPr>
        <w:pStyle w:val="BodyText"/>
      </w:pPr>
      <w:r>
        <w:t xml:space="preserve">The companies declare bankruptcy. The politicians leave office. The generations who made the promises pass away. The costs remain, transferred to whoever cannot escape them.</w:t>
      </w:r>
    </w:p>
    <w:p>
      <w:pPr>
        <w:pStyle w:val="BodyText"/>
      </w:pPr>
      <w:r>
        <w:t xml:space="preserve">This is not a failure of the system. This is the system working exactly as it has been designed to work — not by conscious intention, but by the accumulated logic of structures that reward value extraction and externalize costs to those with the least power to resist. Cost severance is not an accident. It is not an unintended consequence. It is the mechanism by which every extractive economy has ever operated, and it is still operating today.</w:t>
      </w:r>
    </w:p>
    <w:p>
      <w:pPr>
        <w:pStyle w:val="BodyText"/>
      </w:pPr>
      <w:r>
        <w:t xml:space="preserve">The question is not whether this is happening — the six cases in this chapter prove that it is. The question is what it looks like to build accountability structures that can interrupt the pattern before the costs are severed, rather than trying to recover them after the damage is done and the beneficiaries have already departed. Brett Christophers’</w:t>
      </w:r>
      <w:r>
        <w:t xml:space="preserve"> </w:t>
      </w:r>
      <w:r>
        <w:rPr>
          <w:i/>
          <w:iCs/>
        </w:rPr>
        <w:t xml:space="preserve">The Price is Wrong</w:t>
      </w:r>
      <w:r>
        <w:t xml:space="preserve"> </w:t>
      </w:r>
      <w:r>
        <w:t xml:space="preserve">(2024), engaged at depth in Chapter 9, develops the contemporary climate-finance argument that profit, not price, drives investment — a finding the next chapter returns to when it engages property-rights limits and the political economy of resistance.</w:t>
      </w:r>
    </w:p>
    <w:bookmarkEnd w:id="15"/>
    <w:bookmarkStart w:id="16" w:name="Xb911e4b0fefdc293921727618f8e2dbcd2c3036"/>
    <w:p>
      <w:pPr>
        <w:pStyle w:val="Heading3"/>
      </w:pPr>
      <w:r>
        <w:t xml:space="preserve">Restitution and Foreclosure: Two Directions of Accountability</w:t>
      </w:r>
    </w:p>
    <w:p>
      <w:pPr>
        <w:pStyle w:val="FirstParagraph"/>
      </w:pPr>
      <w:r>
        <w:t xml:space="preserve">The cases this chapter has documented share a structural pattern, and the chapter’s previous synthesis named that pattern. What remains is to name the framework’s response apparatus: the specific accounting instruments the framework proposes when accountability architecture is being built rather than diagnosed. The remainder of this chapter introduces those instruments at the level of structure — the methodology that follows in Chapter 6 will formalize them; the policy-economy work in Chapter 9 will engage what their political implementation looks like; the present chapter only names what the apparatus is and what established academic-and-legal traditions it operates within. The naming matters because the cases the chapter has documented produce a question —</w:t>
      </w:r>
      <w:r>
        <w:t xml:space="preserve"> </w:t>
      </w:r>
      <w:r>
        <w:rPr>
          <w:i/>
          <w:iCs/>
        </w:rPr>
        <w:t xml:space="preserve">what would honest accounting of these severances actually require?</w:t>
      </w:r>
      <w:r>
        <w:t xml:space="preserve"> </w:t>
      </w:r>
      <w:r>
        <w:t xml:space="preserve">— and the framework’s two-instrument response is the answer that the remaining chapters elaborate.</w:t>
      </w:r>
    </w:p>
    <w:p>
      <w:pPr>
        <w:pStyle w:val="BodyText"/>
      </w:pPr>
      <w:r>
        <w:t xml:space="preserve">The accountability gap names a problem with two temporal faces. There is the harm already done — the McDowell life-expectancy gap, the Libby asbestos deaths, the Gulf ecosystems that have not recovered, the foreclosed households that have not regained the homes they lost. And there is the harm not yet done — the future-generation climate cost of carbon emitted today, the petroleum hydrocarbons that will be foreclosed for non-energy uses fifty years from now, the Social Security obligation a younger cohort has not yet been asked to bear in full. An accountability architecture that addresses one direction without the other addresses only half the problem.</w:t>
      </w:r>
    </w:p>
    <w:p>
      <w:pPr>
        <w:pStyle w:val="BodyText"/>
      </w:pPr>
      <w:r>
        <w:t xml:space="preserve">The framework’s response to the bidirectional structure is two coordinated instruments. The first — the Restitution Bond — addresses harm already realized. The bond’s posting discharges the historical extraction-portfolio: the cumulative damage borne by communities, workers, and ecosystems whose costs were severed at extraction-time. The second — the Foreclosure Bond — addresses harm yet to be realized. The bond’s posting discharges potential future-generation costs that current extraction is foreclosing on. Together, they form the aggregate accountability bond the framework’s central equation requires when it states that Cost Severance equals Residual Commons Value minus Bond posting.</w:t>
      </w:r>
    </w:p>
    <w:p>
      <w:pPr>
        <w:pStyle w:val="BodyText"/>
      </w:pPr>
      <w:r>
        <w:t xml:space="preserve">The framework’s choice of</w:t>
      </w:r>
      <w:r>
        <w:t xml:space="preserve"> </w:t>
      </w:r>
      <w:r>
        <w:rPr>
          <w:i/>
          <w:iCs/>
        </w:rPr>
        <w:t xml:space="preserve">bond</w:t>
      </w:r>
      <w:r>
        <w:t xml:space="preserve"> </w:t>
      </w:r>
      <w:r>
        <w:t xml:space="preserve">as the umbrella term across its accountability instruments is deliberate. Other terms were available —</w:t>
      </w:r>
      <w:r>
        <w:t xml:space="preserve"> </w:t>
      </w:r>
      <w:r>
        <w:rPr>
          <w:i/>
          <w:iCs/>
        </w:rPr>
        <w:t xml:space="preserve">tax</w:t>
      </w:r>
      <w:r>
        <w:t xml:space="preserve">,</w:t>
      </w:r>
      <w:r>
        <w:t xml:space="preserve"> </w:t>
      </w:r>
      <w:r>
        <w:rPr>
          <w:i/>
          <w:iCs/>
        </w:rPr>
        <w:t xml:space="preserve">fee</w:t>
      </w:r>
      <w:r>
        <w:t xml:space="preserve">,</w:t>
      </w:r>
      <w:r>
        <w:t xml:space="preserve"> </w:t>
      </w:r>
      <w:r>
        <w:rPr>
          <w:i/>
          <w:iCs/>
        </w:rPr>
        <w:t xml:space="preserve">fund</w:t>
      </w:r>
      <w:r>
        <w:t xml:space="preserve"> </w:t>
      </w:r>
      <w:r>
        <w:t xml:space="preserve">— and each was rejected for a specific structural reason. Taxes are paid at the moment of transaction, against general revenue, with no architecture for matching a posted dollar amount to a specific future obligation. Fees license activity rather than discharge harm. Funds aggregate without discharging. A bond, by contrast, performs three operations the framework requires simultaneously: it is posted before the full cost has been borne, it carries forward across the long tail of the cost it is meant to cover, and it discharges — observably, by a specific dollar figure — against a specific liability when the obligation comes due. The reclamation bonds mining companies post under the Surface Mining Control and Reclamation Act do this. The decommissioning bonds oil-and-gas operators post against well closure do this. The sovereign wealth fund Norway built against its petroleum extraction does this on a national scale. The reparations economics Darity and Mullen developed treats the obligation as a documented historical debt — bond-like in structure if not yet in name. The civic-republican tradition Pettit and Skinner recovered names a standing obligation against future generations that bond posting is the natural accounting form for. The traditions converge on the instrument. The framework uses the term in continuity with these traditions, and in the meaning they have long built into it.</w:t>
      </w:r>
    </w:p>
    <w:p>
      <w:pPr>
        <w:pStyle w:val="BodyText"/>
      </w:pPr>
      <w:r>
        <w:t xml:space="preserve">A reader engaging the framework’s</w:t>
      </w:r>
      <w:r>
        <w:t xml:space="preserve"> </w:t>
      </w:r>
      <w:r>
        <w:rPr>
          <w:i/>
          <w:iCs/>
        </w:rPr>
        <w:t xml:space="preserve">Restitution Bond</w:t>
      </w:r>
      <w:r>
        <w:t xml:space="preserve"> </w:t>
      </w:r>
      <w:r>
        <w:t xml:space="preserve">alongside the chapter’s lineage prose will notice an asymmetry the prose has not yet engaged: the bond is named</w:t>
      </w:r>
      <w:r>
        <w:t xml:space="preserve"> </w:t>
      </w:r>
      <w:r>
        <w:rPr>
          <w:i/>
          <w:iCs/>
        </w:rPr>
        <w:t xml:space="preserve">Restitution</w:t>
      </w:r>
      <w:r>
        <w:t xml:space="preserve">, the tradition that grounds the methodology is named</w:t>
      </w:r>
      <w:r>
        <w:t xml:space="preserve"> </w:t>
      </w:r>
      <w:r>
        <w:rPr>
          <w:i/>
          <w:iCs/>
        </w:rPr>
        <w:t xml:space="preserve">Reparations</w:t>
      </w:r>
      <w:r>
        <w:t xml:space="preserve">. The asymmetry is intentional and warrants the explanation.</w:t>
      </w:r>
      <w:r>
        <w:t xml:space="preserve"> </w:t>
      </w:r>
      <w:r>
        <w:rPr>
          <w:i/>
          <w:iCs/>
        </w:rPr>
        <w:t xml:space="preserve">Restitution</w:t>
      </w:r>
      <w:r>
        <w:t xml:space="preserve"> </w:t>
      </w:r>
      <w:r>
        <w:t xml:space="preserve">is the older legal-and-philosophical term for the obligation to restore what was taken — restitutio in integrum, restoration to the prior condition or its monetary equivalent — and the framework needs an umbrella broad enough to cover the full field of cost-severance contexts the bond will be posted against. The Coates-Darity-Mullen-Hamilton-Conley reparations tradition is the framework’s primary informing source; its methodology and rhetorical architecture are how the framework knows what it knows about backward-looking accountability. But</w:t>
      </w:r>
      <w:r>
        <w:t xml:space="preserve"> </w:t>
      </w:r>
      <w:r>
        <w:rPr>
          <w:i/>
          <w:iCs/>
        </w:rPr>
        <w:t xml:space="preserve">Reparations Bond</w:t>
      </w:r>
      <w:r>
        <w:t xml:space="preserve"> </w:t>
      </w:r>
      <w:r>
        <w:t xml:space="preserve">would narrow the umbrella to one historically-specific application and would make the methodology’s portability to environmental restitution (Libby asbestos), to occupational-disease restitution (the black lung trust fund), to community-restitution (McDowell), and to ecosystem-restitution (the Niger Delta) read as analogical extension rather than as direct instrument-application. The narrower alternatives fail differently.</w:t>
      </w:r>
      <w:r>
        <w:t xml:space="preserve"> </w:t>
      </w:r>
      <w:r>
        <w:rPr>
          <w:i/>
          <w:iCs/>
        </w:rPr>
        <w:t xml:space="preserve">Restoration Bond</w:t>
      </w:r>
      <w:r>
        <w:t xml:space="preserve"> </w:t>
      </w:r>
      <w:r>
        <w:t xml:space="preserve">presupposes physical restorability that many cost-severance harms — lives lost, ecosystems extinguished, communities dispersed — do not allow.</w:t>
      </w:r>
      <w:r>
        <w:t xml:space="preserve"> </w:t>
      </w:r>
      <w:r>
        <w:rPr>
          <w:i/>
          <w:iCs/>
        </w:rPr>
        <w:t xml:space="preserve">Indemnification Bond</w:t>
      </w:r>
      <w:r>
        <w:t xml:space="preserve"> </w:t>
      </w:r>
      <w:r>
        <w:t xml:space="preserve">routes through a third-party insurance register the framework does not operate in.</w:t>
      </w:r>
      <w:r>
        <w:t xml:space="preserve"> </w:t>
      </w:r>
      <w:r>
        <w:rPr>
          <w:i/>
          <w:iCs/>
        </w:rPr>
        <w:t xml:space="preserve">Damages Bond</w:t>
      </w:r>
      <w:r>
        <w:t xml:space="preserve"> </w:t>
      </w:r>
      <w:r>
        <w:t xml:space="preserve">collapses the bond instrument into the measurement instrument the framework already names separately.</w:t>
      </w:r>
      <w:r>
        <w:t xml:space="preserve"> </w:t>
      </w:r>
      <w:r>
        <w:rPr>
          <w:i/>
          <w:iCs/>
        </w:rPr>
        <w:t xml:space="preserve">Restitution Bond</w:t>
      </w:r>
      <w:r>
        <w:t xml:space="preserve"> </w:t>
      </w:r>
      <w:r>
        <w:t xml:space="preserve">covers what the alternatives cannot, while leaving room for the reparations tradition to retain its specific historical claim. The framework joins the tradition rather than translating it; the bond’s name marks the joining at the instrument level while the methodology, in its core moves, learns from where the tradition has already done the work.</w:t>
      </w:r>
    </w:p>
    <w:p>
      <w:pPr>
        <w:pStyle w:val="BodyText"/>
      </w:pPr>
      <w:r>
        <w:t xml:space="preserve">The Restitution Bond operates within an established academic and legal lineage. The argument-architecture for reparations claims grounded in structural-economic harm, rather than tortious individual acts, was articulated most influentially by Ta-Nehisi Coates in</w:t>
      </w:r>
      <w:r>
        <w:t xml:space="preserve"> </w:t>
      </w:r>
      <w:r>
        <w:rPr>
          <w:i/>
          <w:iCs/>
        </w:rPr>
        <w:t xml:space="preserve">The Case for Reparations</w:t>
      </w:r>
      <w:r>
        <w:t xml:space="preserve"> </w:t>
      </w:r>
      <w:r>
        <w:t xml:space="preserve">(</w:t>
      </w:r>
      <w:r>
        <w:rPr>
          <w:i/>
          <w:iCs/>
        </w:rPr>
        <w:t xml:space="preserve">The Atlantic</w:t>
      </w:r>
      <w:r>
        <w:t xml:space="preserve">, 2014) — an essay whose form is now widely recognized as having returned reparations to mainstream American political discourse. Coates’s framing pattern — name the specific mechanism by which harm was produced, name the specific harm, name the specific debt — is the rhetorical companion to what reparations economics develops methodologically. The framework’s CSD (Cost Severance Damages) instrument is a structural extension of Coates’s argument-architecture into extraction-community contexts: name the specific extraction mechanism (cost severance), name the specific harm (the documented life-expectancy gap, the institutional collapse, the cumulative health-care costs externalized to families and Medicare), name the specific debt (CSD as backward-looking accounting).</w:t>
      </w:r>
    </w:p>
    <w:p>
      <w:pPr>
        <w:pStyle w:val="BodyText"/>
      </w:pPr>
      <w:r>
        <w:t xml:space="preserve">Reparations economics develops Coates’s framing into formal methodology. William Darity Jr. and A. Kirsten Mullen’s</w:t>
      </w:r>
      <w:r>
        <w:t xml:space="preserve"> </w:t>
      </w:r>
      <w:r>
        <w:rPr>
          <w:i/>
          <w:iCs/>
        </w:rPr>
        <w:t xml:space="preserve">From Here to Equality: Reparations for Black Americans in the Twenty-First Century</w:t>
      </w:r>
      <w:r>
        <w:t xml:space="preserve"> </w:t>
      </w:r>
      <w:r>
        <w:t xml:space="preserve">(2020) is the contemporary landmark — their wealth-gap calculation methodology is the careful accumulation of specific economic mechanisms by which intergenerational harm has been transferred and compounded. Hamilton, Darity, Price, Sridharan, and Tippett’s</w:t>
      </w:r>
      <w:r>
        <w:t xml:space="preserve"> </w:t>
      </w:r>
      <w:r>
        <w:rPr>
          <w:i/>
          <w:iCs/>
        </w:rPr>
        <w:t xml:space="preserve">Umbrellas Don’t Make It Rain</w:t>
      </w:r>
      <w:r>
        <w:t xml:space="preserve"> </w:t>
      </w:r>
      <w:r>
        <w:t xml:space="preserve">(2015) extends the methodology empirically: matched-comparison work across achievement categories demonstrating that conventional explanations for the racial wealth gap (educational attainment, employment, family structure) cannot account for the gap’s magnitude — even Black households at the highest achievement strata display median wealth substantially below white households at lower achievement strata. The structural variable is wealth, not behavior. Dalton Conley’s earlier</w:t>
      </w:r>
      <w:r>
        <w:t xml:space="preserve"> </w:t>
      </w:r>
      <w:r>
        <w:rPr>
          <w:i/>
          <w:iCs/>
        </w:rPr>
        <w:t xml:space="preserve">Being Black, Living in the Red</w:t>
      </w:r>
      <w:r>
        <w:t xml:space="preserve"> </w:t>
      </w:r>
      <w:r>
        <w:t xml:space="preserve">(1999) established the wealth-as-structural-variable methodology these later works develop. The framework’s CSD instrument applies the same matched-comparison discipline to extraction-community contexts: McDowell County’s wealth collapse against comparable non-extraction Appalachian counties; Libby’s cumulative health-cost burden against comparable communities without W.R. Grace’s asbestos exposure; the opioid-Appalachia mortality demography against comparable counties where Purdue Pharma’s documented marketing-target mapping did not concentrate. The methodology is portable; the per-context calibration is what differs.</w:t>
      </w:r>
    </w:p>
    <w:p>
      <w:pPr>
        <w:pStyle w:val="BodyText"/>
      </w:pPr>
      <w:r>
        <w:t xml:space="preserve">The legal-architecture lineage the framework engages is most rigorously developed in Katharina Pistor’s</w:t>
      </w:r>
      <w:r>
        <w:t xml:space="preserve"> </w:t>
      </w:r>
      <w:r>
        <w:rPr>
          <w:i/>
          <w:iCs/>
        </w:rPr>
        <w:t xml:space="preserve">The Code of Capital</w:t>
      </w:r>
      <w:r>
        <w:t xml:space="preserve"> </w:t>
      </w:r>
      <w:r>
        <w:t xml:space="preserve">(2019). Pistor demonstrates that capital is not a natural asset class but a legal artifact: specific legal modules — property law, collateral law, trust law, corporate veil law, bankruptcy law, and choice-of-law clauses — encode assets as capital and protect that capital from accountability across jurisdictions. The Libby case is exactly the pattern she names. W.R. Grace’s bankruptcy filing was not an accident but a structural feature of the legal architecture: bankruptcy law allows the corporate-veil-protected entity to discharge liabilities by reorganizing, transferring claims onto creditors and the public. The 2009 acquittal was the criminal-law architecture failing to reach what Pistor names as a legal-architectural design feature, not a bug. The framework’s accountability-bond apparatus is the Pistor-adjacent move: where she diagnoses the legal modules that encode cost severance, the framework prices what the modules sever.</w:t>
      </w:r>
    </w:p>
    <w:p>
      <w:pPr>
        <w:pStyle w:val="BodyText"/>
      </w:pPr>
      <w:r>
        <w:t xml:space="preserve">A reader meeting</w:t>
      </w:r>
      <w:r>
        <w:t xml:space="preserve"> </w:t>
      </w:r>
      <w:r>
        <w:rPr>
          <w:i/>
          <w:iCs/>
        </w:rPr>
        <w:t xml:space="preserve">Foreclosure Bond</w:t>
      </w:r>
      <w:r>
        <w:t xml:space="preserve"> </w:t>
      </w:r>
      <w:r>
        <w:t xml:space="preserve">for the first time will hear the second word first, and most readers will hear it through the 2008 housing crisis — the wave of mortgage foreclosures that took primary assets out of household balance sheets across the country, with disproportionate concentration in Black and working-class communities. The framework names that association as continuity, not coincidence. Foreclosure derives from the Old French</w:t>
      </w:r>
      <w:r>
        <w:t xml:space="preserve"> </w:t>
      </w:r>
      <w:r>
        <w:rPr>
          <w:i/>
          <w:iCs/>
        </w:rPr>
        <w:t xml:space="preserve">forclore</w:t>
      </w:r>
      <w:r>
        <w:t xml:space="preserve"> </w:t>
      </w:r>
      <w:r>
        <w:t xml:space="preserve">— to bar from — and the mortgage-foreclosure event is one institutional context where the bar-from mechanism operates: a household is barred from continued access to a primary asset by a legal architecture that allows the bar-from to occur at scale. The framework names a structurally cousin instrument: future generations are barred from continued access to commons-options — habitable atmosphere, intact ecosystems, reserves of irreplaceable materials — by a legal-and-economic architecture that allows the bar-from to occur across time. Same mechanism. Different substrate. The Foreclosure Bond is the accountability instrument the framework proposes against the second bar-from. Alternative names were available and each fails for a specific reason.</w:t>
      </w:r>
      <w:r>
        <w:t xml:space="preserve"> </w:t>
      </w:r>
      <w:r>
        <w:rPr>
          <w:i/>
          <w:iCs/>
        </w:rPr>
        <w:t xml:space="preserve">Future-Generations Bond</w:t>
      </w:r>
      <w:r>
        <w:t xml:space="preserve"> </w:t>
      </w:r>
      <w:r>
        <w:t xml:space="preserve">loses the bar-from structural feature and reads as soft-philanthropic.</w:t>
      </w:r>
      <w:r>
        <w:t xml:space="preserve"> </w:t>
      </w:r>
      <w:r>
        <w:rPr>
          <w:i/>
          <w:iCs/>
        </w:rPr>
        <w:t xml:space="preserve">Sustainability Bond</w:t>
      </w:r>
      <w:r>
        <w:t xml:space="preserve"> </w:t>
      </w:r>
      <w:r>
        <w:t xml:space="preserve">has been co-opted by ESG-finance markets where the term has lost specificity.</w:t>
      </w:r>
      <w:r>
        <w:t xml:space="preserve"> </w:t>
      </w:r>
      <w:r>
        <w:rPr>
          <w:i/>
          <w:iCs/>
        </w:rPr>
        <w:t xml:space="preserve">Reclamation Bond</w:t>
      </w:r>
      <w:r>
        <w:t xml:space="preserve"> </w:t>
      </w:r>
      <w:r>
        <w:t xml:space="preserve">is already an established term in the Surface Mining Control and Reclamation Act regime the framework cites as part of the Foreclosure Bond’s lineage, but reclamation names the act of restoring a site after extraction — a subset of what the Foreclosure Bond covers, not the umbrella.</w:t>
      </w:r>
      <w:r>
        <w:t xml:space="preserve"> </w:t>
      </w:r>
      <w:r>
        <w:rPr>
          <w:i/>
          <w:iCs/>
        </w:rPr>
        <w:t xml:space="preserve">Conservation Bond</w:t>
      </w:r>
      <w:r>
        <w:t xml:space="preserve"> </w:t>
      </w:r>
      <w:r>
        <w:t xml:space="preserve">preserves the resource without naming the bar-from-future-options structural feature.</w:t>
      </w:r>
      <w:r>
        <w:t xml:space="preserve"> </w:t>
      </w:r>
      <w:r>
        <w:rPr>
          <w:i/>
          <w:iCs/>
        </w:rPr>
        <w:t xml:space="preserve">Intergenerational Bond</w:t>
      </w:r>
      <w:r>
        <w:t xml:space="preserve"> </w:t>
      </w:r>
      <w:r>
        <w:t xml:space="preserve">describes the temporal direction without naming the mechanism.</w:t>
      </w:r>
      <w:r>
        <w:t xml:space="preserve"> </w:t>
      </w:r>
      <w:r>
        <w:rPr>
          <w:i/>
          <w:iCs/>
        </w:rPr>
        <w:t xml:space="preserve">Foreclosure Bond</w:t>
      </w:r>
      <w:r>
        <w:t xml:space="preserve"> </w:t>
      </w:r>
      <w:r>
        <w:t xml:space="preserve">names the mechanism the others describe; the cousin-association the reader brings to the term is the right cousin to bring.</w:t>
      </w:r>
    </w:p>
    <w:p>
      <w:pPr>
        <w:pStyle w:val="BodyText"/>
      </w:pPr>
      <w:r>
        <w:t xml:space="preserve">The Foreclosure Bond operates in adjacent but distinct territory. The lineage here is environmental-bond economics — Hartwick’s rule for sustainable extraction (1977), the reclamation-bond tradition that mining and oil-and-gas regulation in the United States has implemented at varying levels of seriousness for half a century, and the sovereign wealth fund architecture that Norway built for its petroleum extraction. These are not reparations instruments. They are foreclosure-prevention instruments — accountability postings made against ongoing or proposed extraction whose costs would otherwise be inherited by future generations whose moral standing the framework treats seriously (Parfit 1984’s intergenerational impersonal-outcomes framework grounds this commitment philosophically).</w:t>
      </w:r>
    </w:p>
    <w:p>
      <w:pPr>
        <w:pStyle w:val="BodyText"/>
      </w:pPr>
      <w:r>
        <w:t xml:space="preserve">The Foreclosure Bond also operates within a political-philosophical lineage worth naming explicitly. The civic-republican tradition — most contemporarily articulated in Philip Pettit’s</w:t>
      </w:r>
      <w:r>
        <w:t xml:space="preserve"> </w:t>
      </w:r>
      <w:r>
        <w:rPr>
          <w:i/>
          <w:iCs/>
        </w:rPr>
        <w:t xml:space="preserve">Republicanism</w:t>
      </w:r>
      <w:r>
        <w:t xml:space="preserve"> </w:t>
      </w:r>
      <w:r>
        <w:t xml:space="preserve">(1997) and historically recovered in Quentin Skinner’s</w:t>
      </w:r>
      <w:r>
        <w:t xml:space="preserve"> </w:t>
      </w:r>
      <w:r>
        <w:rPr>
          <w:i/>
          <w:iCs/>
        </w:rPr>
        <w:t xml:space="preserve">Liberty Before Liberalism</w:t>
      </w:r>
      <w:r>
        <w:t xml:space="preserve"> </w:t>
      </w:r>
      <w:r>
        <w:t xml:space="preserve">(1998) — frames freedom as non-domination, and non-domination as requiring institutional architecture that future generations cannot trivially be subjected to. A society that extracts now in ways that subject future generations to dominated-conditions (climate destabilized by present emissions; commons foreclosed for present consumption; political-economic architectures rigged before future generations have political voice) violates the civic-republican commitment regardless of whether any specific contract has been broken. The Foreclosure Bond is the framework’s accounting instrument for that commitment: a society that does not post such a bond against ongoing extraction is, in civic-republican terms, dominating its future generations through the architecture of present consumption. The framework does not require the reader to accept civic-republican political philosophy as the only frame; the bond instrument operates regardless of which political-philosophical tradition supplies the moral standing of future generations. But the civic-republican framing is a substantial tradition that grounds the Foreclosure Bond’s core commitment, and the framework engages it explicitly under the discipline of accommodating where alternative traditions converge on the same accountability requirement.</w:t>
      </w:r>
    </w:p>
    <w:p>
      <w:pPr>
        <w:pStyle w:val="BodyText"/>
      </w:pPr>
      <w:r>
        <w:t xml:space="preserve">The two instruments are structurally independent. A community whose commons has already been largely consumed — McDowell after the coal era, the Niger Delta after sixty years of extraction — carries a high Restitution Bond obligation and a relatively lower Foreclosure Bond obligation, because the foreclosure has already happened. A context where extraction is proposed but has not yet occurred — asteroid mining as an ongoing thought experiment, deep-seabed mining as an emerging policy debate — carries a low Restitution Bond obligation and a high Foreclosure Bond obligation, because the foreclosure is what is being decided about now. Most real cases carry both: Norwegian petroleum extraction internalized substantial restitution through the welfare-state architecture for Norwegian citizens but did not internalize the foreclosure cost for non-Norwegian populations affected by Norwegian oil’s atmospheric externalities. Norway carries a paid Restitution Bond on its citizens; the Foreclosure Bond is globally underdeveloped. The decomposition is the apparatus that makes both visible simultaneously.</w:t>
      </w:r>
    </w:p>
    <w:p>
      <w:pPr>
        <w:pStyle w:val="BodyText"/>
      </w:pPr>
      <w:r>
        <w:t xml:space="preserve">The methodology this book has been demonstrating runs in one direction. Each case study — McDowell’s coal, Norway’s oil, the Macondo well, Libby vermiculite, Baotou’s tailings — has been priced forward. The framework’s apparatus — the four gates and the three ways of counting — does that work. The Technical Appendix §5.5 develops both directions formally; Chapter 6 develops each.</w:t>
      </w:r>
    </w:p>
    <w:p>
      <w:pPr>
        <w:pStyle w:val="BodyText"/>
      </w:pPr>
      <w:r>
        <w:t xml:space="preserve">The same apparatus runs in reverse.</w:t>
      </w:r>
    </w:p>
    <w:p>
      <w:pPr>
        <w:pStyle w:val="BodyText"/>
      </w:pPr>
      <w:r>
        <w:t xml:space="preserve">In later chapters we will walk through a theoretical use case of the abundance of clean air being stripped — by an off-world colony on Mars engineering its own atmosphere, by a climate crisis on Earth — costs of atmospheric services become visible that the abundance had masked. The framework gates and triangulates them. This is the forward case. When the abundance of freedom is stripped — by slavery, by forced labor, by the variants of coercion that have organized large parts of human history — the costs of the autonomy commons surface that the abundance had hidden. The framework’s apparatus reaches these costs too. They yield to the same four gates. They triangulate through the same three methods, applied backward:</w:t>
      </w:r>
      <w:r>
        <w:t xml:space="preserve"> </w:t>
      </w:r>
      <w:r>
        <w:rPr>
          <w:b/>
          <w:bCs/>
        </w:rPr>
        <w:t xml:space="preserve">Method 1 — Replacement Cost</w:t>
      </w:r>
      <w:r>
        <w:t xml:space="preserve"> </w:t>
      </w:r>
      <w:r>
        <w:t xml:space="preserve">(here: remediation cost rather than substitute-engineering cost);</w:t>
      </w:r>
      <w:r>
        <w:t xml:space="preserve"> </w:t>
      </w:r>
      <w:r>
        <w:rPr>
          <w:b/>
          <w:bCs/>
        </w:rPr>
        <w:t xml:space="preserve">Method 2 — Revealed Preference</w:t>
      </w:r>
      <w:r>
        <w:t xml:space="preserve"> </w:t>
      </w:r>
      <w:r>
        <w:t xml:space="preserve">(here: revealed restitution rather than revealed restraint);</w:t>
      </w:r>
      <w:r>
        <w:t xml:space="preserve"> </w:t>
      </w:r>
      <w:r>
        <w:rPr>
          <w:b/>
          <w:bCs/>
        </w:rPr>
        <w:t xml:space="preserve">Method 3 — Scarcity-Adjusted Option Value</w:t>
      </w:r>
      <w:r>
        <w:t xml:space="preserve"> </w:t>
      </w:r>
      <w:r>
        <w:t xml:space="preserve">(here: the option value extinguished at the time of past extraction, evaluable from what we know now).</w:t>
      </w:r>
    </w:p>
    <w:p>
      <w:pPr>
        <w:pStyle w:val="BodyText"/>
      </w:pPr>
      <w:r>
        <w:t xml:space="preserve">The most developed backward-direction work in the contemporary literature is Darity and Mullen’s</w:t>
      </w:r>
      <w:r>
        <w:t xml:space="preserve"> </w:t>
      </w:r>
      <w:r>
        <w:rPr>
          <w:i/>
          <w:iCs/>
        </w:rPr>
        <w:t xml:space="preserve">From Here to Equality</w:t>
      </w:r>
      <w:r>
        <w:t xml:space="preserve"> </w:t>
      </w:r>
      <w:r>
        <w:t xml:space="preserve">(2020), which prices the racial wealth gap accumulated through American policy choices since 1619. The methodology is the framework’s, applied backward, with Darity and Mullen as the primary developers. Their more recent work prices the longevity gap — the six-to-seven year average life-expectancy differential between Black-American and white-American populations — as a measurable legacy effect. McDowell County’s thirteen-year life-expectancy gap, cited in earlier chapters, is the same legacy-effect variant applied to coal-extraction-affected populations.</w:t>
      </w:r>
    </w:p>
    <w:p>
      <w:pPr>
        <w:pStyle w:val="BodyText"/>
      </w:pPr>
      <w:r>
        <w:t xml:space="preserve">A note on vocabulary. Darity and Mullen structure reparations as a three-component program: acknowledgment-and-atonement;</w:t>
      </w:r>
      <w:r>
        <w:t xml:space="preserve"> </w:t>
      </w:r>
      <w:r>
        <w:rPr>
          <w:i/>
          <w:iCs/>
        </w:rPr>
        <w:t xml:space="preserve">redress</w:t>
      </w:r>
      <w:r>
        <w:t xml:space="preserve">, decomposing into symbolic redress and material restitution (they declare in favor of restitution); and closure. The framework’s</w:t>
      </w:r>
      <w:r>
        <w:t xml:space="preserve"> </w:t>
      </w:r>
      <w:r>
        <w:rPr>
          <w:i/>
          <w:iCs/>
        </w:rPr>
        <w:t xml:space="preserve">Restitution Bond</w:t>
      </w:r>
      <w:r>
        <w:t xml:space="preserve"> </w:t>
      </w:r>
      <w:r>
        <w:t xml:space="preserve">is positioned, then, not as a concept alongside reparations but as the instrument that operationalizes the restitution component of redress within their framework, extended to the broader case-class this book engages. When the framework calls something a Restitution Bond, it uses their language inside their typology, not against it.</w:t>
      </w:r>
    </w:p>
    <w:p>
      <w:pPr>
        <w:pStyle w:val="BodyText"/>
      </w:pPr>
      <w:r>
        <w:t xml:space="preserve">Some backward variables sit at the framework’s analytical boundary rather than inside it. The coercion vector itself — what should be assigned to coerced labor as a cost dimension, distinct from coerced labor’s legacy effects — remains methodologically unresolved in the reparations-economics field. Slavery’s structural distinctness from the cigarette-industry case, the Libby asbestos case, the opioid-Appalachia case, is that those cases operate through information-asymmetry: workers and consumers proceeded because they did not know what they would bear. Coerced extraction is different: the cost-bearer knows, and is forced to bear it anyway. The framework reaches coerced cases through their legacy effects — wealth gaps, longevity gaps, cultural-knowledge transmission disruption, intergenerational trauma. The direct pricing of the coercion vector remains an open question, acknowledged outside the book’s empirical scope; the Technical Appendix’s scope-of-applicability boundary at §1.10 names the variable explicitly (informed by Darity, personal communication, May 2026).</w:t>
      </w:r>
    </w:p>
    <w:p>
      <w:pPr>
        <w:pStyle w:val="BodyText"/>
      </w:pPr>
      <w:r>
        <w:t xml:space="preserve">Indigenous land dispossession, cultural-knowledge severance through colonization, the multi-generational accumulation of cohesion-commons damage — each sits in the same territory: structurally accessible to the framework’s methodology applied backward, computed in subsequent work rather than this book.</w:t>
      </w:r>
    </w:p>
    <w:p>
      <w:pPr>
        <w:pStyle w:val="BodyText"/>
      </w:pPr>
      <w:r>
        <w:t xml:space="preserve">This is by design. The book demonstrates the framework forward; the backward application is structurally identical methodology, carried in formal articulation in the Technical Appendix (§5.5). Voices in the reparations-economics tradition — Darity, Mullen, Hamilton, Coates, Anderson, and the broader field — have been doing this work for years; the framework recognizes and defers to their work in identifying and pricing the variables.</w:t>
      </w:r>
    </w:p>
    <w:p>
      <w:pPr>
        <w:pStyle w:val="BodyText"/>
      </w:pPr>
      <w:r>
        <w:t xml:space="preserve">What this chapter has documented is the empirical state of bond posting in the American extraction regimes: the bond posted is far below the residual commons value, in nearly every case examined here, by orders of magnitude. The federal Black Lung Benefits Program has paid out forty-four billion dollars across half a century — a real number, not a small one — and the program’s Trust Fund carries roughly five point one billion dollars in outstanding debt as of September 2024, with no instrument in place that prices the cost severance the trust fund was designed to compensate for. The reclamation bonds posted by mining companies cover four to six billion dollars less than the actual reclamation cost of the sites whose extraction generated the bonds. The intergenerational obligation embedded in the Social Security trust-fund accounting has no Foreclosure Bond against it; the cost is structurally guaranteed to be borne by whichever generation happens to be in working age when the obligation matures. The framework names this as the accountability gap, and the gap is what the next chapters’ methodology and policy work address.</w:t>
      </w:r>
    </w:p>
    <w:p>
      <w:pPr>
        <w:pStyle w:val="BodyText"/>
      </w:pPr>
      <w:r>
        <w:t xml:space="preserve">The reparations-economics framing carries one further discipline. Reparations economics treats the question of</w:t>
      </w:r>
      <w:r>
        <w:t xml:space="preserve"> </w:t>
      </w:r>
      <w:r>
        <w:rPr>
          <w:i/>
          <w:iCs/>
        </w:rPr>
        <w:t xml:space="preserve">what is owed</w:t>
      </w:r>
      <w:r>
        <w:t xml:space="preserve"> </w:t>
      </w:r>
      <w:r>
        <w:t xml:space="preserve">as separate from the question of</w:t>
      </w:r>
      <w:r>
        <w:t xml:space="preserve"> </w:t>
      </w:r>
      <w:r>
        <w:rPr>
          <w:i/>
          <w:iCs/>
        </w:rPr>
        <w:t xml:space="preserve">what is politically feasible to collect</w:t>
      </w:r>
      <w:r>
        <w:t xml:space="preserve">. The Restitution Bond methodology applies regardless of whether any specific society is currently prepared to post the bond. The framework’s contribution, in this regard, is not advocacy — it is accounting. What the bond would have to be, if the cost severance documented in this chapter were accounted for honestly, is the methodology’s question. What political path leads from current bond levels to levels approaching the residual commons value is a separate question, addressed in Chapter 9’s policy economy and explicitly scoped, per the framework’s discipline, as an open political-philosophical question rather than as a single-instrument prescription this book attempts to legislate.</w:t>
      </w:r>
    </w:p>
    <w:p>
      <w:pPr>
        <w:pStyle w:val="BodyText"/>
      </w:pPr>
      <w:r>
        <w:t xml:space="preserve">This chapter has named the cost severance the American extraction regimes produce, documented the empirical pattern across six cases — at financial-system, intergenerational, and institutional-medical scales — engaged the strongest counter-positions a sympathetic reader could press against the structural finding, and introduced the framework’s two-instrument response apparatus alongside the academic-and-legal lineages that ground it. What remains is methodology. The next chapter formalizes the apparatus: the Commons Inversion Test that admits cost claims to the framework’s accounting; the four gates that filter admitted claims for unit-consistency, boundedness, and independence; the three ways of estimating Residual Commons Value when no single estimation method is sufficient; the Hotelling Identity that bridges the framework to standard resource economics. After methodology, Chapter 7 walks the framework through thought-experiment scaling — does the apparatus hold under maximally-different conditions of off-Earth extraction? — and Chapter 8 walks one ton of Appalachian coal through the framework’s full cost-decomposition that produces the chapter’s most concrete numerical example. The policy economy that Chapter 9 develops, the closing reflection that Chapter 10 offers, and the technical appendix that operationalizes everything for academic-reviewer engagement all build on the apparatus this chapter has now introduced. The accounting framework exists; what remains is its formalization, its testing, and its honest engagement with the political work of building accountability architecture in societies that have, until now, declined to build it.</w:t>
      </w:r>
    </w:p>
    <w:p>
      <w:pPr>
        <w:pStyle w:val="BodyText"/>
      </w:pPr>
      <w:r>
        <w:t xml:space="preserve">That is the question the next three chapters address. Not whether cost severance exists, but what we do about it.</w:t>
      </w:r>
    </w:p>
    <w:p>
      <w:r>
        <w:pict>
          <v:rect style="width:0;height:1.5pt" o:hralign="center" o:hrstd="t" o:hr="t"/>
        </w:pict>
      </w:r>
    </w:p>
    <w:p>
      <w:pPr>
        <w:pStyle w:val="FirstParagraph"/>
      </w:pPr>
      <w:r>
        <w:t xml:space="preserve">— End of Chapter 5 —</w:t>
      </w:r>
    </w:p>
    <w:bookmarkEnd w:id="16"/>
    <w:bookmarkEnd w:id="17"/>
    <w:bookmarkEnd w:id="18"/>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2026-05-14T15:21:25Z</dcterms:created>
  <dcterms:modified xsi:type="dcterms:W3CDTF">2026-05-14T15:21:25Z</dcterms:modified>
</cp:coreProperties>
</file>

<file path=docProps/custom.xml><?xml version="1.0" encoding="utf-8"?>
<Properties xmlns="http://schemas.openxmlformats.org/officeDocument/2006/custom-properties" xmlns:vt="http://schemas.openxmlformats.org/officeDocument/2006/docPropsVTypes"/>
</file>