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COMMONS BONDS — SESSION ARCHIVE &amp; DECISION LOG</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Chris Winn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updated: April 19, 2026</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 This document preserves the key decisions, framework evolution, and rationale from all Commons Bonds chat sessions so those chats can be safely deleted. Everything generated in those sessions is now in Google Drive documents. This file captures the WHY behind the WHAT.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1 -- FRAMEWORK EVLUTIION: KEY DEVELOPMENT DEPICIONS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decisions that shaped the framework)</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VOCABULARY FAMILY (finalized early April 2026)</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four core terms and why they landed where they did: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Cost Severance: The mechanism named. Chosen over alternatives because "severance" carries both the legal and physical sense of cutting loose. Transcends capitalism -- works for feudalism, Soviet planning, every system that has ever concentrated power.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Residual Commons Value (RCV): The measurement. "Residual" because it is what remains after the market price has been paid and the value has been captured -- the cost left behind.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Commons Bonds: The framework name carries a double meaning: (1) obligations owed to the commons, and (2) common bonds -- the shared identity between extracted communities. This double meaning is the book's closing image.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Capture (works, not "value extraction"): The economic act of taking value. "Extraction" is reserved for the physical act of pulling material from the ground.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THREE CONCEPTUAL CONTRIBUTIONS (finalized mid-April 2026)</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multiple sessions debating the pillar arrangement, Option C was chosen after a full stress-test against six hostile reader archetypes: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PILLARS: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Cost Severance -- naming the mechanism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Residual Commons Value -- pricing what was unpriceable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METHODOLOGIES: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Abundance Inversion Test -- discovery methodology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Universality Test -- validation methodology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RETIRED TERMS (never use again):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Solidarity Architecture -- retired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Departure Liability -- retired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V_civ (civilizational value) -- retired (unfalsifiable)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ESG acronym -- renamed to CSG (Civilizational Substitutability Gap)</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BOOK'S SPINE (FINAL)</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Previous spine: Mechanism --&gt; Math --&gt; Thought experiment about civilization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spine: Mechanism --&gt; Math --&gt; Universal Validation --&gt; Actionable Policy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IT CHANGED: The interplanetary universality test (Mars colony water) is not a thought experiment -- it is a validation method. The fact that the RCV framework produces the obviously correct answer on Mars proves it produces the non-obvious correct answer on Earth. This changed the book from a critique with a speculative ending to a framework with a universal validation and an actionable policy conclusion.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ABUNDANCE TEST (added mid-April 2026)</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abundance inversion test was added as a methodological innovation that bridges the RCV formula and accessible explanation. Key pedagogical value: stripping away layers of abundance makes invisible costs visible. Relationship to RCV: discovery methodology (reveals which costs belong in E(R,t)); RCV measures them. The two are complementary, not redundant.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COST SEVERANCE REQUIRES DISTANCE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deepest structural insight from the Mars colony rare earth scenario (Scenario 5 of the universality test): When the extractor and the cost-bearer are the same people, CS --&gt; 0 automatically. Cost severance requires geographic, temporal, or social distance between value-capturer and cost-bearer. This explains why McDowell County bears costs while consumers 1,000 miles away do not.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THE CORE TERMINOLOGY AUDIT (completed April 19, 2026)</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sweeps: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ESG --&gt; CSG: Complete across all working documents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Extraction --&gt; Value Capture: Already clean in all active documents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Legacy term purge (solidarity architecture, departure liability): Already clean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Non-renewable audit (softening to "commons extraction, most dramatically for non-renewables"): Complete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Definition A.1 updated to Commons Resource (includes renewables harvested above regeneration rate)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2 -- THE TECHNICAL APPENDIX HISTORY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AUTHORITATIVE FILE: commons_bonds_technical_appendix_COMPLETE.html</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(71,581 bytes -- supersedes all prior versions)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THREE-TIER FRAMEWORK established early in math proof development session: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 1 (Main text): Narrative, accessible to any educated reader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 2 ("Mathematics of Permanent Foreclosure" chapter): Accessible to policy reader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 3 (Technical Appendix): Full formalization for economists, peer reviewers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THE OLD VERSION WAS MISSING (19,164 bytes, truncated):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Definitions A.7-A.9</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Eight-Tier FGC Decomposition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Theorems on Renewable Imperative and Integral Convergence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Three universality scenarios (comet flyby, Europa, exoplanet)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Libby and Baotou empirical cases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Literature Engagement section (most critical missing piece)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 independence defense from Ripple Effects 2.0</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PATCHES ADDED (April 19, 2026):</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 of Theorem E.1: Falsifiability examples (sand mining, plantation timber as near-zero CS cases)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Section G.5: Historical application and transition justice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Limitation J.7: Political capture of the measurement process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LITERATURE ENGAGEMENT DEPICIONS: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Hotelling (1931): RCV augments Hotelling, not replaces it. Hotelling prices scarcity rent for the owner; RCV prices foreclosure cost for humanity.</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Hartwick (1977): Rule implemented by Norway's fund. RCV generalizes Hartwick to S_max &lt;= 1 (imperfect substitution).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Weitzman (2001): Declining discount rates adopted directly. Conservative choice that biases RCV downward.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Rawls (1971): RCV is the Rawlsian veil applied to resource extraction across time.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Ostrom (1990): Works for renewable commons; RCV extends to non-renewable case.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Daly (1990s): RCV operationalizes Daly's strong sustainability mathematically.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Harvey (2003): Harvey diagnoses; RCV measures. IPG gives the power analysis a number.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3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