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$100 Barrel**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Consider a barrel of oil sitting in the earth beneath, say, West Texas. The market will pay roughly a hundred dollars for it. That price represents a negotiation between what it costs to pull the barrel out of the ground and what a refinery is willing to pay to turn it into fuel, plastic, fertilizer. The price is real. It reflects supply chains, geopolitics, futures contracts, the whole apparatus of modern commodity markets. What it does not reflect is the fact that the barrel, once burned, is gone — not depleted in the way a fishery can be depleted and then recover, but gone in the way a conversation is gone once the last person who remembers it dies. The earth will not make more oil on any timescale relevant to human civilization.  That hundred-dollar price captures what a buyer will pay today. It does not capture what the earth permanently loses, what the community above the wellhead will absorb in healthcare costs and contaminated aquifers, or the fact that every future generation — every one, from here to the heat death of the species — will never have access to that barrel. The price captures the present. The cost extends to permanence.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gap between price and cost is not a market failure in the ordinary sense. It is something more unsettling: a conceptual vacancy at the center of every major economic framework we have. Classical economics treats a barrel of oil the way it treats any input — as a commodity whose value is determined by supply and demand, with scarcity priced in at the margin through what Harold Hotelling formalized in 1931  as a rising “scarcity rent.” But Hotelling’s model optimizes the extraction path for the resource owner,  not for humanity.  It tells you when to sell your oil.  It tells you nothing about what it means for the species when the oil is gone. Marxism gets closer to the structural problem: it sees extraction as a site of surplus capture, and it is right that the question of who profits matters enormously. But even Marx’s most ecological interpreters have focused on who captures the value of the barrel, not on the barrel’s permanent disappearance from the commons of the earth. And Elinor Ostrom — whose Nobel-winning work on commons governance remains the most sophisticated institutional analysis we have of shared resources — designed her framework for resources that regenerate. Her eight design principles work beautifully for fisheries, forests, irrigation systems,  cases where the core challenge is managing a sustainable harvest rate. A barrel of oil has no sustainable harvest rate. It can only be extracted once. Ostrom gives us governance for the renewable commons. She gives us nothing for the farewell.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Three thinkers get us closer to the problem, and each one illuminates a different wall of the room we are trapped in.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John Rawls asked the most productive question in twentieth-century political philosophy: what principles of justice would you choose if you did not know your position in society? Behind what he called the “veil of ignorance,” stripped of knowledge about your class, your talents, your race, you would — Rawls argued — choose principles that protect the worst-off, because you might be the worst-off.  Now extend the veil across time. Rawls himself gestured toward this in his “just savings principle,” arguing that each generation owes something to those that follow,   and insisting that a just society must choose only those principles it would wish all preceding and succeeding generations to have followed.  But his framework was limited — he focused on saving enough to maintain just institutions, not on preserving the natural endowment,  and he frankly admitted the problem “subjects ethical theory to severe if not impossible tests.”  Later philosophers, particularly Brian Barry, sharpened the intergenerational application: the overall range of opportunities open to successive generations should not be narrowed.  But the thought experiment itself is devastating enough. If you did not know which generation you would be born into — whether 2024 or 2224 or 2524 — would you consent to an extraction regime that treats the planet’s one-time endowment of non-renewable resources as the property of whoever gets to it first? Rawls himself insisted there are “no grounds for discounting future well-being on the basis of pure time preference.”   Yet that is precisely what every barrel extracted at market price does. It values the present at par and the future at zero.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John Hartwick, writing in 1977, offered what looked like an answer. His rule was elegantly simple: invest all rents from exhaustible resource extraction in reproducible capital — machines, infrastructure, knowledge — so that wealth is transformed rather than consumed.   If you pump a billion dollars’ worth of oil, you invest a billion dollars in something that will keep producing value after the oil is gone. Norway’s sovereign wealth fund, now surpassing $1.9 trillion, is the cleanest real-world application of Hartwick’s Rule,  and the next section of this essay will examine it closely. But Hartwick addresses the revenue problem, not the resource problem. His rule ensures that the money is preserved.  It cannot ensure that the barrel is preserved, because the barrel cannot be preserved — it can only be burned or left in the ground. Even perfect Hartwick compliance, even a flawless sovereign wealth fund earning returns in perpetuity, leaves the physical resource permanently gone and the atmosphere permanently altered. The rule converts natural capital to financial capital and calls the books balanced. But the books are balanced only if you believe a dollar in a Norwegian index fund is the same thing as a barrel of oil still available to future civilizations — that natural capital and manufactured capital are freely interchangeable.   The ecological economists, led by Herman Daly, spent half a century arguing that they are not.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Daly, more than anyone, identified the architecture of the problem. His steady-state economics insists that the economy is a subsystem of the biosphere, not the other way around, and that the scale of economic activity must operate within the regenerative capacity of natural systems.   This is precisely right. But a barrel of oil has no regenerative capacity. It is not a flow to be managed; it is a stock to be spent exactly once. Daly acknowledged this honestly — he called the use of non-renewables only “quasi-sustainable” and proposed that depletion be limited to the rate at which renewable substitutes can be developed.  His most vivid formulation: you cannot bake a hundred-pound cake with one pound of ingredients, no matter how many ovens you build. Capital and resources are complements, not substitutes, and the one in short supply is limiting.   He offered institutional tools — depletion quotas, severance taxes, paired investment requirements.  But he did not offer a pricing mechanism for permanent loss. He set quantity limits and let prices adjust upward. The question of what the permanent foreclosure of the barrel is actually worth — what the earth loses when the barrel leaves it — remained unanswered. Daly correctly identified that the economy cannot outgrow the earth.   His framework could not tell you what the earth permanently loses when a single barrel exits it.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Here is the gap that all three thinkers leave open. Rawls tells us the extraction is unjust if future generations would not consent to it.  Hartwick tells us the revenue can be preserved even though the resource cannot. Daly tells us the economy must respect biophysical limits but offers no metric for what is permanently sacrificed when it doesn’t. None of them prices what I am calling the residual commons value of the barrel — the worth of having that barrel available, in the ground, accessible to every future generation that will now never have it. This is not the market price. It is not the option value, which prices the possibility that you might want the resource later.  It is not the existence value, a concept developed for endangered species that measures the worth of knowing something exists.  Residual commons value is the value of permanent availability itself — the worth that was destroyed not when the barrel was used badly but when it was used at all. Every barrel extracted at market price captures the commodity value and discards the residual commons value entirely. Profit taken, cost left, obligation severed.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If we cannot price permanent foreclosure — and no existing framework does — then every extraction of a non-renewable resource is, by definition, an act of intergenerational cost severance. The cost is cut free from the generation that profits and transferred, silently and permanently, to every generation that follows. Those future generations had no vote, no representative in the transaction, no seat at the table where the price was set.  This is not a left critique or a right one. It is an accounting observation. Any conservative who believes that whoever creates a cost should bear it, any libertarian who holds that you cannot impose involuntary obligations on others, should find the current arrangement indefensible — not because extraction is wrong, but because the cost of extraction is assigned to parties who never consented to bear it. What we are missing is not a policy. What we are missing is not even a politics. We are missing an instrument — a way to make the permanent visible in the price, so that at minimum, the generation that burns the barrel knows what it is actually spending. Every economic framework we have prices the barrel as a commodity. None of them prices it as an inheritance.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