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Nigeria Contrast Case — Placeholder for Book Placement</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Source: Revised Noema draft, Section IV (The Existence Proof), positioned immediately after the paragraph on Norway's results and before the paragraph on Norway's limitations.</w:t>
      </w:r>
    </w:p>
    <w:p w:rsidR="00000000" w:rsidDel="00000000" w:rsidP="00000000" w:rsidRDefault="00000000" w:rsidRPr="00000000" w14:paraId="00000004">
      <w:pPr>
        <w:spacing w:after="240" w:before="240" w:lineRule="auto"/>
        <w:rPr/>
      </w:pPr>
      <w:r w:rsidDel="00000000" w:rsidR="00000000" w:rsidRPr="00000000">
        <w:rPr>
          <w:rtl w:val="0"/>
        </w:rPr>
        <w:t xml:space="preserve">Now consider what happened when countries did </w:t>
      </w:r>
      <w:r w:rsidDel="00000000" w:rsidR="00000000" w:rsidRPr="00000000">
        <w:rPr>
          <w:i w:val="1"/>
          <w:iCs w:val="1"/>
          <w:rtl w:val="0"/>
        </w:rPr>
        <w:t xml:space="preserve">not</w:t>
      </w:r>
      <w:r w:rsidDel="00000000" w:rsidR="00000000" w:rsidRPr="00000000">
        <w:rPr>
          <w:rtl w:val="0"/>
        </w:rPr>
        <w:t xml:space="preserve"> make Norway's choice. Nigeria sits atop the same kind of resource wealth. The Niger Delta's communities have absorbed decades of ecological destruction — oil spills, gas flaring, water contamination, displacement — while the revenue flowed to multinational corporations and a narrow political elite. The contrast is not geological. Both countries had oil. The difference is entirely a matter of whether the political economy captured the resource value for the community or allowed its extraction by external capital. What appears as natural economic outcome in the American and Nigerian cases is, as the Norwegian case proves, a political choice embedded in institutional arrangements.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That's the full passage. It does two things the essay currently doesn't: it gives Norway a mirror-opposite that makes the "cost severance is a choice" argument undeniable, and it connects the Appalachian experience to a global pattern without requiring a full international chapter. Whether it lands in the Noema essay, the book's Norway chapter, or the book's international comparison chapter is a decision you can make later. Save it and you're clear to delete this chat.</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