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Book Two: The Subsidy Economy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*Shelf Document — material extracted from Chapter 8 scaffold and associated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conversations; held for future development once Book One is published 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framework has had time to circulate.*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By Chris Winn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Working Title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*The Subsidy Economy* (primary)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Alternatives: *What Everything Actually Costs* / *The Invisible Subsidy*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One-Line Spine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modern global economy is a systemic transfer from the powerless to the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powerful, priced at $10–15 trillion per year, and honest accounting reveals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both the subsidy and the infrastructure required to replace it.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Relationship to Book One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Book One (*Commons Bonds*) names the mechanism and introduces the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vocabulary. Book Two takes the framework as given and applies it at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civilizational scale. Book One is framework work. Book Two is advocacy work.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books share an author and a vocabulary but not a job.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Timing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Not before Book One has been published for 3–5 years. Write as notes now;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 not draft as manuscript until the framework has entered discourse and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political infrastructure for publication (coauthor, institutional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affiliation, legal protection) is in place.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Provisional Chapter Structure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Part I — The Subsidy Made Visible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**Ch 1. The $10–15 Trillion Subsidy.** Open with the aggregate claim and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arithmetic that produces it. Per-resource mispricing ratios from Book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One's cases scaled to global extraction.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**Ch 2. Who Pays the Difference.** The geography and demography of where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severed costs land: extraction communities, future generations, ecological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systems. The flow is always from concentrated-loss bearers to diffuse-gain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capturers.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**Ch 3. Who Captures the Gain.** Sectoral breakdown of which industries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derive what share of their profitability from unpriced externalities.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Fossil fuels, industrial agriculture, primary mining, industrial fisheries,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fossil aquifer agriculture, the pharmaceutical industry's long-tail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externalities, financial capture of pension-system severance.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Part II — The Full-Economy Simulation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**Ch 4. Fossil Fuels Repriced.**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Coal: $500–700/ton; uncompetitive with renewables; mining ceases for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energy applications within years; metallurgical coal persists at high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prices, accelerating EAF and hydrogen steel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Oil: $250–400/barrel; gasoline triples to quadruples; EVs become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obviously economic; air travel doubles (back to 1960s inflation-adjusted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levels); petrochemicals restructure toward bio-based alternatives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Natural gas: $8–15/MMBtu; heat pump transition accelerates; "bridge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fuel" framing collapses into transitional framing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**Ch 5. Minerals and Metals Repriced.**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Rare earths: 2–3x current prices (~$150–250/kg neodymium oxide);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modest consumer-electronics impact (~$1–2 per smartphone → $2–4);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strategic reserves for conditionally high-CSG deposits; recycling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research accelerates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Lithium: 2–3x; water-table depletion externalities in South American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salt flats; moderate CSG; alternative battery chemistry research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accelerates; circular lithium economy becomes viable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Iron ore: 20–40% increase; modest; CSG near zero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Copper: 50–100% increase; recycling economically dominant; aluminum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substitution accelerates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**Ch 6. Water, Soil, Forest, Fish.**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Fossil aquifer drawdown (Ogallala, North China Plain, Arabian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Peninsula): dramatic cost increase; Great Plains industrial agriculture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restructures; drought-resistant crops dominate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Old-growth timber: effectively priced out of market; engineered wood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and plantation timber dominate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Overfishing: economically impossible because externality pricing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exceeds market value of catch; aquaculture dominates; fish prices rise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modestly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Soil depletion as slow-motion non-renewable extraction: industrial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agriculture loses cost advantage over regenerative; food prices rise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short-term, stabilize long-term; regenerative farming becomes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cost-competitive or cheaper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Part III — The Distributional Crisis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**Ch 7. The Cost-of-Living Arithmetic.** Representative household: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Energy (7% of budget × 3x) = up 14 points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Food (12% × 1.4x) = up 4.8 points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Transport (16% × 2.5x) = up 24 points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Housing (30% × 1.2x) = up 6 points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Total: ~49 point increase in cost of living, or 40–50% for average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developed-world household.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**Ch 8. Why the Bottom 40% Cannot Absorb This.** Current essential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spending for bottom 40%: 80–95% of income. After 40–50% increase in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essentials: 112–142% of income. Mathematically impossible without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additional income or subsidized essentials. The transition itself, if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unmanaged, becomes a new form of cost severance.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**Ch 9. Where the Money Goes.** Three options for the pricing surplus: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**Option A:** To the extractors (higher profits). Outcome: massive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wealth concentration, devastating cost-of-living increases, no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improvement in accountability. The worst and most likely default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outcome under unregulated pricing.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**Option B:** To governments (through taxation/fees/bonds).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Trillions per year globally. Question becomes: what do governments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do with it?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**Option C:** Directly to affected communities and future-generation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funds (through Norway-style sovereign funds, community benefit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agreements, spatial cost severance compensation, intergenerational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trusts).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**Options B and C are the only paths that avoid the distributional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catastrophe.**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### Part IV — The Structural Discovery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**Ch 10. The Universal Floor Is Arithmetic, Not Ideology.** The math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forecloses the alternative. If essentials rise by 40% and the bottom 40%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already spends 65–95% of income on essentials, you need to either give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them more money or provide the essentials outside the market. There is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no third option.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universal floor is not a moral preference. It is a structural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requirement of honest pricing. Without it, honest pricing creates a new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form of cost severance: the transition extracts from the poor.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**Ch 11. Cash Transfers vs. Universal Provision.** Two mechanisms for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recycling the pricing surplus. Alaska's Permanent Fund Dividend as the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cash-transfer example (oil revenue → citizen payments). Nordic models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as the universal-provision example (healthcare, education, housing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support). The model does not dictate which is correct. The math dictates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that the surplus must flow back in some form.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**Ch 12. The "Completed Capitalism" Insight.** Full externality pricing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is not socialism. It is the completion of the market mechanism Adam Smith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described. Smith argued explicitly against producers externalizing costs.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current system is a market where certain costs are hidden. Full RCV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pricing corrects the market's largest systematic error. The result is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*more* efficient allocation, not less.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### Part V — The New Equilibrium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**Ch 13. Medium-Term Adjustment (Years 5–15).**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Massive capital flight into renewables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Wholesale electricity prices begin falling as renewable capacity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exceeds fossil capacity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Food prices stabilize at a new level, then decline as regenerative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practices mature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Recycling becomes economically dominant; urban mining emerges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Employment disruption in extraction communities (analog to McDowell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County if unmanaged)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Demand destruction and efficiency gains (analog to post-1970s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energy intensity decline)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**Ch 14. Long-Term Equilibrium (Years 15–50).**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Energy cheaper than today (renewables at $20–40/MWh wholesale with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mature storage; below current fossil electricity)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Materials more expensive but more efficiently used; circular flows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reduce virgin throughput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Food moderately more expensive but more stable and less volatile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Essential services publicly funded from the pricing surplus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Extraction communities compensated via spatial cost severance pricing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(McDowell-equivalent communities receive billions over the life of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extraction)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Strategic reserves exist for high-CSG resources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Economy still capitalist (private ownership, market prices, profit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motive, competition) but with a robust public floor funded by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externality pricing rather than income taxation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Structurally similar to existing Nordic models; government spending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approaches 45–55% of GDP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### Part VI — The Politics of the Subsidy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**Ch 15. The Political Economy of Resistance.** The subsidy benefits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concentrated, organized interests. The costs are borne by diffuse,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unorganized populations. This is the organizational asymmetry that has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kept the accounting invisible. Naming specific beneficiaries and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specific lobbying histories. **(Requires coauthor and legal protection.)**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**Ch 16. Implementation Pathway.** Existing entering wedges: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Carbon pricing in dozens of jurisdictions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Sovereign wealth funds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Strategic petroleum reserves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Mining reclamation bonds (currently failing — document the failure)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Environmental impact assessments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path forward is strengthening and connecting existing mechanisms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rather than building new ones from scratch.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**Ch 17. International Coordination.** Cost severance operates across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borders. Rare earths from Baotou for iPhones in California. Oil from the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Niger Delta for European refineries. International trade as a cost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severance delivery system. The WTO/trade framework. Carbon border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adjustments. The developing-nation differentiated-timeline requirement.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### Part VII — What Honest Accounting Would Build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**Ch 18. The Community Transition Reserve.** Named policy instrument.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Ring-fenced, spatially targeted, intergenerationally binding fund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financed by extraction-sourced pricing surplus. The institutional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answer to the McDowell question: what should have existed in 1960 that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would have prevented the collapse.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**Ch 19. The Pricing Surplus Dividend.** Named policy instrument for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cash-transfer path. Alaska PFD scaled globally and sectorally.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**Ch 20. The Honest Economy.** Closing chapter. What the reader's life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looks like in the new equilibrium. The argument that honest accounting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produces a better economy, not a contracted one. The completion of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Adam Smith's original vision.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 Counterarguments to Address at Book Scale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(Already sketched in Book One Chapter 8 and elsewhere, but require full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chapter-length treatment in Book Two.)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1. "This is degrowth in disguise." GDP vs. welfare distinction;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composition vs. total; leaded gasoline precedent.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2. "This would prevent developing-world industrialization." Differentiated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timelines; technology transfer; historical severance repayment;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leapfrog precedent.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3. "You can't fix a trillion-dollar system by naming it." Named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frameworks changing political possibility: Harvey, Ostrom, Raworth,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Desmond. The slow but real effect of vocabulary on policy.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4. "The bottom 40% will vote against the transition before it produces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benefits." Phased implementation; carbon dividend front-loading;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transition support funding as first call on pricing surplus.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5. "International coordination is impossible." WTO/trade mechanisms;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carbon border adjustments already emerging in EU; Norway model as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unilateral existence proof.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 Structural Notes for When This Book Gets Written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**Authorship.** Coauthor strongly recommended. An economist with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institutional backing distributes the political risk, strengthens the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empirical claims with additional expertise, and makes the book harder to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dismiss as advocacy by a lone nurse. The Raworth/Piketty pattern: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coalitions of named authors before the solo book.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**Legal.** Publisher with strong legal department is non-negotiable.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Self-publishing this book would be dangerous.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**Tonal register.** Book One can be politically neutral because it names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 mechanism. Book Two cannot be fully neutral because it names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beneficiaries. The tonal target is the middle path: name the patterns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and reference specific industries in aggregate rather than specific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companies in the particular. "The coal industry has suppressed honest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carbon pricing" rather than "[Named Company] specifically funded the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following suppression efforts."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**Length target.** 80,000–95,000 words. Longer than Book One because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 simulation work requires space that the framework work did not.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**Relationship to the Technical Appendix.** Book One's appendix covers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the RCV framework. Book Two's appendix would cover the aggregation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methodology — how per-resource RCV estimates roll up to sector and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national scale, with sensitivity analysis. This is new mathematical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work, not a reprint of Book One's appendix.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 Material Already in Drive That Feeds This Book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Chapter 8 scaffold (current): retains full-simulation content that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Book One now cuts to the focused McDowell walkthrough. Everything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trimmed from Chapter 8 lives here.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"Mathematical proof development" conversation thread: full-economy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simulation, distributional arithmetic, pricing surplus analysis.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Technical Appendix Part V (Empirical Validation): feeds the per-sector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chapters 4–6.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Eight-tier decomposition: the tier framework scales from the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individual-ton accounting (Book One Chapter 8) to the global-sector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accounting (Book Two entire Part II).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Counterargument scaffolds for Chapters 8 and 9 of Book One: Book Two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expands each to chapter length.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## What Does NOT Go Here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Any content that Book One still carries (mechanism naming, McDowell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walkthrough, $100 barrel, universality test).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The Mars/Colony Administrator material (that's Book Three).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The pre-institutional pricing problem (also Book Three).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The Europan ice / incommensurable externality material (also Book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Three).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Personal narrative beyond what's required to establish authority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(the Plane chapter belongs to Book One; Book Two does not repeat it).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