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ob43luugd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Commons Bonds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Chris Winn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3 (The Waterman)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Objections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========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3 (The Waterman):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3: THE WATERMAN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From our conversations, what lives here: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is almost entirely dependent on your interviews and personal observation. The scaffolding from our conversations: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Chesapeake Bay as a renewable commons that has been managed in ways that produced near-permanent foreclosure (oyster collapse, crab decline)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waterman's structural position as identical to the miner's — labor and community absorbing costs while value disperses to consumers who never see the water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introduction of cost severance operating on renewable resources when extraction rate exceeds regeneration rate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harbor at Old Point Comfort, the dockmasters as mentors, the daily visible connection between your life and the watermen's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"common bonds" theme planted: the miner and the waterman don't know they're in the same structural position. The system that extracts from them is maintained partly by preventing this recognition.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Counterarguments woven in:</w:t>
      </w:r>
      <w:r w:rsidDel="00000000" w:rsidR="00000000" w:rsidRPr="00000000">
        <w:rPr>
          <w:rtl w:val="0"/>
        </w:rPr>
        <w:t xml:space="preserve"> None specific to this chapter. The chapter's emotional work is connection, not argumentation.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How to handle this:</w:t>
      </w:r>
      <w:r w:rsidDel="00000000" w:rsidR="00000000" w:rsidRPr="00000000">
        <w:rPr>
          <w:rtl w:val="0"/>
        </w:rPr>
        <w:t xml:space="preserve"> Pure Register 1. Story, observation, voice. The analytical framework is present only as an undertone — the reader recognizes cost severance operating without being told "this is cost severance operating." You name it briefly at the end of the chapter to tie it back: "Different resource. Different geography. Same mechanism."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