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ob43luugd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Commons Bonds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Chris Winn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5 (THE ACCOUNTABILITY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 </w:t>
      </w:r>
      <w:r w:rsidDel="00000000" w:rsidR="00000000" w:rsidRPr="00000000">
        <w:rPr>
          <w:b w:val="1"/>
          <w:bCs w:val="1"/>
          <w:rtl w:val="0"/>
        </w:rPr>
        <w:t xml:space="preserve">(THE ACCOUNTABILITY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5: THE ACCOUNTABILITY GAP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our conversations, what lives here: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non-McDowell-County case studies, told briefly: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Libby, Montana: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W.R. Grace mine, 80% of world vermiculite supply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Asbestos contamination known to the company since at least 1963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400+ deaths, 3,000+ diagnosed with asbestos-related disease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Mortality from asbestosis 40-80x the national average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$600M+ in EPA cleanup, over 1 million cubic yards of contaminated soil removed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$4 billion bankruptcy trust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million American homes potentially containing contaminated insulation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and only Public Health Emergency declared by EPA (2009)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Mine lifetime revenue ~$100 million vs. costs &gt;$4 billion. IPG ≈ 40-80x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Deepwater Horizon: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Projected well lifetime revenue ~$4.25 billion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$15 billion cleanup costs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$20 billion economic damages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$5.5 billion Clean Water Act penalty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$8.8 billion natural resource damages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$4 billion criminal fines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&gt;$65 billion. IPG ≈ 15x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Largest environmental settlement in U.S. history, and costs continue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Exxon Valdez: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 million gallons spilled, market value ~$5.5 million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social costs $5.5-9.5 billion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250,000 seabirds, 3,000 otters, 300 seals, 250 bald eagles, 22 killer whales killed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otter recovery took 25 years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Herring never recovered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still present in sediments decades later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Baotou rare earths: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2,000 tons of toxic waste per ton of rare earth mined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Cancer rates 70x national average near tailings lake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 abandoned mines in Ganzhou alone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million tons of tailings, 100 square kilometers of forest destroyed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estimated at 50-100 years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"Cancer villages" with elevated cancer and birth defects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social cost of carbon as the closest existing attempt: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Obama: $42/ton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Trump: $1-7/ton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Biden interim: $51/ton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EPA 2023: $190/ton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political volatility of the SCC as evidence that pricing is contested precisely because it determines how much cost severance society will tolerate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pattern statement:</w:t>
      </w:r>
      <w:r w:rsidDel="00000000" w:rsidR="00000000" w:rsidRPr="00000000">
        <w:rPr>
          <w:rtl w:val="0"/>
        </w:rPr>
        <w:t xml:space="preserve"> Every case, every resource, every geography, every decade — value captured, costs severed, market price capturing a fraction of true cost. Not individual bad actors. Structural absence of the instruments needed to price what's being lost.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Counterarguments woven in:</w:t>
      </w:r>
      <w:r w:rsidDel="00000000" w:rsidR="00000000" w:rsidRPr="00000000">
        <w:rPr>
          <w:rtl w:val="0"/>
        </w:rPr>
        <w:t xml:space="preserve"> None explicitly in this chapter. The cases speak for themselves. The methodological objections come in Chapter 6 when the model is formally presented.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How to handle this:</w:t>
      </w:r>
      <w:r w:rsidDel="00000000" w:rsidR="00000000" w:rsidRPr="00000000">
        <w:rPr>
          <w:rtl w:val="0"/>
        </w:rPr>
        <w:t xml:space="preserve"> Register 1 with data. Each case told as a compressed narrative — vivid, specific, human where possible (the Libby miner who can't breathe, the Gulf fisherman whose livelihood was destroyed). The data supports the story; the story carries the argument. The chapter ends with the pattern made explicit and the question posed: "If this is the pattern, can we measure the gap?"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