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Commons Bonds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480" w:before="0" w:lineRule="auto"/>
        <w:ind w:left="0" w:right="0" w:firstLine="0"/>
        <w:rPr>
          <w:i w:val="1"/>
          <w:iCs w:val="1"/>
          <w:color w:val="555555"/>
        </w:rPr>
      </w:pPr>
      <w:r w:rsidDel="00000000" w:rsidR="00000000" w:rsidRPr="00000000">
        <w:rPr>
          <w:i w:val="1"/>
          <w:iCs w:val="1"/>
          <w:color w:val="555555"/>
          <w:rtl w:val="0"/>
        </w:rPr>
        <w:t xml:space="preserve">By Chris Winn</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420" w:before="0" w:lineRule="auto"/>
        <w:rPr/>
      </w:pPr>
      <w:r w:rsidDel="00000000" w:rsidR="00000000" w:rsidRPr="00000000">
        <w:rPr>
          <w:rtl w:val="0"/>
        </w:rPr>
        <w:t xml:space="preserve">Chapter 6: Three Ways of Counting</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80" w:before="42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t xml:space="preserve">If cost severance is real — if market prices systematically understate the true cost of extracting from the commons — then how large is the gap? The previous chapters have shown, case by case, that the gap exists. Appalachian coal. Gulf oil. Libby vermiculite. A Chesapeake that is not the water it once was. Each is an illustration of the mechanism. None, by itself, answers the question a serious reader is entitled to ask: how do we know the cases are representative? How do we know we are not simply selecting disasters?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80" w:before="0" w:lineRule="auto"/>
        <w:ind w:left="0" w:right="0" w:firstLine="0"/>
        <w:rPr/>
      </w:pPr>
      <w:r w:rsidDel="00000000" w:rsidR="00000000" w:rsidRPr="00000000">
        <w:rPr>
          <w:rtl w:val="0"/>
        </w:rPr>
        <w:t xml:space="preserve">The answer matters because the framework’s credibility depends on it. A mechanism demonstrated once is an anecdote. A mechanism demonstrated across cases is a pattern. A mechanism whose price can be computed, by multiple independent methods, and whose direction never flips across them, is a structural claim about how the economy works.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80" w:before="0" w:lineRule="auto"/>
        <w:ind w:left="0" w:right="0" w:firstLine="0"/>
        <w:rPr/>
      </w:pPr>
      <w:r w:rsidDel="00000000" w:rsidR="00000000" w:rsidRPr="00000000">
        <w:rPr>
          <w:rtl w:val="0"/>
        </w:rPr>
        <w:t xml:space="preserve">This chapter does the computing. Three approaches, built on different foundations, applied to the same historical cases. If the approaches converge — if three different accounting methods produce estimates in the same range — then the gap is not a methodological artifact. It is a measurable feature of the extraction economy. And the chapter closes by acknowledging, plainly, what the computation does not resolve. The carbon term dominates the fossil-fuel numbers and is politically volatile. The substitutability function requires engineering estimates that are themselves uncertain. The honest answer is not that the model eliminates uncertainty. The honest answer is that it </w:t>
      </w:r>
      <w:r w:rsidDel="00000000" w:rsidR="00000000" w:rsidRPr="00000000">
        <w:rPr>
          <w:i w:val="1"/>
          <w:iCs w:val="1"/>
          <w:rtl w:val="0"/>
        </w:rPr>
        <w:t xml:space="preserve">structures</w:t>
      </w:r>
      <w:r w:rsidDel="00000000" w:rsidR="00000000" w:rsidRPr="00000000">
        <w:rPr>
          <w:rtl w:val="0"/>
        </w:rPr>
        <w:t xml:space="preserve"> uncertainty — tells us which parameters matter, and by how much each one affects what we are willing to call the price.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420" w:before="0" w:lineRule="auto"/>
        <w:ind w:left="0" w:right="0" w:firstLine="0"/>
        <w:rPr/>
      </w:pPr>
      <w:r w:rsidDel="00000000" w:rsidR="00000000" w:rsidRPr="00000000">
        <w:rPr>
          <w:rtl w:val="0"/>
        </w:rPr>
        <w:t xml:space="preserve">The three approaches are bottom-up damage accounting, a real-options model, and the residual commons value framework. I will introduce each, apply each to McDowell County coal and to several other cases we have already met, and then compare their outputs in a single table. The reader who cares about the arithmetic can follow the arithmetic. The reader who cares about the argument can skip the formulas and follow the result.</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80" w:lineRule="auto"/>
        <w:rPr/>
      </w:pPr>
      <w:r w:rsidDel="00000000" w:rsidR="00000000" w:rsidRPr="00000000">
        <w:pict>
          <v:rect style="width:0.0pt;height:1.5pt" o:hr="t" o:hrstd="t" o:hralign="center" fillcolor="#A0A0A0" stroked="f"/>
        </w:pict>
      </w:r>
      <w:r w:rsidDel="00000000" w:rsidR="00000000" w:rsidRPr="00000000">
        <w:rPr>
          <w:rtl w:val="0"/>
        </w:rPr>
        <w:t xml:space="preserve">Approach 1 — Bottom-Up Damage Accounting</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80" w:before="0" w:lineRule="auto"/>
        <w:ind w:left="0" w:right="0" w:firstLine="0"/>
        <w:rPr/>
      </w:pPr>
      <w:r w:rsidDel="00000000" w:rsidR="00000000" w:rsidRPr="00000000">
        <w:rPr>
          <w:rtl w:val="0"/>
        </w:rPr>
        <w:t xml:space="preserve">Start with the method that needs no theory. Take one ton of Appalachian coal. Walk through every cost category the extraction produces. Enumerate them. Price each. Add.</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80" w:before="0" w:lineRule="auto"/>
        <w:ind w:left="0" w:right="0" w:firstLine="0"/>
        <w:rPr/>
      </w:pPr>
      <w:r w:rsidDel="00000000" w:rsidR="00000000" w:rsidRPr="00000000">
        <w:rPr>
          <w:rtl w:val="0"/>
        </w:rPr>
        <w:t xml:space="preserve">Begin with health. The Black Lung Disability Trust Fund has paid out more than $44 billion to disabled miners since its creation — a figure that sits badly against the fact that the Fund has never collected enough revenue to cover its obligations. Allocated across the national tonnage of coal produced since the Fund’s inception, black lung alone runs roughly eighty cents per ton. Add Medicare and Medicaid costs shifted to the public ledger by miners whose employers bankrupted before obligations matured. Add excess cardiovascular mortality from particulate exposure in communities downwind of coal plants. Add the respiratory illness in children who were never in the mine. A conservative national figure sits between $2 and $4 per ton.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80" w:before="0" w:lineRule="auto"/>
        <w:ind w:left="0" w:right="0" w:firstLine="0"/>
        <w:rPr/>
      </w:pPr>
      <w:r w:rsidDel="00000000" w:rsidR="00000000" w:rsidRPr="00000000">
        <w:rPr>
          <w:rtl w:val="0"/>
        </w:rPr>
        <w:t xml:space="preserve">Walk outside. Price the creek running orange with acid mine drainage. Price the tailings ponds whose liners were advertised for a century and are already failing at forty years. Price the headwater streams buried under mountaintop-removal overburden. Price the reclamation bond that was supposed to cover the closure — and note, as Chapter 2 did, that across Appalachia those bonds fall between $3.7 and $6 billion short of the work actually required. Environmental remediation, allocated nationally, runs another $1 to $3 per ton.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80" w:before="0" w:lineRule="auto"/>
        <w:ind w:left="0" w:right="0" w:firstLine="0"/>
        <w:rPr/>
      </w:pPr>
      <w:r w:rsidDel="00000000" w:rsidR="00000000" w:rsidRPr="00000000">
        <w:rPr>
          <w:rtl w:val="0"/>
        </w:rPr>
        <w:t xml:space="preserve">Price the communities. Not the extraction jobs — those went onto the benefit side of the ledger when the mine was operating. Price what remained. Price the outmigration that stripped the tax base. Price the schools that closed because the children left. Price the drug-epidemic costs that mining communities have borne at rates the rest of the country does not match. Price the life-expectancy gap — thirteen years, in McDowell County, against the national average. A conservative community-cost estimate comes in between $5 and $15 per ton.</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80" w:before="0" w:lineRule="auto"/>
        <w:ind w:left="0" w:right="0" w:firstLine="0"/>
        <w:rPr/>
      </w:pPr>
      <w:r w:rsidDel="00000000" w:rsidR="00000000" w:rsidRPr="00000000">
        <w:rPr>
          <w:rtl w:val="0"/>
        </w:rPr>
        <w:t xml:space="preserve">Add them. Health yields $2–4. Environment yields $1–3. Community costs yield $5–15. A conservative bottom-up total, </w:t>
      </w:r>
      <w:r w:rsidDel="00000000" w:rsidR="00000000" w:rsidRPr="00000000">
        <w:rPr>
          <w:i w:val="1"/>
          <w:iCs w:val="1"/>
          <w:rtl w:val="0"/>
        </w:rPr>
        <w:t xml:space="preserve">absent carbon</w:t>
      </w:r>
      <w:r w:rsidDel="00000000" w:rsidR="00000000" w:rsidRPr="00000000">
        <w:rPr>
          <w:rtl w:val="0"/>
        </w:rPr>
        <w:t xml:space="preserve">, is $8 to $22 per ton. Against a 1960 mine-mouth price of roughly $4.50 and a contemporary mine-mouth price of $40 to $140 depending on region and grade, even without climate accounting the market has been capturing somewhere between roughly a quarter and a half of the actual cost. Not a rounding error. A factor.</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80" w:before="0" w:lineRule="auto"/>
        <w:ind w:left="0" w:right="0" w:firstLine="0"/>
        <w:rPr/>
      </w:pPr>
      <w:r w:rsidDel="00000000" w:rsidR="00000000" w:rsidRPr="00000000">
        <w:rPr>
          <w:rtl w:val="0"/>
        </w:rPr>
        <w:t xml:space="preserve">Then add the carbon. This is where the arithmetic stops being conservative and starts being contested. One ton of bituminous coal, fully combusted, releases roughly 2.86 tons of CO&amp;₂;. At the EPA’s 2023 estimate of $190 per ton CO&amp;₂;, the carbon externality alone is roughly $544 per ton of coal — an order of magnitude larger than every other tier combined.</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80" w:before="0" w:lineRule="auto"/>
        <w:ind w:left="0" w:right="0" w:firstLine="0"/>
        <w:rPr/>
      </w:pPr>
      <w:r w:rsidDel="00000000" w:rsidR="00000000" w:rsidRPr="00000000">
        <w:rPr>
          <w:rtl w:val="0"/>
        </w:rPr>
        <w:t xml:space="preserve">Include carbon, and the bottom-up total rises to $550–570 per ton. Against $4.50, or even $140, the market is capturing roughly one to twenty-five percent of the actual cost. The carbon term dominates. I will return to what this means.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80" w:before="0" w:lineRule="auto"/>
        <w:ind w:left="0" w:right="0" w:firstLine="0"/>
        <w:rPr/>
      </w:pPr>
      <w:r w:rsidDel="00000000" w:rsidR="00000000" w:rsidRPr="00000000">
        <w:rPr>
          <w:rtl w:val="0"/>
        </w:rPr>
        <w:t xml:space="preserve">Apply the same exercise to other cases. </w:t>
      </w:r>
      <w:r w:rsidDel="00000000" w:rsidR="00000000" w:rsidRPr="00000000">
        <w:rPr>
          <w:i w:val="1"/>
          <w:iCs w:val="1"/>
          <w:rtl w:val="0"/>
        </w:rPr>
        <w:t xml:space="preserve">Deepwater Horizon</w:t>
      </w:r>
      <w:r w:rsidDel="00000000" w:rsidR="00000000" w:rsidRPr="00000000">
        <w:rPr>
          <w:rtl w:val="0"/>
        </w:rPr>
        <w:t xml:space="preserve">: production revenue of roughly $4.25 billion against documented litigation costs, restoration obligations, ecological losses, and public-health spending in the range of $65 to $70 billion. An intergenerational pricing gap of 15 to 17 times actual price. </w:t>
      </w:r>
      <w:r w:rsidDel="00000000" w:rsidR="00000000" w:rsidRPr="00000000">
        <w:rPr>
          <w:i w:val="1"/>
          <w:iCs w:val="1"/>
          <w:rtl w:val="0"/>
        </w:rPr>
        <w:t xml:space="preserve">Libby, Montana</w:t>
      </w:r>
      <w:r w:rsidDel="00000000" w:rsidR="00000000" w:rsidRPr="00000000">
        <w:rPr>
          <w:rtl w:val="0"/>
        </w:rPr>
        <w:t xml:space="preserve">: around $100 million in lifetime mine revenue against $5 to $8 billion in asbestos-related illness costs, environmental remediation, and community destruction. An IPG of 55 to 82 times. </w:t>
      </w:r>
      <w:r w:rsidDel="00000000" w:rsidR="00000000" w:rsidRPr="00000000">
        <w:rPr>
          <w:i w:val="1"/>
          <w:iCs w:val="1"/>
          <w:rtl w:val="0"/>
        </w:rPr>
        <w:t xml:space="preserve">Exxon Valdez</w:t>
      </w:r>
      <w:r w:rsidDel="00000000" w:rsidR="00000000" w:rsidRPr="00000000">
        <w:rPr>
          <w:rtl w:val="0"/>
        </w:rPr>
        <w:t xml:space="preserve">: $5.5 million of oil spilled, against between $7 and $10 billion in cleanup, litigation, and long-run ecological damage. An IPG in the range of 1,200 to 1,900 times.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80" w:before="0" w:lineRule="auto"/>
        <w:ind w:left="0" w:right="0" w:firstLine="0"/>
        <w:rPr/>
      </w:pPr>
      <w:r w:rsidDel="00000000" w:rsidR="00000000" w:rsidRPr="00000000">
        <w:rPr>
          <w:rtl w:val="0"/>
        </w:rPr>
        <w:t xml:space="preserve">Bottom-up accounting is a blunt instrument. It only captures the costs somebody has thought to count. It cannot price what no one has yet noticed. It is the accounting equivalent of a flashlight in a warehouse — what it illuminates is real, and what it misses is whatever is dark. And its quantitative output for fossil fuels lives or dies by the social cost of carbon, which lives or dies by whichever administration happens to be in office. The Obama EPA said $42 per ton CO&amp;₂;. The first Trump administration said $1 to $7. The Biden EPA said $190. The same molecule. The same atmosphere. The same physics. Three estimates spanning two orders of magnitude.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80" w:before="0" w:lineRule="auto"/>
        <w:ind w:left="0" w:right="0" w:firstLine="0"/>
        <w:rPr/>
      </w:pPr>
      <w:r w:rsidDel="00000000" w:rsidR="00000000" w:rsidRPr="00000000">
        <w:rPr>
          <w:rtl w:val="0"/>
        </w:rPr>
        <w:t xml:space="preserve">The fight over the SCC is itself a proxy war over acceptable cost severance levels. Every dollar of SCC that is not priced is a dollar of cost severed onto communities and future generations. The debate over the “correct” SCC is a debate over how much severance we are willing to tolerate.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420" w:before="0" w:lineRule="auto"/>
        <w:ind w:left="0" w:right="0" w:firstLine="0"/>
        <w:rPr/>
      </w:pPr>
      <w:r w:rsidDel="00000000" w:rsidR="00000000" w:rsidRPr="00000000">
        <w:rPr>
          <w:rtl w:val="0"/>
        </w:rPr>
        <w:t xml:space="preserve">Even with this limitation, the bottom-up method gives a floor. It says that the market underprices extraction by at least a factor of several, and potentially by factors of tens or hundreds. It does not tell us the ceiling. For that, we need a method that does not rely on enumerating costs one by one.</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80" w:lineRule="auto"/>
        <w:rPr/>
      </w:pPr>
      <w:r w:rsidDel="00000000" w:rsidR="00000000" w:rsidRPr="00000000">
        <w:pict>
          <v:rect style="width:0.0pt;height:1.5pt" o:hr="t" o:hrstd="t" o:hralign="center" fillcolor="#A0A0A0" stroked="f"/>
        </w:pict>
      </w:r>
      <w:r w:rsidDel="00000000" w:rsidR="00000000" w:rsidRPr="00000000">
        <w:rPr>
          <w:rtl w:val="0"/>
        </w:rPr>
        <w:t xml:space="preserve">Approach 2 — The Real Options Model</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80" w:before="0" w:lineRule="auto"/>
        <w:ind w:left="0" w:right="0" w:firstLine="0"/>
        <w:rPr/>
      </w:pPr>
      <w:r w:rsidDel="00000000" w:rsidR="00000000" w:rsidRPr="00000000">
        <w:rPr>
          <w:rtl w:val="0"/>
        </w:rPr>
        <w:t xml:space="preserve">The second method speaks the language of Wall Street.</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80" w:before="0" w:lineRule="auto"/>
        <w:ind w:left="0" w:right="0" w:firstLine="0"/>
        <w:rPr/>
      </w:pPr>
      <w:r w:rsidDel="00000000" w:rsidR="00000000" w:rsidRPr="00000000">
        <w:rPr>
          <w:rtl w:val="0"/>
        </w:rPr>
        <w:t xml:space="preserve">A barrel of oil in the ground is not merely a stock of energy. It is an option — the right, but not the obligation, to extract at any future time. Options have value. The longer you wait, the more information you have about what the resource will be worth, what substitutes will exist, and what externality costs will prove to be. Premature exercise of an option destroys the information value that waiting would have produced.</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80" w:before="0" w:lineRule="auto"/>
        <w:ind w:left="0" w:right="0" w:firstLine="0"/>
        <w:rPr/>
      </w:pPr>
      <w:r w:rsidDel="00000000" w:rsidR="00000000" w:rsidRPr="00000000">
        <w:rPr>
          <w:rtl w:val="0"/>
        </w:rPr>
        <w:t xml:space="preserve">This is standard finance. It is how every oil major already values its undeveloped reserves internally. The model is not radical. It is the mainstream model.</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80" w:before="0" w:lineRule="auto"/>
        <w:ind w:left="0" w:right="0" w:firstLine="0"/>
        <w:rPr/>
      </w:pPr>
      <w:r w:rsidDel="00000000" w:rsidR="00000000" w:rsidRPr="00000000">
        <w:rPr>
          <w:rtl w:val="0"/>
        </w:rPr>
        <w:t xml:space="preserve">What the standard model omits is the social side of the ledger. The private option value — what a resource owner gains by waiting — is only a fraction of the total option value. The social option value also includes the externality costs avoided by extracting later (better remediation technology, better substitutes, smaller externality tail); the substitutability that develops while you wait (solar cells at three cents per kilowatt-hour that did not exist in 1960); and the information about resource criticality that accumulates over decades (we did not know, in 1960, that certain rare earth elements would be required for every piece of modern electronics).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80" w:before="0" w:lineRule="auto"/>
        <w:ind w:left="0" w:right="0" w:firstLine="0"/>
        <w:rPr/>
      </w:pPr>
      <w:r w:rsidDel="00000000" w:rsidR="00000000" w:rsidRPr="00000000">
        <w:rPr>
          <w:rtl w:val="0"/>
        </w:rPr>
        <w:t xml:space="preserve">When the full social option value of an unextracted barrel exceeds the net revenue from extracting it today, extraction is </w:t>
      </w:r>
      <w:r w:rsidDel="00000000" w:rsidR="00000000" w:rsidRPr="00000000">
        <w:rPr>
          <w:i w:val="1"/>
          <w:iCs w:val="1"/>
          <w:rtl w:val="0"/>
        </w:rPr>
        <w:t xml:space="preserve">socially premature</w:t>
      </w:r>
      <w:r w:rsidDel="00000000" w:rsidR="00000000" w:rsidRPr="00000000">
        <w:rPr>
          <w:rtl w:val="0"/>
        </w:rPr>
        <w:t xml:space="preserve">. Not suboptimal. Premature. The economy is exercising an option before the information the option contains has been collected.</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80" w:before="0" w:lineRule="auto"/>
        <w:ind w:left="0" w:right="0" w:firstLine="0"/>
        <w:rPr/>
      </w:pPr>
      <w:r w:rsidDel="00000000" w:rsidR="00000000" w:rsidRPr="00000000">
        <w:rPr>
          <w:rtl w:val="0"/>
        </w:rPr>
        <w:t xml:space="preserve">Apply this to McDowell County coal in 1960. The mine-mouth price was roughly $4.50. Net revenue per ton, after extraction costs, was well under that. The social option value of the same ton — priced by a later substitutability window (renewables by the 2020s were already cheaper than coal in most markets), avoided externalities, and the information that would have been collected about Appalachian community collapse — is not $4.50. It is on the order of tens of dollars at minimum, and plausibly hundreds once the externality tail is included.</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80" w:before="0" w:lineRule="auto"/>
        <w:ind w:left="0" w:right="0" w:firstLine="0"/>
        <w:rPr/>
      </w:pPr>
      <w:r w:rsidDel="00000000" w:rsidR="00000000" w:rsidRPr="00000000">
        <w:rPr>
          <w:rtl w:val="0"/>
        </w:rPr>
        <w:t xml:space="preserve">1960 coal was socially premature. The option should not have been exercised. That we exercised it anyway is not a failure of information — much of the information was suppressed deliberately — but a failure of pricing. The market gave the option to the extractor at no cost. The social side of the ledger was not a line item.</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80" w:before="0" w:lineRule="auto"/>
        <w:ind w:left="0" w:right="0" w:firstLine="0"/>
        <w:rPr/>
      </w:pPr>
      <w:r w:rsidDel="00000000" w:rsidR="00000000" w:rsidRPr="00000000">
        <w:rPr>
          <w:rtl w:val="0"/>
        </w:rPr>
        <w:t xml:space="preserve">The real-options model is useful because it speaks to an audience the damage-function approach does not reach. A CFO who would dismiss a bottom-up list of externalities as bleeding-heart arithmetic will recognize option value as a real quantity. She values her own company’s reserves this way every quarter. The only change is the addition of the social terms.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420" w:before="0" w:lineRule="auto"/>
        <w:ind w:left="0" w:right="0" w:firstLine="0"/>
        <w:rPr/>
      </w:pPr>
      <w:r w:rsidDel="00000000" w:rsidR="00000000" w:rsidRPr="00000000">
        <w:rPr>
          <w:rtl w:val="0"/>
        </w:rPr>
        <w:t xml:space="preserve">Apply it across cases, and the same answer emerges. Every extraction event we have examined produced net revenue substantially below the social option value of leaving the resource in place. The direction does not flip.</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80" w:lineRule="auto"/>
        <w:rPr/>
      </w:pPr>
      <w:r w:rsidDel="00000000" w:rsidR="00000000" w:rsidRPr="00000000">
        <w:pict>
          <v:rect style="width:0.0pt;height:1.5pt" o:hr="t" o:hrstd="t" o:hralign="center" fillcolor="#A0A0A0" stroked="f"/>
        </w:pict>
      </w:r>
      <w:r w:rsidDel="00000000" w:rsidR="00000000" w:rsidRPr="00000000">
        <w:rPr>
          <w:rtl w:val="0"/>
        </w:rPr>
        <w:t xml:space="preserve">Approach 3 — The RCV Model</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80" w:before="0" w:lineRule="auto"/>
        <w:ind w:left="0" w:right="0" w:firstLine="0"/>
        <w:rPr/>
      </w:pPr>
      <w:r w:rsidDel="00000000" w:rsidR="00000000" w:rsidRPr="00000000">
        <w:rPr>
          <w:rtl w:val="0"/>
        </w:rPr>
        <w:t xml:space="preserve">The third approach is the one the book has been building toward, and it deserves careful introduction because its architecture is different from the first two. The bottom-up method enumerates costs. The real-options method prices what is lost by exercising early. The residual commons value model prices something neither of the first two capture: what every future generation loses by not having the resource, weighted by the probability that no substitute will exist by the time they need it.</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80" w:before="0" w:lineRule="auto"/>
        <w:ind w:left="0" w:right="0" w:firstLine="0"/>
        <w:rPr/>
      </w:pPr>
      <w:r w:rsidDel="00000000" w:rsidR="00000000" w:rsidRPr="00000000">
        <w:rPr>
          <w:rtl w:val="0"/>
        </w:rPr>
        <w:t xml:space="preserve">I will introduce the formula in a moment. Before the formula, a plain-English version of what the formula computes, because the argument has to survive without the mathematics for readers who would rather not do integrals.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80" w:before="0" w:lineRule="auto"/>
        <w:ind w:left="0" w:right="0" w:firstLine="0"/>
        <w:rPr/>
      </w:pPr>
      <w:r w:rsidDel="00000000" w:rsidR="00000000" w:rsidRPr="00000000">
        <w:rPr>
          <w:rtl w:val="0"/>
        </w:rPr>
        <w:t xml:space="preserve">The true cost of extracting from the commons — most dramatically for a non-renewable resource, and, with adjustment, for a renewable one extracted at rates exceeding regeneration — has two components the market does not currently price.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80" w:before="0" w:lineRule="auto"/>
        <w:ind w:left="0" w:right="0" w:firstLine="0"/>
        <w:rPr/>
      </w:pPr>
      <w:r w:rsidDel="00000000" w:rsidR="00000000" w:rsidRPr="00000000">
        <w:rPr>
          <w:rtl w:val="0"/>
        </w:rPr>
        <w:t xml:space="preserve">The first is the </w:t>
      </w:r>
      <w:r w:rsidDel="00000000" w:rsidR="00000000" w:rsidRPr="00000000">
        <w:rPr>
          <w:i w:val="1"/>
          <w:iCs w:val="1"/>
          <w:rtl w:val="0"/>
        </w:rPr>
        <w:t xml:space="preserve">foreclosure cost</w:t>
      </w:r>
      <w:r w:rsidDel="00000000" w:rsidR="00000000" w:rsidRPr="00000000">
        <w:rPr>
          <w:rtl w:val="0"/>
        </w:rPr>
        <w:t xml:space="preserve">. When you extract a barrel of oil, every future generation loses access to that barrel. If a substitute exists — if renewable energy can do everything oil does, for every application oil is used for — then the foreclosure does not matter. Future generations do not care about the oil because they have something better. But if no substitute exists for certain applications — if you need physical petroleum for specific materials, specific chemicals, certain industrial processes that nothing else can replace — then the foreclosure is real. The future generation that needs the oil and cannot get it bears a genuine cost.</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80" w:before="0" w:lineRule="auto"/>
        <w:ind w:left="0" w:right="0" w:firstLine="0"/>
        <w:rPr/>
      </w:pPr>
      <w:r w:rsidDel="00000000" w:rsidR="00000000" w:rsidRPr="00000000">
        <w:rPr>
          <w:rtl w:val="0"/>
        </w:rPr>
        <w:t xml:space="preserve">Foreclosure cost depends on substitutability: how quickly, how completely, and at what cost alternatives can replace the resource. For coal in electricity generation, substitutability is high and rising fast — renewables are already displacing coal at scale. For rare earth elements in advanced electronics and propulsion, substitutability is low — no alternative provides the same magnetic, catalytic, or luminescent properties, and materials scientists have been looking for decades. For helium, substitutability in cryogenic applications may be effectively zero. For fossil aquifer water, substitutability is zero on any timescale that matters to the people drinking it.</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80" w:before="0" w:lineRule="auto"/>
        <w:ind w:left="0" w:right="0" w:firstLine="0"/>
        <w:rPr/>
      </w:pPr>
      <w:r w:rsidDel="00000000" w:rsidR="00000000" w:rsidRPr="00000000">
        <w:rPr>
          <w:rtl w:val="0"/>
        </w:rPr>
        <w:t xml:space="preserve">The second component is the </w:t>
      </w:r>
      <w:r w:rsidDel="00000000" w:rsidR="00000000" w:rsidRPr="00000000">
        <w:rPr>
          <w:i w:val="1"/>
          <w:iCs w:val="1"/>
          <w:rtl w:val="0"/>
        </w:rPr>
        <w:t xml:space="preserve">externality tail</w:t>
      </w:r>
      <w:r w:rsidDel="00000000" w:rsidR="00000000" w:rsidRPr="00000000">
        <w:rPr>
          <w:rtl w:val="0"/>
        </w:rPr>
        <w:t xml:space="preserve">. When coal is mined, the health damage does not stop when the mine closes. Black lung kills miners decades after their last shift. Acid mine drainage runs for generations. Carbon stays in the atmosphere for centuries. These ongoing costs are real, measurable, and currently unpriced by markets. A substitute for coal does not clean up the mine. A substitute for oil does not remove carbon from the atmosphere. The externality tail runs independently of substitutability.</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80" w:before="0" w:lineRule="auto"/>
        <w:ind w:left="0" w:right="0" w:firstLine="0"/>
        <w:rPr/>
      </w:pPr>
      <w:r w:rsidDel="00000000" w:rsidR="00000000" w:rsidRPr="00000000">
        <w:rPr>
          <w:rtl w:val="0"/>
        </w:rPr>
        <w:t xml:space="preserve">The residual commons value combines these two components: foreclosure cost, weighted by the probability that no substitute exists at each future time, plus the externality tail, both integrated across the full time horizon affected by the extraction. When the RCV exceeds the market price — which, as I will show, it does in every case we have tested — the difference is the cost that has been severed.</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300" w:before="0" w:lineRule="auto"/>
        <w:ind w:left="0" w:right="0" w:firstLine="0"/>
        <w:rPr/>
      </w:pPr>
      <w:r w:rsidDel="00000000" w:rsidR="00000000" w:rsidRPr="00000000">
        <w:rPr>
          <w:rtl w:val="0"/>
        </w:rPr>
        <w:t xml:space="preserve">Now the formula, presented not as an equation the reader is asked to solve but as a summary of the plain-English argument just made: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540" w:before="240" w:lineRule="auto"/>
        <w:ind w:left="180" w:right="180" w:firstLine="0"/>
        <w:jc w:val="center"/>
        <w:rPr>
          <w:rFonts w:ascii="Arial" w:cs="Arial" w:eastAsia="Arial" w:hAnsi="Arial"/>
          <w:i w:val="1"/>
          <w:iCs w:val="1"/>
          <w:sz w:val="26"/>
          <w:szCs w:val="26"/>
          <w:shd w:fill="f7f7f7" w:val="clear"/>
        </w:rPr>
      </w:pPr>
      <w:r w:rsidDel="00000000" w:rsidR="00000000" w:rsidRPr="00000000">
        <w:rPr>
          <w:rFonts w:ascii="Caudex" w:cs="Caudex" w:eastAsia="Caudex" w:hAnsi="Caudex"/>
          <w:i w:val="1"/>
          <w:iCs w:val="1"/>
          <w:sz w:val="26"/>
          <w:szCs w:val="26"/>
          <w:shd w:fill="f7f7f7" w:val="clear"/>
          <w:rtl w:val="0"/>
        </w:rPr>
        <w:t xml:space="preserve">RCV(R, tₔ) = ∫ from tₔ to ∞  { [1 − S(t | tₔ)] ⋅ U(R, t, Q(t)) ⟯ E(R, t) } ⋅ D(t, tₔ) dt</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80" w:before="0" w:lineRule="auto"/>
        <w:ind w:left="0" w:right="0" w:firstLine="0"/>
        <w:rPr/>
      </w:pPr>
      <w:r w:rsidDel="00000000" w:rsidR="00000000" w:rsidRPr="00000000">
        <w:rPr>
          <w:rtl w:val="0"/>
        </w:rPr>
        <w:t xml:space="preserve">The integral sign announces that we are summing contributions across all future time. The bracketed expression inside is the per-period cost: what is lost in year </w:t>
      </w:r>
      <w:r w:rsidDel="00000000" w:rsidR="00000000" w:rsidRPr="00000000">
        <w:rPr>
          <w:i w:val="1"/>
          <w:iCs w:val="1"/>
          <w:rtl w:val="0"/>
        </w:rPr>
        <w:t xml:space="preserve">t</w:t>
      </w:r>
      <w:r w:rsidDel="00000000" w:rsidR="00000000" w:rsidRPr="00000000">
        <w:rPr>
          <w:rtl w:val="0"/>
        </w:rPr>
        <w:t xml:space="preserve">, discounted back to year </w:t>
      </w:r>
      <w:r w:rsidDel="00000000" w:rsidR="00000000" w:rsidRPr="00000000">
        <w:rPr>
          <w:i w:val="1"/>
          <w:iCs w:val="1"/>
          <w:rtl w:val="0"/>
        </w:rPr>
        <w:t xml:space="preserve">tₔ</w:t>
      </w:r>
      <w:r w:rsidDel="00000000" w:rsidR="00000000" w:rsidRPr="00000000">
        <w:rPr>
          <w:rtl w:val="0"/>
        </w:rPr>
        <w:t xml:space="preserve">, weighted by how likely it is that anything in that year can substitute for the lost resource.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80" w:before="0" w:lineRule="auto"/>
        <w:ind w:left="0" w:right="0" w:firstLine="0"/>
        <w:rPr/>
      </w:pPr>
      <w:r w:rsidDel="00000000" w:rsidR="00000000" w:rsidRPr="00000000">
        <w:rPr>
          <w:rtl w:val="0"/>
        </w:rPr>
        <w:t xml:space="preserve">Translate term by term:</w:t>
      </w:r>
    </w:p>
    <w:p w:rsidR="00000000" w:rsidDel="00000000" w:rsidP="00000000" w:rsidRDefault="00000000" w:rsidRPr="00000000" w14:paraId="0000002A">
      <w:pPr>
        <w:numPr>
          <w:ilvl w:val="0"/>
          <w:numId w:val="1"/>
        </w:numPr>
        <w:pBdr>
          <w:top w:space="0" w:sz="0" w:val="nil"/>
          <w:left w:space="0" w:sz="0" w:val="nil"/>
          <w:bottom w:space="0" w:sz="0" w:val="nil"/>
          <w:right w:space="0" w:sz="0" w:val="nil"/>
          <w:between w:space="0" w:sz="0" w:val="nil"/>
        </w:pBdr>
        <w:shd w:fill="auto" w:val="clear"/>
        <w:spacing w:after="0" w:afterAutospacing="0" w:before="0" w:lineRule="auto"/>
        <w:ind w:left="960" w:right="0" w:hanging="360"/>
      </w:pPr>
      <w:r w:rsidDel="00000000" w:rsidR="00000000" w:rsidRPr="00000000">
        <w:rPr>
          <w:rFonts w:ascii="Arial Unicode MS" w:cs="Arial Unicode MS" w:eastAsia="Arial Unicode MS" w:hAnsi="Arial Unicode MS"/>
          <w:i w:val="1"/>
          <w:iCs w:val="1"/>
          <w:rtl w:val="0"/>
        </w:rPr>
        <w:t xml:space="preserve">[1 − S(t | tₔ)]</w:t>
      </w:r>
      <w:r w:rsidDel="00000000" w:rsidR="00000000" w:rsidRPr="00000000">
        <w:rPr>
          <w:rtl w:val="0"/>
        </w:rPr>
        <w:t xml:space="preserve"> is the probability that no adequate substitute exists at time t, given that extraction occurred at tₔ. If S = 1 (perfect substitute exists), this term is zero and the foreclosure cost vanishes for that period. If S = 0 (no substitute), this term is 1 and the full foreclosure cost counts.</w:t>
      </w:r>
    </w:p>
    <w:p w:rsidR="00000000" w:rsidDel="00000000" w:rsidP="00000000" w:rsidRDefault="00000000" w:rsidRPr="00000000" w14:paraId="0000002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960" w:right="0" w:hanging="360"/>
      </w:pPr>
      <w:r w:rsidDel="00000000" w:rsidR="00000000" w:rsidRPr="00000000">
        <w:rPr>
          <w:i w:val="1"/>
          <w:iCs w:val="1"/>
          <w:rtl w:val="0"/>
        </w:rPr>
        <w:t xml:space="preserve">U(R, t, Q(t))</w:t>
      </w:r>
      <w:r w:rsidDel="00000000" w:rsidR="00000000" w:rsidRPr="00000000">
        <w:rPr>
          <w:rtl w:val="0"/>
        </w:rPr>
        <w:t xml:space="preserve"> is the utility future generation </w:t>
      </w:r>
      <w:r w:rsidDel="00000000" w:rsidR="00000000" w:rsidRPr="00000000">
        <w:rPr>
          <w:i w:val="1"/>
          <w:iCs w:val="1"/>
          <w:rtl w:val="0"/>
        </w:rPr>
        <w:t xml:space="preserve">t</w:t>
      </w:r>
      <w:r w:rsidDel="00000000" w:rsidR="00000000" w:rsidRPr="00000000">
        <w:rPr>
          <w:rtl w:val="0"/>
        </w:rPr>
        <w:t xml:space="preserve"> derives from having one unit of </w:t>
      </w:r>
      <w:r w:rsidDel="00000000" w:rsidR="00000000" w:rsidRPr="00000000">
        <w:rPr>
          <w:i w:val="1"/>
          <w:iCs w:val="1"/>
          <w:rtl w:val="0"/>
        </w:rPr>
        <w:t xml:space="preserve">R</w:t>
      </w:r>
      <w:r w:rsidDel="00000000" w:rsidR="00000000" w:rsidRPr="00000000">
        <w:rPr>
          <w:rtl w:val="0"/>
        </w:rPr>
        <w:t xml:space="preserve"> available </w:t>
      </w:r>
      <w:r w:rsidDel="00000000" w:rsidR="00000000" w:rsidRPr="00000000">
        <w:rPr>
          <w:i w:val="1"/>
          <w:iCs w:val="1"/>
          <w:rtl w:val="0"/>
        </w:rPr>
        <w:t xml:space="preserve">in situ</w:t>
      </w:r>
      <w:r w:rsidDel="00000000" w:rsidR="00000000" w:rsidRPr="00000000">
        <w:rPr>
          <w:rtl w:val="0"/>
        </w:rPr>
        <w:t xml:space="preserve">, given the remaining stock </w:t>
      </w:r>
      <w:r w:rsidDel="00000000" w:rsidR="00000000" w:rsidRPr="00000000">
        <w:rPr>
          <w:i w:val="1"/>
          <w:iCs w:val="1"/>
          <w:rtl w:val="0"/>
        </w:rPr>
        <w:t xml:space="preserve">Q</w:t>
      </w:r>
      <w:r w:rsidDel="00000000" w:rsidR="00000000" w:rsidRPr="00000000">
        <w:rPr>
          <w:rtl w:val="0"/>
        </w:rPr>
        <w:t xml:space="preserve"> at time </w:t>
      </w:r>
      <w:r w:rsidDel="00000000" w:rsidR="00000000" w:rsidRPr="00000000">
        <w:rPr>
          <w:i w:val="1"/>
          <w:iCs w:val="1"/>
          <w:rtl w:val="0"/>
        </w:rPr>
        <w:t xml:space="preserve">t</w:t>
      </w:r>
      <w:r w:rsidDel="00000000" w:rsidR="00000000" w:rsidRPr="00000000">
        <w:rPr>
          <w:rtl w:val="0"/>
        </w:rPr>
        <w:t xml:space="preserve">. As stock depletes, U rises because each remaining unit becomes more valuable.</w:t>
      </w:r>
    </w:p>
    <w:p w:rsidR="00000000" w:rsidDel="00000000" w:rsidP="00000000" w:rsidRDefault="00000000" w:rsidRPr="00000000" w14:paraId="0000002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960" w:right="0" w:hanging="360"/>
      </w:pPr>
      <w:r w:rsidDel="00000000" w:rsidR="00000000" w:rsidRPr="00000000">
        <w:rPr>
          <w:i w:val="1"/>
          <w:iCs w:val="1"/>
          <w:rtl w:val="0"/>
        </w:rPr>
        <w:t xml:space="preserve">E(R, t)</w:t>
      </w:r>
      <w:r w:rsidDel="00000000" w:rsidR="00000000" w:rsidRPr="00000000">
        <w:rPr>
          <w:rtl w:val="0"/>
        </w:rPr>
        <w:t xml:space="preserve"> is the externality flow at time </w:t>
      </w:r>
      <w:r w:rsidDel="00000000" w:rsidR="00000000" w:rsidRPr="00000000">
        <w:rPr>
          <w:i w:val="1"/>
          <w:iCs w:val="1"/>
          <w:rtl w:val="0"/>
        </w:rPr>
        <w:t xml:space="preserve">t</w:t>
      </w:r>
      <w:r w:rsidDel="00000000" w:rsidR="00000000" w:rsidRPr="00000000">
        <w:rPr>
          <w:rtl w:val="0"/>
        </w:rPr>
        <w:t xml:space="preserve">: ongoing health damage, remediation costs, climate damage, community disruption. This term runs independently of substitutability and independently of the resource having been extracted to depletion.</w:t>
      </w:r>
    </w:p>
    <w:p w:rsidR="00000000" w:rsidDel="00000000" w:rsidP="00000000" w:rsidRDefault="00000000" w:rsidRPr="00000000" w14:paraId="0000002D">
      <w:pPr>
        <w:numPr>
          <w:ilvl w:val="0"/>
          <w:numId w:val="1"/>
        </w:numPr>
        <w:pBdr>
          <w:top w:space="0" w:sz="0" w:val="nil"/>
          <w:left w:space="0" w:sz="0" w:val="nil"/>
          <w:bottom w:space="0" w:sz="0" w:val="nil"/>
          <w:right w:space="0" w:sz="0" w:val="nil"/>
          <w:between w:space="0" w:sz="0" w:val="nil"/>
        </w:pBdr>
        <w:shd w:fill="auto" w:val="clear"/>
        <w:spacing w:after="90" w:before="0" w:beforeAutospacing="0" w:lineRule="auto"/>
        <w:ind w:left="960" w:right="0" w:hanging="360"/>
      </w:pPr>
      <w:r w:rsidDel="00000000" w:rsidR="00000000" w:rsidRPr="00000000">
        <w:rPr>
          <w:i w:val="1"/>
          <w:iCs w:val="1"/>
          <w:rtl w:val="0"/>
        </w:rPr>
        <w:t xml:space="preserve">D(t, tₔ)</w:t>
      </w:r>
      <w:r w:rsidDel="00000000" w:rsidR="00000000" w:rsidRPr="00000000">
        <w:rPr>
          <w:rtl w:val="0"/>
        </w:rPr>
        <w:t xml:space="preserve"> is the social discount factor, following Weitzman’s declining-rate framework: under uncertainty about the long-horizon discount rate, the certainty-equivalent rate declines toward the lowest plausible rate. This is a technical move but a principled one: it converts an unresolvable philosophical question (what is the correct discount rate?) into a treatable empirical one (given uncertainty, what is the certainty-equivalent?).</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10" w:before="180" w:lineRule="auto"/>
        <w:ind w:left="0" w:right="0" w:firstLine="0"/>
        <w:rPr/>
      </w:pPr>
      <w:r w:rsidDel="00000000" w:rsidR="00000000" w:rsidRPr="00000000">
        <w:rPr>
          <w:rtl w:val="0"/>
        </w:rPr>
        <w:t xml:space="preserve">Cost severance is what is left after you subtract from RCV whatever accountability bond </w:t>
      </w:r>
      <w:r w:rsidDel="00000000" w:rsidR="00000000" w:rsidRPr="00000000">
        <w:rPr>
          <w:i w:val="1"/>
          <w:iCs w:val="1"/>
          <w:rtl w:val="0"/>
        </w:rPr>
        <w:t xml:space="preserve">B</w:t>
      </w:r>
      <w:r w:rsidDel="00000000" w:rsidR="00000000" w:rsidRPr="00000000">
        <w:rPr>
          <w:rtl w:val="0"/>
        </w:rPr>
        <w:t xml:space="preserve"> has actually been posted:</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10" w:before="0" w:lineRule="auto"/>
        <w:ind w:left="0" w:right="0" w:firstLine="0"/>
        <w:jc w:val="center"/>
        <w:rPr>
          <w:rFonts w:ascii="Arial" w:cs="Arial" w:eastAsia="Arial" w:hAnsi="Arial"/>
          <w:i w:val="1"/>
          <w:iCs w:val="1"/>
          <w:sz w:val="24"/>
          <w:szCs w:val="24"/>
        </w:rPr>
      </w:pPr>
      <w:r w:rsidDel="00000000" w:rsidR="00000000" w:rsidRPr="00000000">
        <w:rPr>
          <w:rFonts w:ascii="Arial Unicode MS" w:cs="Arial Unicode MS" w:eastAsia="Arial Unicode MS" w:hAnsi="Arial Unicode MS"/>
          <w:i w:val="1"/>
          <w:iCs w:val="1"/>
          <w:sz w:val="24"/>
          <w:szCs w:val="24"/>
          <w:rtl w:val="0"/>
        </w:rPr>
        <w:t xml:space="preserve">CS(R, tₔ) = RCV(R, tₔ) − B(R, tₔ)</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10" w:before="0" w:lineRule="auto"/>
        <w:ind w:left="0" w:right="0" w:firstLine="0"/>
        <w:rPr/>
      </w:pPr>
      <w:r w:rsidDel="00000000" w:rsidR="00000000" w:rsidRPr="00000000">
        <w:rPr>
          <w:rtl w:val="0"/>
        </w:rPr>
        <w:t xml:space="preserve">And the intergenerational pricing gap is the ratio of true cost to market price: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10" w:before="0" w:lineRule="auto"/>
        <w:ind w:left="0" w:right="0" w:firstLine="0"/>
        <w:jc w:val="center"/>
        <w:rPr>
          <w:rFonts w:ascii="Arial" w:cs="Arial" w:eastAsia="Arial" w:hAnsi="Arial"/>
          <w:i w:val="1"/>
          <w:iCs w:val="1"/>
          <w:sz w:val="24"/>
          <w:szCs w:val="24"/>
          <w:vertAlign w:val="subscript"/>
        </w:rPr>
      </w:pPr>
      <w:r w:rsidDel="00000000" w:rsidR="00000000" w:rsidRPr="00000000">
        <w:rPr>
          <w:rFonts w:ascii="Arial" w:cs="Arial" w:eastAsia="Arial" w:hAnsi="Arial"/>
          <w:i w:val="1"/>
          <w:iCs w:val="1"/>
          <w:sz w:val="24"/>
          <w:szCs w:val="24"/>
          <w:rtl w:val="0"/>
        </w:rPr>
        <w:t xml:space="preserve">IPG = RCV / P</w:t>
      </w:r>
      <w:r w:rsidDel="00000000" w:rsidR="00000000" w:rsidRPr="00000000">
        <w:rPr>
          <w:rFonts w:ascii="Arial" w:cs="Arial" w:eastAsia="Arial" w:hAnsi="Arial"/>
          <w:i w:val="1"/>
          <w:iCs w:val="1"/>
          <w:sz w:val="24"/>
          <w:szCs w:val="24"/>
          <w:vertAlign w:val="subscript"/>
          <w:rtl w:val="0"/>
        </w:rPr>
        <w:t xml:space="preserve">market</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420" w:before="0" w:lineRule="auto"/>
        <w:ind w:left="0" w:right="0" w:firstLine="0"/>
        <w:rPr/>
      </w:pPr>
      <w:r w:rsidDel="00000000" w:rsidR="00000000" w:rsidRPr="00000000">
        <w:rPr>
          <w:rtl w:val="0"/>
        </w:rPr>
        <w:t xml:space="preserve">That is the entire mathematical apparatus this chapter requires. The appendix derives convergence conditions, proves that the integral is finite under reasonable assumptions, and demonstrates that for non-renewable resources under any existing accountability regime, </w:t>
      </w:r>
      <w:r w:rsidDel="00000000" w:rsidR="00000000" w:rsidRPr="00000000">
        <w:rPr>
          <w:i w:val="1"/>
          <w:iCs w:val="1"/>
          <w:rtl w:val="0"/>
        </w:rPr>
        <w:t xml:space="preserve">CS</w:t>
      </w:r>
      <w:r w:rsidDel="00000000" w:rsidR="00000000" w:rsidRPr="00000000">
        <w:rPr>
          <w:rtl w:val="0"/>
        </w:rPr>
        <w:t xml:space="preserve"> is strictly positive. The reader who wants the proofs will find them there. The reader who wants the argument already has it.</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after="180" w:lineRule="auto"/>
        <w:rPr/>
      </w:pPr>
      <w:r w:rsidDel="00000000" w:rsidR="00000000" w:rsidRPr="00000000">
        <w:pict>
          <v:rect style="width:0.0pt;height:1.5pt" o:hr="t" o:hrstd="t" o:hralign="center" fillcolor="#A0A0A0" stroked="f"/>
        </w:pict>
      </w:r>
      <w:r w:rsidDel="00000000" w:rsidR="00000000" w:rsidRPr="00000000">
        <w:rPr>
          <w:rtl w:val="0"/>
        </w:rPr>
        <w:t xml:space="preserve">The Substitutability Function</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80" w:before="0" w:lineRule="auto"/>
        <w:ind w:left="0" w:right="0" w:firstLine="0"/>
        <w:rPr/>
      </w:pPr>
      <w:r w:rsidDel="00000000" w:rsidR="00000000" w:rsidRPr="00000000">
        <w:rPr>
          <w:rtl w:val="0"/>
        </w:rPr>
        <w:t xml:space="preserve">Before turning to the convergence result, a word about what the substitutability function is doing, because it is the model’s most novel move and also its most vulnerable.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80" w:before="0" w:lineRule="auto"/>
        <w:ind w:left="0" w:right="0" w:firstLine="0"/>
        <w:rPr/>
      </w:pPr>
      <w:r w:rsidDel="00000000" w:rsidR="00000000" w:rsidRPr="00000000">
        <w:rPr>
          <w:rtl w:val="0"/>
        </w:rPr>
        <w:t xml:space="preserve">Previous approaches to pricing intergenerational costs relied almost entirely on the discount rate. How much do future generations matter compared to this one? Economists have been arguing about the answer since Ramsey in 1928. They have not converged. The Stern Review used 1.4 percent. Nordhaus used roughly 4 percent. Weitzman argued for a declining rate. Philosophers have argued that any positive discount rate on well-being is unjustifiable. One administration says $42 per ton CO&amp;₂;; the next says $3; the next says $190. The philosophical question refuses to be settled.</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80" w:before="0" w:lineRule="auto"/>
        <w:ind w:left="0" w:right="0" w:firstLine="0"/>
        <w:rPr/>
      </w:pPr>
      <w:r w:rsidDel="00000000" w:rsidR="00000000" w:rsidRPr="00000000">
        <w:rPr>
          <w:rtl w:val="0"/>
        </w:rPr>
        <w:t xml:space="preserve">The substitutability function sidesteps this impasse. Instead of asking “how much do future generations matter?” it asks “how quickly can we develop alternatives?” This is an empirical question. Engineers and materials scientists can estimate substitution timelines. Energy economists can model the cost trajectory of renewable technologies. Hydrologists can estimate aquifer recharge rates. The question is technical, not philosophical. And technical questions admit of progress.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80" w:before="0" w:lineRule="auto"/>
        <w:ind w:left="0" w:right="0" w:firstLine="0"/>
        <w:rPr/>
      </w:pPr>
      <w:r w:rsidDel="00000000" w:rsidR="00000000" w:rsidRPr="00000000">
        <w:rPr>
          <w:rtl w:val="0"/>
        </w:rPr>
        <w:t xml:space="preserve">The substitutability function has four natural properties. It starts near zero at the moment of extraction — if a substitute already existed and was cheaper, we would not be extracting. It rises monotonically over time; substitutes, once invented, do not un-invent themselves. It approaches some maximum </w:t>
      </w:r>
      <w:r w:rsidDel="00000000" w:rsidR="00000000" w:rsidRPr="00000000">
        <w:rPr>
          <w:i w:val="1"/>
          <w:iCs w:val="1"/>
          <w:rtl w:val="0"/>
        </w:rPr>
        <w:t xml:space="preserve">S</w:t>
      </w:r>
      <w:r w:rsidDel="00000000" w:rsidR="00000000" w:rsidRPr="00000000">
        <w:rPr>
          <w:i w:val="1"/>
          <w:iCs w:val="1"/>
          <w:vertAlign w:val="subscript"/>
          <w:rtl w:val="0"/>
        </w:rPr>
        <w:t xml:space="preserve">max</w:t>
      </w:r>
      <w:r w:rsidDel="00000000" w:rsidR="00000000" w:rsidRPr="00000000">
        <w:rPr>
          <w:rtl w:val="0"/>
        </w:rPr>
        <w:t xml:space="preserve"> that may be less than one; for some resources, complete substitution may never be physically possible. And it depends on investment; the timeline for a given substitute is not fixed but responsive to the price signals and research priorities that an honest pricing regime would generate.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420" w:before="0" w:lineRule="auto"/>
        <w:ind w:left="0" w:right="0" w:firstLine="0"/>
        <w:rPr/>
      </w:pPr>
      <w:r w:rsidDel="00000000" w:rsidR="00000000" w:rsidRPr="00000000">
        <w:rPr>
          <w:rtl w:val="0"/>
        </w:rPr>
        <w:t xml:space="preserve">The critic’s objection is fair. The substitutability function is doing enormous work in the model, and in practice it must be estimated. A critic can say, correctly, that we have moved the hard problem from choosing a discount rate to choosing a substitutability curve. True. But it is a </w:t>
      </w:r>
      <w:r w:rsidDel="00000000" w:rsidR="00000000" w:rsidRPr="00000000">
        <w:rPr>
          <w:i w:val="1"/>
          <w:iCs w:val="1"/>
          <w:rtl w:val="0"/>
        </w:rPr>
        <w:t xml:space="preserve">better</w:t>
      </w:r>
      <w:r w:rsidDel="00000000" w:rsidR="00000000" w:rsidRPr="00000000">
        <w:rPr>
          <w:rtl w:val="0"/>
        </w:rPr>
        <w:t xml:space="preserve"> hard problem — substitutability is an empirical question whose error bars shrink with research, whereas the discount rate is a philosophical one whose error bars have not shrunk in a century.</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180" w:lineRule="auto"/>
        <w:rPr/>
      </w:pPr>
      <w:r w:rsidDel="00000000" w:rsidR="00000000" w:rsidRPr="00000000">
        <w:pict>
          <v:rect style="width:0.0pt;height:1.5pt" o:hr="t" o:hrstd="t" o:hralign="center" fillcolor="#A0A0A0" stroked="f"/>
        </w:pict>
      </w:r>
      <w:r w:rsidDel="00000000" w:rsidR="00000000" w:rsidRPr="00000000">
        <w:rPr>
          <w:rtl w:val="0"/>
        </w:rPr>
        <w:t xml:space="preserve">The Convergence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80" w:before="0" w:lineRule="auto"/>
        <w:ind w:left="0" w:right="0" w:firstLine="0"/>
        <w:rPr/>
      </w:pPr>
      <w:r w:rsidDel="00000000" w:rsidR="00000000" w:rsidRPr="00000000">
        <w:rPr>
          <w:rtl w:val="0"/>
        </w:rPr>
        <w:t xml:space="preserve">The three approaches — bottom-up, real-options, and RCV — are built on different foundations. They use different mathematical structures. They make different assumptions about what to count and how to aggregate. If they all produced similar answers by accident, one would be entitled to suspicion. If they all produced similar answers because the underlying reality is real, one would expect exactly that.</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360" w:before="0" w:lineRule="auto"/>
        <w:ind w:left="0" w:right="0" w:firstLine="0"/>
        <w:rPr/>
      </w:pPr>
      <w:r w:rsidDel="00000000" w:rsidR="00000000" w:rsidRPr="00000000">
        <w:rPr>
          <w:rtl w:val="0"/>
        </w:rPr>
        <w:t xml:space="preserve">Apply each method to the four cases we have worked with, and compare:</w:t>
      </w:r>
    </w:p>
    <w:tbl>
      <w:tblPr>
        <w:tblStyle w:val="Table1"/>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dddddd" w:space="0" w:sz="6" w:val="single"/>
              <w:left w:color="dddddd" w:space="0" w:sz="6" w:val="single"/>
              <w:bottom w:color="dddddd" w:space="0" w:sz="6" w:val="single"/>
              <w:right w:color="dddddd" w:space="0" w:sz="6" w:val="single"/>
            </w:tcBorders>
            <w:shd w:fill="f5f5f5" w:val="clear"/>
            <w:tcMar>
              <w:top w:w="120.0" w:type="dxa"/>
              <w:left w:w="150.0" w:type="dxa"/>
              <w:bottom w:w="120.0" w:type="dxa"/>
              <w:right w:w="15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22"/>
                <w:szCs w:val="22"/>
                <w:shd w:fill="auto" w:val="clear"/>
              </w:rPr>
            </w:pPr>
            <w:r w:rsidDel="00000000" w:rsidR="00000000" w:rsidRPr="00000000">
              <w:rPr>
                <w:b w:val="1"/>
                <w:bCs w:val="1"/>
                <w:sz w:val="22"/>
                <w:szCs w:val="22"/>
                <w:shd w:fill="auto" w:val="clear"/>
                <w:rtl w:val="0"/>
              </w:rPr>
              <w:t xml:space="preserve">Case</w:t>
            </w:r>
          </w:p>
        </w:tc>
        <w:tc>
          <w:tcPr>
            <w:tcBorders>
              <w:top w:color="dddddd" w:space="0" w:sz="6" w:val="single"/>
              <w:left w:color="dddddd" w:space="0" w:sz="6" w:val="single"/>
              <w:bottom w:color="dddddd" w:space="0" w:sz="6" w:val="single"/>
              <w:right w:color="dddddd" w:space="0" w:sz="6" w:val="single"/>
            </w:tcBorders>
            <w:shd w:fill="f5f5f5" w:val="clear"/>
            <w:tcMar>
              <w:top w:w="120.0" w:type="dxa"/>
              <w:left w:w="150.0" w:type="dxa"/>
              <w:bottom w:w="120.0" w:type="dxa"/>
              <w:right w:w="15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22"/>
                <w:szCs w:val="22"/>
                <w:shd w:fill="auto" w:val="clear"/>
              </w:rPr>
            </w:pPr>
            <w:r w:rsidDel="00000000" w:rsidR="00000000" w:rsidRPr="00000000">
              <w:rPr>
                <w:b w:val="1"/>
                <w:bCs w:val="1"/>
                <w:sz w:val="22"/>
                <w:szCs w:val="22"/>
                <w:shd w:fill="auto" w:val="clear"/>
                <w:rtl w:val="0"/>
              </w:rPr>
              <w:t xml:space="preserve">Market Price</w:t>
            </w:r>
          </w:p>
        </w:tc>
        <w:tc>
          <w:tcPr>
            <w:tcBorders>
              <w:top w:color="dddddd" w:space="0" w:sz="6" w:val="single"/>
              <w:left w:color="dddddd" w:space="0" w:sz="6" w:val="single"/>
              <w:bottom w:color="dddddd" w:space="0" w:sz="6" w:val="single"/>
              <w:right w:color="dddddd" w:space="0" w:sz="6" w:val="single"/>
            </w:tcBorders>
            <w:shd w:fill="f5f5f5" w:val="clear"/>
            <w:tcMar>
              <w:top w:w="120.0" w:type="dxa"/>
              <w:left w:w="150.0" w:type="dxa"/>
              <w:bottom w:w="120.0" w:type="dxa"/>
              <w:right w:w="15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22"/>
                <w:szCs w:val="22"/>
                <w:shd w:fill="auto" w:val="clear"/>
              </w:rPr>
            </w:pPr>
            <w:r w:rsidDel="00000000" w:rsidR="00000000" w:rsidRPr="00000000">
              <w:rPr>
                <w:b w:val="1"/>
                <w:bCs w:val="1"/>
                <w:sz w:val="22"/>
                <w:szCs w:val="22"/>
                <w:shd w:fill="auto" w:val="clear"/>
                <w:rtl w:val="0"/>
              </w:rPr>
              <w:t xml:space="preserve">Damage-Function IPG</w:t>
            </w:r>
          </w:p>
        </w:tc>
        <w:tc>
          <w:tcPr>
            <w:tcBorders>
              <w:top w:color="dddddd" w:space="0" w:sz="6" w:val="single"/>
              <w:left w:color="dddddd" w:space="0" w:sz="6" w:val="single"/>
              <w:bottom w:color="dddddd" w:space="0" w:sz="6" w:val="single"/>
              <w:right w:color="dddddd" w:space="0" w:sz="6" w:val="single"/>
            </w:tcBorders>
            <w:shd w:fill="f5f5f5" w:val="clear"/>
            <w:tcMar>
              <w:top w:w="120.0" w:type="dxa"/>
              <w:left w:w="150.0" w:type="dxa"/>
              <w:bottom w:w="120.0" w:type="dxa"/>
              <w:right w:w="15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22"/>
                <w:szCs w:val="22"/>
                <w:shd w:fill="auto" w:val="clear"/>
              </w:rPr>
            </w:pPr>
            <w:r w:rsidDel="00000000" w:rsidR="00000000" w:rsidRPr="00000000">
              <w:rPr>
                <w:b w:val="1"/>
                <w:bCs w:val="1"/>
                <w:sz w:val="22"/>
                <w:szCs w:val="22"/>
                <w:shd w:fill="auto" w:val="clear"/>
                <w:rtl w:val="0"/>
              </w:rPr>
              <w:t xml:space="preserve">RCV Model IPG</w:t>
            </w:r>
          </w:p>
        </w:tc>
        <w:tc>
          <w:tcPr>
            <w:tcBorders>
              <w:top w:color="dddddd" w:space="0" w:sz="6" w:val="single"/>
              <w:left w:color="dddddd" w:space="0" w:sz="6" w:val="single"/>
              <w:bottom w:color="dddddd" w:space="0" w:sz="6" w:val="single"/>
              <w:right w:color="dddddd" w:space="0" w:sz="6" w:val="single"/>
            </w:tcBorders>
            <w:shd w:fill="f5f5f5" w:val="clear"/>
            <w:tcMar>
              <w:top w:w="120.0" w:type="dxa"/>
              <w:left w:w="150.0" w:type="dxa"/>
              <w:bottom w:w="120.0" w:type="dxa"/>
              <w:right w:w="15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22"/>
                <w:szCs w:val="22"/>
                <w:shd w:fill="auto" w:val="clear"/>
              </w:rPr>
            </w:pPr>
            <w:r w:rsidDel="00000000" w:rsidR="00000000" w:rsidRPr="00000000">
              <w:rPr>
                <w:b w:val="1"/>
                <w:bCs w:val="1"/>
                <w:sz w:val="22"/>
                <w:szCs w:val="22"/>
                <w:shd w:fill="auto" w:val="clear"/>
                <w:rtl w:val="0"/>
              </w:rPr>
              <w:t xml:space="preserve">Direction</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fffff" w:val="clear"/>
            <w:tcMar>
              <w:top w:w="120.0" w:type="dxa"/>
              <w:left w:w="150.0" w:type="dxa"/>
              <w:bottom w:w="120.0" w:type="dxa"/>
              <w:right w:w="15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Rule="auto"/>
              <w:ind w:left="0" w:right="0" w:firstLine="0"/>
              <w:rPr>
                <w:sz w:val="22"/>
                <w:szCs w:val="22"/>
              </w:rPr>
            </w:pPr>
            <w:r w:rsidDel="00000000" w:rsidR="00000000" w:rsidRPr="00000000">
              <w:rPr>
                <w:sz w:val="22"/>
                <w:szCs w:val="22"/>
                <w:rtl w:val="0"/>
              </w:rPr>
              <w:t xml:space="preserve">McDowell County coal</w:t>
            </w:r>
          </w:p>
        </w:tc>
        <w:tc>
          <w:tcPr>
            <w:tcBorders>
              <w:top w:color="dddddd" w:space="0" w:sz="6" w:val="single"/>
              <w:left w:color="dddddd" w:space="0" w:sz="6" w:val="single"/>
              <w:bottom w:color="dddddd" w:space="0" w:sz="6" w:val="single"/>
              <w:right w:color="dddddd" w:space="0" w:sz="6" w:val="single"/>
            </w:tcBorders>
            <w:shd w:fill="ffffff" w:val="clear"/>
            <w:tcMar>
              <w:top w:w="120.0" w:type="dxa"/>
              <w:left w:w="150.0" w:type="dxa"/>
              <w:bottom w:w="120.0" w:type="dxa"/>
              <w:right w:w="15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Rule="auto"/>
              <w:ind w:left="0" w:right="0" w:firstLine="0"/>
              <w:rPr>
                <w:sz w:val="22"/>
                <w:szCs w:val="22"/>
              </w:rPr>
            </w:pPr>
            <w:r w:rsidDel="00000000" w:rsidR="00000000" w:rsidRPr="00000000">
              <w:rPr>
                <w:sz w:val="22"/>
                <w:szCs w:val="22"/>
                <w:rtl w:val="0"/>
              </w:rPr>
              <w:t xml:space="preserve">$4.50/ton</w:t>
            </w:r>
          </w:p>
        </w:tc>
        <w:tc>
          <w:tcPr>
            <w:tcBorders>
              <w:top w:color="dddddd" w:space="0" w:sz="6" w:val="single"/>
              <w:left w:color="dddddd" w:space="0" w:sz="6" w:val="single"/>
              <w:bottom w:color="dddddd" w:space="0" w:sz="6" w:val="single"/>
              <w:right w:color="dddddd" w:space="0" w:sz="6" w:val="single"/>
            </w:tcBorders>
            <w:shd w:fill="ffffff" w:val="clear"/>
            <w:tcMar>
              <w:top w:w="120.0" w:type="dxa"/>
              <w:left w:w="150.0" w:type="dxa"/>
              <w:bottom w:w="120.0" w:type="dxa"/>
              <w:right w:w="15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Rule="auto"/>
              <w:ind w:left="0" w:right="0" w:firstLine="0"/>
              <w:rPr>
                <w:sz w:val="22"/>
                <w:szCs w:val="22"/>
              </w:rPr>
            </w:pPr>
            <w:r w:rsidDel="00000000" w:rsidR="00000000" w:rsidRPr="00000000">
              <w:rPr>
                <w:sz w:val="22"/>
                <w:szCs w:val="22"/>
                <w:rtl w:val="0"/>
              </w:rPr>
              <w:t xml:space="preserve">5–133×</w:t>
            </w:r>
          </w:p>
        </w:tc>
        <w:tc>
          <w:tcPr>
            <w:tcBorders>
              <w:top w:color="dddddd" w:space="0" w:sz="6" w:val="single"/>
              <w:left w:color="dddddd" w:space="0" w:sz="6" w:val="single"/>
              <w:bottom w:color="dddddd" w:space="0" w:sz="6" w:val="single"/>
              <w:right w:color="dddddd" w:space="0" w:sz="6" w:val="single"/>
            </w:tcBorders>
            <w:shd w:fill="ffffff" w:val="clear"/>
            <w:tcMar>
              <w:top w:w="120.0" w:type="dxa"/>
              <w:left w:w="150.0" w:type="dxa"/>
              <w:bottom w:w="120.0" w:type="dxa"/>
              <w:right w:w="15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Rule="auto"/>
              <w:ind w:left="0" w:right="0" w:firstLine="0"/>
              <w:rPr>
                <w:sz w:val="22"/>
                <w:szCs w:val="22"/>
              </w:rPr>
            </w:pPr>
            <w:r w:rsidDel="00000000" w:rsidR="00000000" w:rsidRPr="00000000">
              <w:rPr>
                <w:sz w:val="22"/>
                <w:szCs w:val="22"/>
                <w:rtl w:val="0"/>
              </w:rPr>
              <w:t xml:space="preserve">19–47×</w:t>
            </w:r>
          </w:p>
        </w:tc>
        <w:tc>
          <w:tcPr>
            <w:tcBorders>
              <w:top w:color="dddddd" w:space="0" w:sz="6" w:val="single"/>
              <w:left w:color="dddddd" w:space="0" w:sz="6" w:val="single"/>
              <w:bottom w:color="dddddd" w:space="0" w:sz="6" w:val="single"/>
              <w:right w:color="dddddd" w:space="0" w:sz="6" w:val="single"/>
            </w:tcBorders>
            <w:shd w:fill="ffffff" w:val="clear"/>
            <w:tcMar>
              <w:top w:w="120.0" w:type="dxa"/>
              <w:left w:w="150.0" w:type="dxa"/>
              <w:bottom w:w="120.0" w:type="dxa"/>
              <w:right w:w="15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Rule="auto"/>
              <w:ind w:left="0" w:right="0" w:firstLine="0"/>
              <w:rPr>
                <w:sz w:val="22"/>
                <w:szCs w:val="22"/>
              </w:rPr>
            </w:pPr>
            <w:r w:rsidDel="00000000" w:rsidR="00000000" w:rsidRPr="00000000">
              <w:rPr>
                <w:sz w:val="22"/>
                <w:szCs w:val="22"/>
                <w:rtl w:val="0"/>
              </w:rPr>
              <w:t xml:space="preserve">CS &gt; 0</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fffff" w:val="clear"/>
            <w:tcMar>
              <w:top w:w="120.0" w:type="dxa"/>
              <w:left w:w="150.0" w:type="dxa"/>
              <w:bottom w:w="120.0" w:type="dxa"/>
              <w:right w:w="15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Rule="auto"/>
              <w:ind w:left="0" w:right="0" w:firstLine="0"/>
              <w:rPr>
                <w:sz w:val="22"/>
                <w:szCs w:val="22"/>
              </w:rPr>
            </w:pPr>
            <w:r w:rsidDel="00000000" w:rsidR="00000000" w:rsidRPr="00000000">
              <w:rPr>
                <w:sz w:val="22"/>
                <w:szCs w:val="22"/>
                <w:rtl w:val="0"/>
              </w:rPr>
              <w:t xml:space="preserve">Deepwater Horizon</w:t>
            </w:r>
          </w:p>
        </w:tc>
        <w:tc>
          <w:tcPr>
            <w:tcBorders>
              <w:top w:color="dddddd" w:space="0" w:sz="6" w:val="single"/>
              <w:left w:color="dddddd" w:space="0" w:sz="6" w:val="single"/>
              <w:bottom w:color="dddddd" w:space="0" w:sz="6" w:val="single"/>
              <w:right w:color="dddddd" w:space="0" w:sz="6" w:val="single"/>
            </w:tcBorders>
            <w:shd w:fill="ffffff" w:val="clear"/>
            <w:tcMar>
              <w:top w:w="120.0" w:type="dxa"/>
              <w:left w:w="150.0" w:type="dxa"/>
              <w:bottom w:w="120.0" w:type="dxa"/>
              <w:right w:w="15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Rule="auto"/>
              <w:ind w:left="0" w:right="0" w:firstLine="0"/>
              <w:rPr>
                <w:sz w:val="22"/>
                <w:szCs w:val="22"/>
              </w:rPr>
            </w:pPr>
            <w:r w:rsidDel="00000000" w:rsidR="00000000" w:rsidRPr="00000000">
              <w:rPr>
                <w:sz w:val="22"/>
                <w:szCs w:val="22"/>
                <w:rtl w:val="0"/>
              </w:rPr>
              <w:t xml:space="preserve">$4.25B revenue</w:t>
            </w:r>
          </w:p>
        </w:tc>
        <w:tc>
          <w:tcPr>
            <w:tcBorders>
              <w:top w:color="dddddd" w:space="0" w:sz="6" w:val="single"/>
              <w:left w:color="dddddd" w:space="0" w:sz="6" w:val="single"/>
              <w:bottom w:color="dddddd" w:space="0" w:sz="6" w:val="single"/>
              <w:right w:color="dddddd" w:space="0" w:sz="6" w:val="single"/>
            </w:tcBorders>
            <w:shd w:fill="ffffff" w:val="clear"/>
            <w:tcMar>
              <w:top w:w="120.0" w:type="dxa"/>
              <w:left w:w="150.0" w:type="dxa"/>
              <w:bottom w:w="120.0" w:type="dxa"/>
              <w:right w:w="15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Rule="auto"/>
              <w:ind w:left="0" w:right="0" w:firstLine="0"/>
              <w:rPr>
                <w:sz w:val="22"/>
                <w:szCs w:val="22"/>
              </w:rPr>
            </w:pPr>
            <w:r w:rsidDel="00000000" w:rsidR="00000000" w:rsidRPr="00000000">
              <w:rPr>
                <w:sz w:val="22"/>
                <w:szCs w:val="22"/>
                <w:rtl w:val="0"/>
              </w:rPr>
              <w:t xml:space="preserve">15–17×</w:t>
            </w:r>
          </w:p>
        </w:tc>
        <w:tc>
          <w:tcPr>
            <w:tcBorders>
              <w:top w:color="dddddd" w:space="0" w:sz="6" w:val="single"/>
              <w:left w:color="dddddd" w:space="0" w:sz="6" w:val="single"/>
              <w:bottom w:color="dddddd" w:space="0" w:sz="6" w:val="single"/>
              <w:right w:color="dddddd" w:space="0" w:sz="6" w:val="single"/>
            </w:tcBorders>
            <w:shd w:fill="ffffff" w:val="clear"/>
            <w:tcMar>
              <w:top w:w="120.0" w:type="dxa"/>
              <w:left w:w="150.0" w:type="dxa"/>
              <w:bottom w:w="120.0" w:type="dxa"/>
              <w:right w:w="15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Rule="auto"/>
              <w:ind w:left="0" w:right="0" w:firstLine="0"/>
              <w:rPr>
                <w:sz w:val="22"/>
                <w:szCs w:val="22"/>
              </w:rPr>
            </w:pPr>
            <w:r w:rsidDel="00000000" w:rsidR="00000000" w:rsidRPr="00000000">
              <w:rPr>
                <w:sz w:val="22"/>
                <w:szCs w:val="22"/>
                <w:rtl w:val="0"/>
              </w:rPr>
              <w:t xml:space="preserve">~15×</w:t>
            </w:r>
          </w:p>
        </w:tc>
        <w:tc>
          <w:tcPr>
            <w:tcBorders>
              <w:top w:color="dddddd" w:space="0" w:sz="6" w:val="single"/>
              <w:left w:color="dddddd" w:space="0" w:sz="6" w:val="single"/>
              <w:bottom w:color="dddddd" w:space="0" w:sz="6" w:val="single"/>
              <w:right w:color="dddddd" w:space="0" w:sz="6" w:val="single"/>
            </w:tcBorders>
            <w:shd w:fill="ffffff" w:val="clear"/>
            <w:tcMar>
              <w:top w:w="120.0" w:type="dxa"/>
              <w:left w:w="150.0" w:type="dxa"/>
              <w:bottom w:w="120.0" w:type="dxa"/>
              <w:right w:w="15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Rule="auto"/>
              <w:ind w:left="0" w:right="0" w:firstLine="0"/>
              <w:rPr>
                <w:sz w:val="22"/>
                <w:szCs w:val="22"/>
              </w:rPr>
            </w:pPr>
            <w:r w:rsidDel="00000000" w:rsidR="00000000" w:rsidRPr="00000000">
              <w:rPr>
                <w:sz w:val="22"/>
                <w:szCs w:val="22"/>
                <w:rtl w:val="0"/>
              </w:rPr>
              <w:t xml:space="preserve">CS &gt; 0</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fffff" w:val="clear"/>
            <w:tcMar>
              <w:top w:w="120.0" w:type="dxa"/>
              <w:left w:w="150.0" w:type="dxa"/>
              <w:bottom w:w="120.0" w:type="dxa"/>
              <w:right w:w="15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Rule="auto"/>
              <w:ind w:left="0" w:right="0" w:firstLine="0"/>
              <w:rPr>
                <w:sz w:val="22"/>
                <w:szCs w:val="22"/>
              </w:rPr>
            </w:pPr>
            <w:r w:rsidDel="00000000" w:rsidR="00000000" w:rsidRPr="00000000">
              <w:rPr>
                <w:sz w:val="22"/>
                <w:szCs w:val="22"/>
                <w:rtl w:val="0"/>
              </w:rPr>
              <w:t xml:space="preserve">Exxon Valdez</w:t>
            </w:r>
          </w:p>
        </w:tc>
        <w:tc>
          <w:tcPr>
            <w:tcBorders>
              <w:top w:color="dddddd" w:space="0" w:sz="6" w:val="single"/>
              <w:left w:color="dddddd" w:space="0" w:sz="6" w:val="single"/>
              <w:bottom w:color="dddddd" w:space="0" w:sz="6" w:val="single"/>
              <w:right w:color="dddddd" w:space="0" w:sz="6" w:val="single"/>
            </w:tcBorders>
            <w:shd w:fill="ffffff" w:val="clear"/>
            <w:tcMar>
              <w:top w:w="120.0" w:type="dxa"/>
              <w:left w:w="150.0" w:type="dxa"/>
              <w:bottom w:w="120.0" w:type="dxa"/>
              <w:right w:w="15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Rule="auto"/>
              <w:ind w:left="0" w:right="0" w:firstLine="0"/>
              <w:rPr>
                <w:sz w:val="22"/>
                <w:szCs w:val="22"/>
              </w:rPr>
            </w:pPr>
            <w:r w:rsidDel="00000000" w:rsidR="00000000" w:rsidRPr="00000000">
              <w:rPr>
                <w:sz w:val="22"/>
                <w:szCs w:val="22"/>
                <w:rtl w:val="0"/>
              </w:rPr>
              <w:t xml:space="preserve">$5.5M product</w:t>
            </w:r>
          </w:p>
        </w:tc>
        <w:tc>
          <w:tcPr>
            <w:tcBorders>
              <w:top w:color="dddddd" w:space="0" w:sz="6" w:val="single"/>
              <w:left w:color="dddddd" w:space="0" w:sz="6" w:val="single"/>
              <w:bottom w:color="dddddd" w:space="0" w:sz="6" w:val="single"/>
              <w:right w:color="dddddd" w:space="0" w:sz="6" w:val="single"/>
            </w:tcBorders>
            <w:shd w:fill="ffffff" w:val="clear"/>
            <w:tcMar>
              <w:top w:w="120.0" w:type="dxa"/>
              <w:left w:w="150.0" w:type="dxa"/>
              <w:bottom w:w="120.0" w:type="dxa"/>
              <w:right w:w="15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Rule="auto"/>
              <w:ind w:left="0" w:right="0" w:firstLine="0"/>
              <w:rPr>
                <w:sz w:val="22"/>
                <w:szCs w:val="22"/>
              </w:rPr>
            </w:pPr>
            <w:r w:rsidDel="00000000" w:rsidR="00000000" w:rsidRPr="00000000">
              <w:rPr>
                <w:sz w:val="22"/>
                <w:szCs w:val="22"/>
                <w:rtl w:val="0"/>
              </w:rPr>
              <w:t xml:space="preserve">1,200–1,900×</w:t>
            </w:r>
          </w:p>
        </w:tc>
        <w:tc>
          <w:tcPr>
            <w:tcBorders>
              <w:top w:color="dddddd" w:space="0" w:sz="6" w:val="single"/>
              <w:left w:color="dddddd" w:space="0" w:sz="6" w:val="single"/>
              <w:bottom w:color="dddddd" w:space="0" w:sz="6" w:val="single"/>
              <w:right w:color="dddddd" w:space="0" w:sz="6" w:val="single"/>
            </w:tcBorders>
            <w:shd w:fill="ffffff" w:val="clear"/>
            <w:tcMar>
              <w:top w:w="120.0" w:type="dxa"/>
              <w:left w:w="150.0" w:type="dxa"/>
              <w:bottom w:w="120.0" w:type="dxa"/>
              <w:right w:w="15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Rule="auto"/>
              <w:ind w:left="0" w:right="0" w:firstLine="0"/>
              <w:rPr>
                <w:sz w:val="22"/>
                <w:szCs w:val="22"/>
              </w:rPr>
            </w:pPr>
            <w:r w:rsidDel="00000000" w:rsidR="00000000" w:rsidRPr="00000000">
              <w:rPr>
                <w:sz w:val="22"/>
                <w:szCs w:val="22"/>
                <w:rtl w:val="0"/>
              </w:rPr>
              <w:t xml:space="preserve">~1,000×</w:t>
            </w:r>
          </w:p>
        </w:tc>
        <w:tc>
          <w:tcPr>
            <w:tcBorders>
              <w:top w:color="dddddd" w:space="0" w:sz="6" w:val="single"/>
              <w:left w:color="dddddd" w:space="0" w:sz="6" w:val="single"/>
              <w:bottom w:color="dddddd" w:space="0" w:sz="6" w:val="single"/>
              <w:right w:color="dddddd" w:space="0" w:sz="6" w:val="single"/>
            </w:tcBorders>
            <w:shd w:fill="ffffff" w:val="clear"/>
            <w:tcMar>
              <w:top w:w="120.0" w:type="dxa"/>
              <w:left w:w="150.0" w:type="dxa"/>
              <w:bottom w:w="120.0" w:type="dxa"/>
              <w:right w:w="15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Rule="auto"/>
              <w:ind w:left="0" w:right="0" w:firstLine="0"/>
              <w:rPr>
                <w:sz w:val="22"/>
                <w:szCs w:val="22"/>
              </w:rPr>
            </w:pPr>
            <w:r w:rsidDel="00000000" w:rsidR="00000000" w:rsidRPr="00000000">
              <w:rPr>
                <w:sz w:val="22"/>
                <w:szCs w:val="22"/>
                <w:rtl w:val="0"/>
              </w:rPr>
              <w:t xml:space="preserve">CS &gt; 0</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fffff" w:val="clear"/>
            <w:tcMar>
              <w:top w:w="120.0" w:type="dxa"/>
              <w:left w:w="150.0" w:type="dxa"/>
              <w:bottom w:w="120.0" w:type="dxa"/>
              <w:right w:w="15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Rule="auto"/>
              <w:ind w:left="0" w:right="0" w:firstLine="0"/>
              <w:rPr>
                <w:sz w:val="22"/>
                <w:szCs w:val="22"/>
              </w:rPr>
            </w:pPr>
            <w:r w:rsidDel="00000000" w:rsidR="00000000" w:rsidRPr="00000000">
              <w:rPr>
                <w:sz w:val="22"/>
                <w:szCs w:val="22"/>
                <w:rtl w:val="0"/>
              </w:rPr>
              <w:t xml:space="preserve">Libby, Montana</w:t>
            </w:r>
          </w:p>
        </w:tc>
        <w:tc>
          <w:tcPr>
            <w:tcBorders>
              <w:top w:color="dddddd" w:space="0" w:sz="6" w:val="single"/>
              <w:left w:color="dddddd" w:space="0" w:sz="6" w:val="single"/>
              <w:bottom w:color="dddddd" w:space="0" w:sz="6" w:val="single"/>
              <w:right w:color="dddddd" w:space="0" w:sz="6" w:val="single"/>
            </w:tcBorders>
            <w:shd w:fill="ffffff" w:val="clear"/>
            <w:tcMar>
              <w:top w:w="120.0" w:type="dxa"/>
              <w:left w:w="150.0" w:type="dxa"/>
              <w:bottom w:w="120.0" w:type="dxa"/>
              <w:right w:w="15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Rule="auto"/>
              <w:ind w:left="0" w:right="0" w:firstLine="0"/>
              <w:rPr>
                <w:sz w:val="22"/>
                <w:szCs w:val="22"/>
              </w:rPr>
            </w:pPr>
            <w:r w:rsidDel="00000000" w:rsidR="00000000" w:rsidRPr="00000000">
              <w:rPr>
                <w:sz w:val="22"/>
                <w:szCs w:val="22"/>
                <w:rtl w:val="0"/>
              </w:rPr>
              <w:t xml:space="preserve">~$100M lifetime</w:t>
            </w:r>
          </w:p>
        </w:tc>
        <w:tc>
          <w:tcPr>
            <w:tcBorders>
              <w:top w:color="dddddd" w:space="0" w:sz="6" w:val="single"/>
              <w:left w:color="dddddd" w:space="0" w:sz="6" w:val="single"/>
              <w:bottom w:color="dddddd" w:space="0" w:sz="6" w:val="single"/>
              <w:right w:color="dddddd" w:space="0" w:sz="6" w:val="single"/>
            </w:tcBorders>
            <w:shd w:fill="ffffff" w:val="clear"/>
            <w:tcMar>
              <w:top w:w="120.0" w:type="dxa"/>
              <w:left w:w="150.0" w:type="dxa"/>
              <w:bottom w:w="120.0" w:type="dxa"/>
              <w:right w:w="15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Rule="auto"/>
              <w:ind w:left="0" w:right="0" w:firstLine="0"/>
              <w:rPr>
                <w:sz w:val="22"/>
                <w:szCs w:val="22"/>
              </w:rPr>
            </w:pPr>
            <w:r w:rsidDel="00000000" w:rsidR="00000000" w:rsidRPr="00000000">
              <w:rPr>
                <w:sz w:val="22"/>
                <w:szCs w:val="22"/>
                <w:rtl w:val="0"/>
              </w:rPr>
              <w:t xml:space="preserve">55–82×</w:t>
            </w:r>
          </w:p>
        </w:tc>
        <w:tc>
          <w:tcPr>
            <w:tcBorders>
              <w:top w:color="dddddd" w:space="0" w:sz="6" w:val="single"/>
              <w:left w:color="dddddd" w:space="0" w:sz="6" w:val="single"/>
              <w:bottom w:color="dddddd" w:space="0" w:sz="6" w:val="single"/>
              <w:right w:color="dddddd" w:space="0" w:sz="6" w:val="single"/>
            </w:tcBorders>
            <w:shd w:fill="ffffff" w:val="clear"/>
            <w:tcMar>
              <w:top w:w="120.0" w:type="dxa"/>
              <w:left w:w="150.0" w:type="dxa"/>
              <w:bottom w:w="120.0" w:type="dxa"/>
              <w:right w:w="15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Rule="auto"/>
              <w:ind w:left="0" w:right="0" w:firstLine="0"/>
              <w:rPr>
                <w:sz w:val="22"/>
                <w:szCs w:val="22"/>
              </w:rPr>
            </w:pPr>
            <w:r w:rsidDel="00000000" w:rsidR="00000000" w:rsidRPr="00000000">
              <w:rPr>
                <w:sz w:val="22"/>
                <w:szCs w:val="22"/>
                <w:rtl w:val="0"/>
              </w:rPr>
              <w:t xml:space="preserve">40–80×</w:t>
            </w:r>
          </w:p>
        </w:tc>
        <w:tc>
          <w:tcPr>
            <w:tcBorders>
              <w:top w:color="dddddd" w:space="0" w:sz="6" w:val="single"/>
              <w:left w:color="dddddd" w:space="0" w:sz="6" w:val="single"/>
              <w:bottom w:color="dddddd" w:space="0" w:sz="6" w:val="single"/>
              <w:right w:color="dddddd" w:space="0" w:sz="6" w:val="single"/>
            </w:tcBorders>
            <w:shd w:fill="ffffff" w:val="clear"/>
            <w:tcMar>
              <w:top w:w="120.0" w:type="dxa"/>
              <w:left w:w="150.0" w:type="dxa"/>
              <w:bottom w:w="120.0" w:type="dxa"/>
              <w:right w:w="15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Rule="auto"/>
              <w:ind w:left="0" w:right="0" w:firstLine="0"/>
              <w:rPr>
                <w:sz w:val="22"/>
                <w:szCs w:val="22"/>
              </w:rPr>
            </w:pPr>
            <w:r w:rsidDel="00000000" w:rsidR="00000000" w:rsidRPr="00000000">
              <w:rPr>
                <w:sz w:val="22"/>
                <w:szCs w:val="22"/>
                <w:rtl w:val="0"/>
              </w:rPr>
              <w:t xml:space="preserve">CS &gt; 0</w:t>
            </w:r>
          </w:p>
        </w:tc>
      </w:tr>
    </w:tbl>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80" w:before="360" w:lineRule="auto"/>
        <w:ind w:left="0" w:right="0" w:firstLine="0"/>
        <w:rPr/>
      </w:pPr>
      <w:r w:rsidDel="00000000" w:rsidR="00000000" w:rsidRPr="00000000">
        <w:rPr>
          <w:rtl w:val="0"/>
        </w:rPr>
        <w:t xml:space="preserve">The methods converge. Different assumptions, different foundations, same qualitative conclusion and, in most cases, similar magnitudes. The direction never flips. In every case tested, market prices understate the true cost — always by a meaningful factor, sometimes by three or four orders of magnitude.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420" w:before="0" w:lineRule="auto"/>
        <w:ind w:left="0" w:right="0" w:firstLine="0"/>
        <w:rPr/>
      </w:pPr>
      <w:r w:rsidDel="00000000" w:rsidR="00000000" w:rsidRPr="00000000">
        <w:rPr>
          <w:rtl w:val="0"/>
        </w:rPr>
        <w:t xml:space="preserve">This is the chapter’s central finding, and it is worth sitting with for a moment. Three independent accounting methods, built on economics from different decades and different schools, have been applied to the same historical extractions. They agree not because they were designed to agree but because the thing they are measuring is real. The gap between what extraction costs and what extraction charges is not an artifact of any one method. It is a feature of how the extraction economy actually works.</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after="180" w:lineRule="auto"/>
        <w:rPr/>
      </w:pPr>
      <w:r w:rsidDel="00000000" w:rsidR="00000000" w:rsidRPr="00000000">
        <w:pict>
          <v:rect style="width:0.0pt;height:1.5pt" o:hr="t" o:hrstd="t" o:hralign="center" fillcolor="#A0A0A0" stroked="f"/>
        </w:pict>
      </w:r>
      <w:r w:rsidDel="00000000" w:rsidR="00000000" w:rsidRPr="00000000">
        <w:rPr>
          <w:rtl w:val="0"/>
        </w:rPr>
        <w:t xml:space="preserve">The Norway Backtest</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80" w:before="0" w:lineRule="auto"/>
        <w:ind w:left="0" w:right="0" w:firstLine="0"/>
        <w:rPr/>
      </w:pPr>
      <w:r w:rsidDel="00000000" w:rsidR="00000000" w:rsidRPr="00000000">
        <w:rPr>
          <w:rtl w:val="0"/>
        </w:rPr>
        <w:t xml:space="preserve">To test whether the model only screams disaster, apply it to the best-managed extraction case in the world.</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80" w:before="0" w:lineRule="auto"/>
        <w:ind w:left="0" w:right="0" w:firstLine="0"/>
        <w:rPr/>
      </w:pPr>
      <w:r w:rsidDel="00000000" w:rsidR="00000000" w:rsidRPr="00000000">
        <w:rPr>
          <w:rtl w:val="0"/>
        </w:rPr>
        <w:t xml:space="preserve">Norwegian oil. The Norwegian sovereign wealth fund — formally, the Government Pension Fund Global — holds roughly $1.8 trillion against the country’s cumulative oil revenues and invests that capital in a diversified portfolio on behalf of present and future generations. It is the closest working example the world has of Hartwick’s Rule: extract a non-renewable, invest the rents in renewable capital, let consumption depend on the interest rather than the principal.</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80" w:before="0" w:lineRule="auto"/>
        <w:ind w:left="0" w:right="0" w:firstLine="0"/>
        <w:rPr/>
      </w:pPr>
      <w:r w:rsidDel="00000000" w:rsidR="00000000" w:rsidRPr="00000000">
        <w:rPr>
          <w:rtl w:val="0"/>
        </w:rPr>
        <w:t xml:space="preserve">Apply the RCV framework. The fund is an enormous accountability bond — </w:t>
      </w:r>
      <w:r w:rsidDel="00000000" w:rsidR="00000000" w:rsidRPr="00000000">
        <w:rPr>
          <w:i w:val="1"/>
          <w:iCs w:val="1"/>
          <w:rtl w:val="0"/>
        </w:rPr>
        <w:t xml:space="preserve">B</w:t>
      </w:r>
      <w:r w:rsidDel="00000000" w:rsidR="00000000" w:rsidRPr="00000000">
        <w:rPr>
          <w:rtl w:val="0"/>
        </w:rPr>
        <w:t xml:space="preserve"> is very large. The country has stringent environmental regulation and has invested in full-cost accounting for the externalities of its extraction industry. The externality tail is smaller than in Appalachia because the regulatory regime is stricter. The substitutability picture for oil is the same as everywhere else.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80" w:before="0" w:lineRule="auto"/>
        <w:ind w:left="0" w:right="0" w:firstLine="0"/>
        <w:rPr/>
      </w:pPr>
      <w:r w:rsidDel="00000000" w:rsidR="00000000" w:rsidRPr="00000000">
        <w:rPr>
          <w:rtl w:val="0"/>
        </w:rPr>
        <w:t xml:space="preserve">Result: CS is small, but positive. The fund captures most of the financial value. The barrel is still physically gone; no fund can manufacture more subsurface petroleum. The externality tail, though smaller, is not zero; Norwegian oil burned anywhere on Earth contributes to the same atmosphere. The RCV is not so much larger than the accountability bond, but it is still larger.</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420" w:before="0" w:lineRule="auto"/>
        <w:ind w:left="0" w:right="0" w:firstLine="0"/>
        <w:rPr/>
      </w:pPr>
      <w:r w:rsidDel="00000000" w:rsidR="00000000" w:rsidRPr="00000000">
        <w:rPr>
          <w:rtl w:val="0"/>
        </w:rPr>
        <w:t xml:space="preserve">The model does what a good model should. It differentiates. It does not say “extraction is always bad at the same rate.” It says “extraction under these conditions produces this much cost severance, and extraction under those conditions produces that much.” Norway is closer to honest pricing than anywhere else. It is still not all the way there.</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after="180" w:lineRule="auto"/>
        <w:rPr/>
      </w:pPr>
      <w:r w:rsidDel="00000000" w:rsidR="00000000" w:rsidRPr="00000000">
        <w:pict>
          <v:rect style="width:0.0pt;height:1.5pt" o:hr="t" o:hrstd="t" o:hralign="center" fillcolor="#A0A0A0" stroked="f"/>
        </w:pict>
      </w:r>
      <w:r w:rsidDel="00000000" w:rsidR="00000000" w:rsidRPr="00000000">
        <w:rPr>
          <w:rtl w:val="0"/>
        </w:rPr>
        <w:t xml:space="preserve">What the Critics Will Say</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70" w:before="0" w:lineRule="auto"/>
        <w:ind w:left="0" w:right="0" w:firstLine="0"/>
        <w:rPr/>
      </w:pPr>
      <w:r w:rsidDel="00000000" w:rsidR="00000000" w:rsidRPr="00000000">
        <w:rPr>
          <w:rtl w:val="0"/>
        </w:rPr>
        <w:t xml:space="preserve">Having presented the framework, the chapter should ask whether it can be broken. Two objections are the ones the book owes the reader a substantive answer to, and I will take them in order.</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80" w:before="0" w:lineRule="auto"/>
        <w:ind w:left="0" w:right="0" w:firstLine="0"/>
        <w:rPr>
          <w:b w:val="1"/>
          <w:bCs w:val="1"/>
        </w:rPr>
      </w:pPr>
      <w:r w:rsidDel="00000000" w:rsidR="00000000" w:rsidRPr="00000000">
        <w:rPr>
          <w:b w:val="1"/>
          <w:bCs w:val="1"/>
          <w:rtl w:val="0"/>
        </w:rPr>
        <w:t xml:space="preserve">Objection 1: You are pricing the unpriceable. That makes the framework arbitrary.</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80" w:before="0" w:lineRule="auto"/>
        <w:ind w:left="0" w:right="0" w:firstLine="0"/>
        <w:rPr>
          <w:i w:val="1"/>
          <w:iCs w:val="1"/>
        </w:rPr>
      </w:pPr>
      <w:r w:rsidDel="00000000" w:rsidR="00000000" w:rsidRPr="00000000">
        <w:rPr>
          <w:rtl w:val="0"/>
        </w:rPr>
        <w:t xml:space="preserve">This is the mainstream economist’s objection, and it is partly correct. The model requires estimating four things: the substitutability function, the externality tail, the stock-dependent utility, and the discount factor. None of these is directly observable. Each requires assumptions that affect the output. We showed this ourselves — the IPG for coal ranges from 5 to 133 depending on which social cost of carbon is used. A critic can reasonably say: </w:t>
      </w:r>
      <w:r w:rsidDel="00000000" w:rsidR="00000000" w:rsidRPr="00000000">
        <w:rPr>
          <w:i w:val="1"/>
          <w:iCs w:val="1"/>
          <w:rtl w:val="0"/>
        </w:rPr>
        <w:t xml:space="preserve">that is not a model. That is a choose-your-own-adventure.</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80" w:before="0" w:lineRule="auto"/>
        <w:ind w:left="0" w:right="0" w:firstLine="0"/>
        <w:rPr/>
      </w:pPr>
      <w:r w:rsidDel="00000000" w:rsidR="00000000" w:rsidRPr="00000000">
        <w:rPr>
          <w:rtl w:val="0"/>
        </w:rPr>
        <w:t xml:space="preserve">The response has four parts.</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80" w:before="0" w:lineRule="auto"/>
        <w:ind w:left="0" w:right="0" w:firstLine="0"/>
        <w:rPr/>
      </w:pPr>
      <w:r w:rsidDel="00000000" w:rsidR="00000000" w:rsidRPr="00000000">
        <w:rPr>
          <w:rtl w:val="0"/>
        </w:rPr>
        <w:t xml:space="preserve">First, the model does not eliminate uncertainty. It </w:t>
      </w:r>
      <w:r w:rsidDel="00000000" w:rsidR="00000000" w:rsidRPr="00000000">
        <w:rPr>
          <w:i w:val="1"/>
          <w:iCs w:val="1"/>
          <w:rtl w:val="0"/>
        </w:rPr>
        <w:t xml:space="preserve">structures</w:t>
      </w:r>
      <w:r w:rsidDel="00000000" w:rsidR="00000000" w:rsidRPr="00000000">
        <w:rPr>
          <w:rtl w:val="0"/>
        </w:rPr>
        <w:t xml:space="preserve"> uncertainty. It tells us which parameters matter and by how much each one affects the output. A weather model does not tell you with certainty whether it will rain Thursday; it tells you the probability, given what we know. The weather model is not useless because it contains uncertainty. It is useful because it expresses the uncertainty in a form that supports decisions.</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80" w:before="0" w:lineRule="auto"/>
        <w:ind w:left="0" w:right="0" w:firstLine="0"/>
        <w:rPr/>
      </w:pPr>
      <w:r w:rsidDel="00000000" w:rsidR="00000000" w:rsidRPr="00000000">
        <w:rPr>
          <w:rtl w:val="0"/>
        </w:rPr>
        <w:t xml:space="preserve">Second, the alternative — current market pricing with no externality adjustment — is not neutral. It is a specific assumption: that externalities are worth exactly zero. That the health costs borne by McDowell County are worth zero. That the climate damage from atmospheric carbon is worth zero. That permanent foreclosure of a non-renewable resource imposes zero cost on future generations. This assumption is not more rigorous than the RCV model’s assumptions. It is </w:t>
      </w:r>
      <w:r w:rsidDel="00000000" w:rsidR="00000000" w:rsidRPr="00000000">
        <w:rPr>
          <w:i w:val="1"/>
          <w:iCs w:val="1"/>
          <w:rtl w:val="0"/>
        </w:rPr>
        <w:t xml:space="preserve">less</w:t>
      </w:r>
      <w:r w:rsidDel="00000000" w:rsidR="00000000" w:rsidRPr="00000000">
        <w:rPr>
          <w:rtl w:val="0"/>
        </w:rPr>
        <w:t xml:space="preserve"> rigorous — it is an assumption that contradicts every piece of available evidence.</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80" w:before="0" w:lineRule="auto"/>
        <w:ind w:left="0" w:right="0" w:firstLine="0"/>
        <w:rPr/>
      </w:pPr>
      <w:r w:rsidDel="00000000" w:rsidR="00000000" w:rsidRPr="00000000">
        <w:rPr>
          <w:rtl w:val="0"/>
        </w:rPr>
        <w:t xml:space="preserve">The choice is not between a precise model and an uncertain one. It is between an uncertain model and a model that is precisely wrong. The RCV framework says the true cost of a ton of coal is somewhere between $200 and $600. The market says it is $4.50. One of these is uncertain. The other is wrong. Uncertainty is preferable to certainty in the wrong direction.</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80" w:before="0" w:lineRule="auto"/>
        <w:ind w:left="0" w:right="0" w:firstLine="0"/>
        <w:rPr/>
      </w:pPr>
      <w:r w:rsidDel="00000000" w:rsidR="00000000" w:rsidRPr="00000000">
        <w:rPr>
          <w:rtl w:val="0"/>
        </w:rPr>
        <w:t xml:space="preserve">Third, the convergence is evidence. Three methods with different assumptions, applied to the same cases, produced answers in the same range. If the output were purely an artifact of arbitrary parameter choices, three different methods would not converge. They do. The convergence is evidence that the models are measuring something real, however imprecisely.</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70" w:before="0" w:lineRule="auto"/>
        <w:ind w:left="0" w:right="0" w:firstLine="0"/>
        <w:rPr/>
      </w:pPr>
      <w:r w:rsidDel="00000000" w:rsidR="00000000" w:rsidRPr="00000000">
        <w:rPr>
          <w:rtl w:val="0"/>
        </w:rPr>
        <w:t xml:space="preserve">Fourth, the parameters are becoming more estimable, not less. The social cost of carbon was genuinely uncertain in 2010. By 2023, the EPA’s $190/ton estimate reflected vastly more sophisticated climate modeling, economic damage functions, and discount-rate analysis than any earlier estimate. Substitutability curves for specific resources are being refined by energy transition modelers every year. The uncertainty range is narrowing. A framework that structures ongoing research is more useful than one that ignores the problem because precise answers are not yet available.</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80" w:before="0" w:lineRule="auto"/>
        <w:ind w:left="0" w:right="0" w:firstLine="0"/>
        <w:rPr>
          <w:b w:val="1"/>
          <w:bCs w:val="1"/>
        </w:rPr>
      </w:pPr>
      <w:r w:rsidDel="00000000" w:rsidR="00000000" w:rsidRPr="00000000">
        <w:rPr>
          <w:b w:val="1"/>
          <w:bCs w:val="1"/>
          <w:rtl w:val="0"/>
        </w:rPr>
        <w:t xml:space="preserve">Objection 2: Your model says extraction is always underpriced, which means it is unfalsifiable. A theory that cannot be wrong is not science.</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80" w:before="0" w:lineRule="auto"/>
        <w:ind w:left="0" w:right="0" w:firstLine="0"/>
        <w:rPr/>
      </w:pPr>
      <w:r w:rsidDel="00000000" w:rsidR="00000000" w:rsidRPr="00000000">
        <w:rPr>
          <w:rtl w:val="0"/>
        </w:rPr>
        <w:t xml:space="preserve">The Popperian objection. And the correct response is that the model is falsifiable — the book has simply not yet found a case where it fails.</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80" w:before="0" w:lineRule="auto"/>
        <w:ind w:left="0" w:right="0" w:firstLine="0"/>
        <w:rPr/>
      </w:pPr>
      <w:r w:rsidDel="00000000" w:rsidR="00000000" w:rsidRPr="00000000">
        <w:rPr>
          <w:rFonts w:ascii="Arial Unicode MS" w:cs="Arial Unicode MS" w:eastAsia="Arial Unicode MS" w:hAnsi="Arial Unicode MS"/>
          <w:rtl w:val="0"/>
        </w:rPr>
        <w:t xml:space="preserve">Recall the definition. CS = RCV − B. The model produces CS &gt; 0 only when the accountability bond </w:t>
      </w:r>
      <w:r w:rsidDel="00000000" w:rsidR="00000000" w:rsidRPr="00000000">
        <w:rPr>
          <w:i w:val="1"/>
          <w:iCs w:val="1"/>
          <w:rtl w:val="0"/>
        </w:rPr>
        <w:t xml:space="preserve">B</w:t>
      </w:r>
      <w:r w:rsidDel="00000000" w:rsidR="00000000" w:rsidRPr="00000000">
        <w:rPr>
          <w:rtl w:val="0"/>
        </w:rPr>
        <w:t xml:space="preserve"> is smaller than the true intergenerational cost. CS can theoretically equal zero or be negative. To get there, the bond must cover the foreclosure cost plus the externality tail. Two kinds of case approach this possibility.</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80" w:before="0" w:lineRule="auto"/>
        <w:ind w:left="0" w:right="0" w:firstLine="0"/>
        <w:rPr/>
      </w:pPr>
      <w:r w:rsidDel="00000000" w:rsidR="00000000" w:rsidRPr="00000000">
        <w:rPr>
          <w:i w:val="1"/>
          <w:iCs w:val="1"/>
          <w:rtl w:val="0"/>
        </w:rPr>
        <w:t xml:space="preserve">A sustainably managed renewable resource with full ecosystem accountability.</w:t>
      </w:r>
      <w:r w:rsidDel="00000000" w:rsidR="00000000" w:rsidRPr="00000000">
        <w:rPr>
          <w:rFonts w:ascii="Arial Unicode MS" w:cs="Arial Unicode MS" w:eastAsia="Arial Unicode MS" w:hAnsi="Arial Unicode MS"/>
          <w:rtl w:val="0"/>
        </w:rPr>
        <w:t xml:space="preserve"> Timber harvested from a plantation forest at or below regrowth rates, with full replanting, habitat maintenance, and soil management bonded to the operation, approaches CS ≈ 0. The foreclosure component is zero because the resource regenerates. The externality tail is short because the forest is put back. The bond covers the remainder.</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80" w:before="0" w:lineRule="auto"/>
        <w:ind w:left="0" w:right="0" w:firstLine="0"/>
        <w:rPr/>
      </w:pPr>
      <w:r w:rsidDel="00000000" w:rsidR="00000000" w:rsidRPr="00000000">
        <w:rPr>
          <w:i w:val="1"/>
          <w:iCs w:val="1"/>
          <w:rtl w:val="0"/>
        </w:rPr>
        <w:t xml:space="preserve">A highly abundant non-renewable extracted under stringent accountability.</w:t>
      </w:r>
      <w:r w:rsidDel="00000000" w:rsidR="00000000" w:rsidRPr="00000000">
        <w:rPr>
          <w:rFonts w:ascii="Arial Unicode MS" w:cs="Arial Unicode MS" w:eastAsia="Arial Unicode MS" w:hAnsi="Arial Unicode MS"/>
          <w:rtl w:val="0"/>
        </w:rPr>
        <w:t xml:space="preserve"> Common construction sand drawn from a lawfully permitted pit in a jurisdiction with full reclamation bonding, high environmental regulation, and minimal community disruption approaches CS ≈ 0. The stock-dependent utility </w:t>
      </w:r>
      <w:r w:rsidDel="00000000" w:rsidR="00000000" w:rsidRPr="00000000">
        <w:rPr>
          <w:i w:val="1"/>
          <w:iCs w:val="1"/>
          <w:rtl w:val="0"/>
        </w:rPr>
        <w:t xml:space="preserve">U</w:t>
      </w:r>
      <w:r w:rsidDel="00000000" w:rsidR="00000000" w:rsidRPr="00000000">
        <w:rPr>
          <w:rtl w:val="0"/>
        </w:rPr>
        <w:t xml:space="preserve"> is near zero because the resource is effectively non-scarce on any meaningful timescale. The substitutability is high. The externality tail is short if the pit is properly reclaimed. The bond can match the RCV.</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80" w:before="0" w:lineRule="auto"/>
        <w:ind w:left="0" w:right="0" w:firstLine="0"/>
        <w:rPr/>
      </w:pPr>
      <w:r w:rsidDel="00000000" w:rsidR="00000000" w:rsidRPr="00000000">
        <w:rPr>
          <w:rFonts w:ascii="Arial Unicode MS" w:cs="Arial Unicode MS" w:eastAsia="Arial Unicode MS" w:hAnsi="Arial Unicode MS"/>
          <w:rtl w:val="0"/>
        </w:rPr>
        <w:t xml:space="preserve">Neither case is imaginary. Both are practically attainable and, in some jurisdictions, approximately in place. The model therefore predicts CS &gt; 0 for non-renewable resources with significant externality tails under existing accountability regimes, and CS ≈ 0 for well-managed renewables and highly abundant non-renewables under stringent ones. Both predictions are testable. Both would be falsified by clean counterexamples.</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80" w:before="0" w:lineRule="auto"/>
        <w:ind w:left="0" w:right="0" w:firstLine="0"/>
        <w:rPr/>
      </w:pPr>
      <w:r w:rsidDel="00000000" w:rsidR="00000000" w:rsidRPr="00000000">
        <w:rPr>
          <w:rFonts w:ascii="Arial Unicode MS" w:cs="Arial Unicode MS" w:eastAsia="Arial Unicode MS" w:hAnsi="Arial Unicode MS"/>
          <w:rtl w:val="0"/>
        </w:rPr>
        <w:t xml:space="preserve">The stronger response is the structural one. The reason CS &gt; 0 in every fossil-fuel case we have tested is not that the model is rigged. It is that no existing accountability regime incorporates substitutability-weighted intergenerational foreclosure pricing. The instruments do not yet exist. The model’s prediction is that under current instruments, CS &gt; 0 for non-renewables. That prediction will be falsified the day a jurisdiction implements full intergenerational foreclosure pricing and demonstrates CS ≤ 0 for a non-renewable resource.</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80" w:before="0" w:lineRule="auto"/>
        <w:ind w:left="0" w:right="0" w:firstLine="0"/>
        <w:rPr/>
      </w:pPr>
      <w:r w:rsidDel="00000000" w:rsidR="00000000" w:rsidRPr="00000000">
        <w:rPr>
          <w:rFonts w:ascii="Arial Unicode MS" w:cs="Arial Unicode MS" w:eastAsia="Arial Unicode MS" w:hAnsi="Arial Unicode MS"/>
          <w:rtl w:val="0"/>
        </w:rPr>
        <w:t xml:space="preserve">This is analogous to the claim, made in 1940, that no existing airplane could fly faster than sound. The claim was true, not because it was unfalsifiable, but because the necessary technology had not been built. It was falsified in 1947 when Chuck Yeager flew through the barrier. The RCV framework’s universal CS &gt; 0 result for non-renewables under existing regimes will be falsified the day the required instruments are deployed and produce a measured CS ≤ 0.</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420" w:before="0" w:lineRule="auto"/>
        <w:ind w:left="0" w:right="0" w:firstLine="0"/>
        <w:rPr/>
      </w:pPr>
      <w:r w:rsidDel="00000000" w:rsidR="00000000" w:rsidRPr="00000000">
        <w:rPr>
          <w:rtl w:val="0"/>
        </w:rPr>
        <w:t xml:space="preserve">Until that day, the prediction stands, and its universality is evidence of a structural gap, not a methodological trick.</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after="180" w:lineRule="auto"/>
        <w:rPr/>
      </w:pPr>
      <w:r w:rsidDel="00000000" w:rsidR="00000000" w:rsidRPr="00000000">
        <w:pict>
          <v:rect style="width:0.0pt;height:1.5pt" o:hr="t" o:hrstd="t" o:hralign="center" fillcolor="#A0A0A0" stroked="f"/>
        </w:pict>
      </w:r>
      <w:r w:rsidDel="00000000" w:rsidR="00000000" w:rsidRPr="00000000">
        <w:rPr>
          <w:rtl w:val="0"/>
        </w:rPr>
        <w:t xml:space="preserve">The Carbon Concession</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80" w:before="0" w:lineRule="auto"/>
        <w:ind w:left="0" w:right="0" w:firstLine="0"/>
        <w:rPr/>
      </w:pPr>
      <w:r w:rsidDel="00000000" w:rsidR="00000000" w:rsidRPr="00000000">
        <w:rPr>
          <w:rtl w:val="0"/>
        </w:rPr>
        <w:t xml:space="preserve">One more concession the chapter owes the reader.</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80" w:before="0" w:lineRule="auto"/>
        <w:ind w:left="0" w:right="0" w:firstLine="0"/>
        <w:rPr/>
      </w:pPr>
      <w:r w:rsidDel="00000000" w:rsidR="00000000" w:rsidRPr="00000000">
        <w:rPr>
          <w:rtl w:val="0"/>
        </w:rPr>
        <w:t xml:space="preserve">The carbon term dominates the quantitative output for fossil fuels. If you use the Biden EPA’s $190 per ton CO&amp;₂;, a ton of coal carries roughly $544 of carbon externality, which is an order of magnitude larger than every other tier combined. If you use the first Trump administration’s $3, the same ton carries roughly $8.50, and the bottom-up total collapses back to the low tens of dollars per ton.</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80" w:before="0" w:lineRule="auto"/>
        <w:ind w:left="0" w:right="0" w:firstLine="0"/>
        <w:rPr/>
      </w:pPr>
      <w:r w:rsidDel="00000000" w:rsidR="00000000" w:rsidRPr="00000000">
        <w:rPr>
          <w:rtl w:val="0"/>
        </w:rPr>
        <w:t xml:space="preserve">The qualitative result (CS &gt; 0) is robust across all SCC estimates above zero. The quantitative result is not. The framework’s numbers for fossil fuels are only as precise as the SCC estimate chosen, and the SCC estimate is, at the moment of this writing, whatever the sitting administration says it is.</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80" w:before="0" w:lineRule="auto"/>
        <w:ind w:left="0" w:right="0" w:firstLine="0"/>
        <w:rPr/>
      </w:pPr>
      <w:r w:rsidDel="00000000" w:rsidR="00000000" w:rsidRPr="00000000">
        <w:rPr>
          <w:rtl w:val="0"/>
        </w:rPr>
        <w:t xml:space="preserve">I will say this directly: the fight over the social cost of carbon is a fight over acceptable cost severance. Every dollar of SCC that is not priced is a dollar severed onto communities, ecosystems, and future generations. The choice of $3 is not a conservative estimate in any epistemic sense. It is a political statement — an announcement that the extractor should pay very little for the carbon released. The choice of $190 is a different political statement, informed by a larger body of climate science, but still a choice. There is no price-free default here.</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420" w:before="0" w:lineRule="auto"/>
        <w:ind w:left="0" w:right="0" w:firstLine="0"/>
        <w:rPr/>
      </w:pPr>
      <w:r w:rsidDel="00000000" w:rsidR="00000000" w:rsidRPr="00000000">
        <w:rPr>
          <w:rtl w:val="0"/>
        </w:rPr>
        <w:t xml:space="preserve">This is the chapter’s honesty clause. The framework does not deliver a definitive number for the true cost of a ton of coal. It delivers a range, and the range depends on parameters whose estimation is itself a contested political and scientific enterprise. What the framework does is make the dependency explicit. It tells the reader which parameter moves the output by how much and invites the reader to judge, rather than hiding the judgment behind a single headline number.</w:t>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after="180" w:lineRule="auto"/>
        <w:rPr/>
      </w:pPr>
      <w:r w:rsidDel="00000000" w:rsidR="00000000" w:rsidRPr="00000000">
        <w:pict>
          <v:rect style="width:0.0pt;height:1.5pt" o:hr="t" o:hrstd="t" o:hralign="center" fillcolor="#A0A0A0" stroked="f"/>
        </w:pict>
      </w:r>
      <w:r w:rsidDel="00000000" w:rsidR="00000000" w:rsidRPr="00000000">
        <w:rPr>
          <w:rtl w:val="0"/>
        </w:rPr>
        <w:t xml:space="preserve">What the Chapter Leaves for Later</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80" w:before="0" w:lineRule="auto"/>
        <w:ind w:left="0" w:right="0" w:firstLine="0"/>
        <w:rPr/>
      </w:pPr>
      <w:r w:rsidDel="00000000" w:rsidR="00000000" w:rsidRPr="00000000">
        <w:rPr>
          <w:rtl w:val="0"/>
        </w:rPr>
        <w:t xml:space="preserve">Two deliberate omissions. Chapter 7 will apply the same framework in a different setting — the Mars colony thought experiment — and use the setting to test whether the framework is Earth-parochial or general. Chapter 8 will then take one extraction, one ton of McDowell County coal, and walk it through the full eight-tier accounting the framework permits — resource-specific rather than resource-general — to show what the computed gap looks like when it is not aggregated, abstracted, or dissolved in policy language.</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80" w:before="0" w:lineRule="auto"/>
        <w:ind w:left="0" w:right="0" w:firstLine="0"/>
        <w:rPr/>
      </w:pPr>
      <w:r w:rsidDel="00000000" w:rsidR="00000000" w:rsidRPr="00000000">
        <w:rPr>
          <w:rtl w:val="0"/>
        </w:rPr>
        <w:t xml:space="preserve">This chapter has done the mathematics. The next chapter tests whether the mathematics is universal. The chapter after that makes the number concrete for one extraction we have followed from the book’s beginning.</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80" w:before="0" w:lineRule="auto"/>
        <w:ind w:left="0" w:right="0" w:firstLine="0"/>
        <w:rPr/>
      </w:pPr>
      <w:r w:rsidDel="00000000" w:rsidR="00000000" w:rsidRPr="00000000">
        <w:rPr>
          <w:rtl w:val="0"/>
        </w:rPr>
        <w:t xml:space="preserve">Three methods. Different foundations. Same direction. When markets do not price what honest accounting prices, the difference is not a rounding error. It is the subsidy by which the entire extraction economy runs.</w:t>
      </w:r>
    </w:p>
    <w:sectPr>
      <w:pgSz w:h="15840" w:w="11820" w:orient="portrait"/>
      <w:pgMar w:bottom="1440" w:top="1440" w:left="360" w:right="36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9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22222"/>
        <w:sz w:val="22"/>
        <w:szCs w:val="22"/>
      </w:rPr>
    </w:rPrDefault>
    <w:pPrDefault>
      <w:pPr>
        <w:widowControl w:val="0"/>
        <w:spacing w:after="600" w:before="600" w:line="408.0000114440918" w:lineRule="auto"/>
        <w:ind w:left="360" w:right="36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30" w:before="240" w:lineRule="auto"/>
      <w:ind w:left="0" w:right="0" w:firstLine="0"/>
    </w:pPr>
    <w:rPr>
      <w:b w:val="0"/>
      <w:bCs w:val="0"/>
      <w:i w:val="0"/>
      <w:iCs w:val="0"/>
      <w:sz w:val="30"/>
      <w:szCs w:val="30"/>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180" w:before="480" w:lineRule="auto"/>
      <w:ind w:left="0" w:right="0" w:firstLine="0"/>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150" w:before="420" w:lineRule="auto"/>
      <w:ind w:left="0" w:right="0" w:firstLine="0"/>
    </w:pPr>
    <w:rPr>
      <w:b w:val="1"/>
      <w:bCs w:val="1"/>
      <w:i w:val="0"/>
      <w:iCs w:val="0"/>
      <w:sz w:val="26"/>
      <w:szCs w:val="26"/>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