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Commons Bonds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40" w:before="0" w:lineRule="auto"/>
        <w:ind w:left="0" w:right="0" w:firstLine="0"/>
        <w:rPr>
          <w:i w:val="1"/>
          <w:iCs w:val="1"/>
          <w:color w:val="555555"/>
        </w:rPr>
      </w:pPr>
      <w:r w:rsidDel="00000000" w:rsidR="00000000" w:rsidRPr="00000000">
        <w:pict>
          <v:rect style="width:0.0pt;height:1.5pt" o:hr="t" o:hrstd="t" o:hralign="center" fillcolor="#A0A0A0" stroked="f"/>
        </w:pict>
      </w:r>
      <w:r w:rsidDel="00000000" w:rsidR="00000000" w:rsidRPr="00000000">
        <w:rPr>
          <w:i w:val="1"/>
          <w:iCs w:val="1"/>
          <w:color w:val="555555"/>
          <w:rtl w:val="0"/>
        </w:rPr>
        <w:t xml:space="preserve">By Chris Winn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Three Ways of Counting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If cost severance is real — if market prices systematically understate the true cost of extraction — then the two questions a serious reader is entitled to ask are these. How large is the gap? And how do we know we aren’t cherry-picking disaster cases?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answer this chapter will offer is that three independent approaches — built on different foundations, using different data, making different assumptions — all point in the same direction and produce magnitudes in the same range. Convergence of three methods on the same conclusion is harder to dismiss than any single model, however elegant. The chapter walks through each approach in turn, then lets the convergence argue what no single approach can argue alone.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There is more mathematics here than in the chapters before or after. The formulas appear once, with plain-English translations immediately beneath them. A reader who prefers to skip the equations can read only the prose and understand the argument. A reader who engages with the equations has the translations to check their understanding. The technical appendix handles the formalization for the reader who wants to check the proofs.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Approach 1 — Bottom-Up Damage Accounting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first approach is the one a careful auditor asked to price an extraction honestly would choose unprompted. Take one ton of Appalachian coal. Walk through every cost category the extraction generates but the market price does not include. Price each category conservatively. Add them together. Look at the number.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Health costs, national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Black lung is the most completely documented externality coal has ever produced, because the damage is specific, attributable, and federally tracked. The Black Lung Disability Trust Fund has distributed over forty-four billion dollars to disabled miners and their widows since its creation. It has never collected enough revenue to cover its obligations. Allocated against total United States coal production from 1960 to 2020, the Trust Fund alone yields roughly eighty cents per ton. Adding Medicare and Medicaid costs shifted to the public ledger, uncompensated care, and the private medical bills of miners whose employers bankrupted before obligations matured, the conservative attributable health cost is </w:t>
      </w:r>
      <w:r w:rsidDel="00000000" w:rsidR="00000000" w:rsidRPr="00000000">
        <w:rPr>
          <w:b w:val="1"/>
          <w:bCs w:val="1"/>
          <w:rtl w:val="0"/>
        </w:rPr>
        <w:t xml:space="preserve">two to four dollars per ton</w:t>
      </w:r>
      <w:r w:rsidDel="00000000" w:rsidR="00000000" w:rsidRPr="00000000">
        <w:rPr>
          <w:rtl w:val="0"/>
        </w:rPr>
        <w:t xml:space="preserve"> at the national level.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Environmental remediation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Acid mine drainage, abandoned-mine-land reclamation, watershed restoration, and soil remediation together run, conservatively, </w:t>
      </w:r>
      <w:r w:rsidDel="00000000" w:rsidR="00000000" w:rsidRPr="00000000">
        <w:rPr>
          <w:b w:val="1"/>
          <w:bCs w:val="1"/>
          <w:rtl w:val="0"/>
        </w:rPr>
        <w:t xml:space="preserve">one to three dollars per ton</w:t>
      </w:r>
      <w:r w:rsidDel="00000000" w:rsidR="00000000" w:rsidRPr="00000000">
        <w:rPr>
          <w:rtl w:val="0"/>
        </w:rPr>
        <w:t xml:space="preserve"> of coal extracted. This uses actual SMCRA bankruptcy-transfer data rather than industry-self-reported bonding amounts, which understate the true remediation cost by an order of magnitude.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Climate externality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Combustion of one ton of bituminous coal produces roughly 2.86 tons of carbon dioxide. At the Environmental Protection Agency’s 2023 social cost of carbon estimate of </w:t>
      </w:r>
      <w:r w:rsidDel="00000000" w:rsidR="00000000" w:rsidRPr="00000000">
        <w:rPr>
          <w:b w:val="1"/>
          <w:bCs w:val="1"/>
          <w:rtl w:val="0"/>
        </w:rPr>
        <w:t xml:space="preserve">$190 per metric ton of CO&amp;to|2&gt;</w:t>
      </w:r>
      <w:r w:rsidDel="00000000" w:rsidR="00000000" w:rsidRPr="00000000">
        <w:rPr>
          <w:rtl w:val="0"/>
        </w:rPr>
        <w:t xml:space="preserve">, the climate externality of combusting one ton of coal is approximately </w:t>
      </w:r>
      <w:r w:rsidDel="00000000" w:rsidR="00000000" w:rsidRPr="00000000">
        <w:rPr>
          <w:b w:val="1"/>
          <w:bCs w:val="1"/>
          <w:rtl w:val="0"/>
        </w:rPr>
        <w:t xml:space="preserve">$544</w:t>
      </w:r>
      <w:r w:rsidDel="00000000" w:rsidR="00000000" w:rsidRPr="00000000">
        <w:rPr>
          <w:rtl w:val="0"/>
        </w:rPr>
        <w:t xml:space="preserve">. This number dominates every other tier in the accounting for fossil fuels. It is also the most politically contested number in the tally. The same agency’s prior estimates have ranged from as low as three dollars per ton (Trump-era) to forty-two dollars (Obama-era) to one hundred and ninety dollars (Biden-era). The framework inherits this political uncertainty. The chapter will treat it honestly in a section below.</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Community costs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Displacement, lost tax base, stranded-infrastructure transfer to state and federal programs, and accelerated deaths of despair in Appalachian counties together produce a defensible floor of </w:t>
      </w:r>
      <w:r w:rsidDel="00000000" w:rsidR="00000000" w:rsidRPr="00000000">
        <w:rPr>
          <w:b w:val="1"/>
          <w:bCs w:val="1"/>
          <w:rtl w:val="0"/>
        </w:rPr>
        <w:t xml:space="preserve">fifteen to fifteen dollars per ton</w:t>
      </w:r>
      <w:r w:rsidDel="00000000" w:rsidR="00000000" w:rsidRPr="00000000">
        <w:rPr>
          <w:rtl w:val="0"/>
        </w:rPr>
        <w:t xml:space="preserve"> on the low end, rising higher once the full lifecycle economic impact of post-extraction community collapse is included. Conservatively, five to fifteen dollars per ton.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tally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Without the carbon term, the bottom-up accounting for one ton of Appalachian coal sits at </w:t>
      </w:r>
      <w:r w:rsidDel="00000000" w:rsidR="00000000" w:rsidRPr="00000000">
        <w:rPr>
          <w:b w:val="1"/>
          <w:bCs w:val="1"/>
          <w:rtl w:val="0"/>
        </w:rPr>
        <w:t xml:space="preserve">$21–$54</w:t>
      </w:r>
      <w:r w:rsidDel="00000000" w:rsidR="00000000" w:rsidRPr="00000000">
        <w:rPr>
          <w:rtl w:val="0"/>
        </w:rPr>
        <w:t xml:space="preserve"> per ton. Against a 1960 market price of </w:t>
      </w:r>
      <w:r w:rsidDel="00000000" w:rsidR="00000000" w:rsidRPr="00000000">
        <w:rPr>
          <w:b w:val="1"/>
          <w:bCs w:val="1"/>
          <w:rtl w:val="0"/>
        </w:rPr>
        <w:t xml:space="preserve">$4.50</w:t>
      </w:r>
      <w:r w:rsidDel="00000000" w:rsidR="00000000" w:rsidRPr="00000000">
        <w:rPr>
          <w:rtl w:val="0"/>
        </w:rPr>
        <w:t xml:space="preserve">, the intergenerational pricing gap is already five to twelve times the market. With the carbon term included, the conservative floor shifts to </w:t>
      </w:r>
      <w:r w:rsidDel="00000000" w:rsidR="00000000" w:rsidRPr="00000000">
        <w:rPr>
          <w:b w:val="1"/>
          <w:bCs w:val="1"/>
          <w:rtl w:val="0"/>
        </w:rPr>
        <w:t xml:space="preserve">$567–$598</w:t>
      </w:r>
      <w:r w:rsidDel="00000000" w:rsidR="00000000" w:rsidRPr="00000000">
        <w:rPr>
          <w:rtl w:val="0"/>
        </w:rPr>
        <w:t xml:space="preserve"> per ton, and the IPG rises to roughly </w:t>
      </w:r>
      <w:r w:rsidDel="00000000" w:rsidR="00000000" w:rsidRPr="00000000">
        <w:rPr>
          <w:b w:val="1"/>
          <w:bCs w:val="1"/>
          <w:rtl w:val="0"/>
        </w:rPr>
        <w:t xml:space="preserve">126x–133x</w:t>
      </w:r>
      <w:r w:rsidDel="00000000" w:rsidR="00000000" w:rsidRPr="00000000">
        <w:rPr>
          <w:rtl w:val="0"/>
        </w:rPr>
        <w:t xml:space="preserve">. The order of magnitude moves by a factor of ten depending on whether the carbon term is included. Either way, the gap between honest price and market price is not noise. It is dominant.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Other cases under the same method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same methodology applied to two other well-documented cases produces: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Deepwater Horizon (2010):</w:t>
      </w:r>
      <w:r w:rsidDel="00000000" w:rsidR="00000000" w:rsidRPr="00000000">
        <w:rPr>
          <w:rtl w:val="0"/>
        </w:rPr>
        <w:t xml:space="preserve"> BP’s total settlement, remediation, and litigation costs exceeded sixty billion dollars against on-lease revenue of approximately 4.25 billion. The backtest IPG is roughly </w:t>
      </w:r>
      <w:r w:rsidDel="00000000" w:rsidR="00000000" w:rsidRPr="00000000">
        <w:rPr>
          <w:b w:val="1"/>
          <w:bCs w:val="1"/>
          <w:rtl w:val="0"/>
        </w:rPr>
        <w:t xml:space="preserve">15×–17″</w:t>
      </w:r>
      <w:r w:rsidDel="00000000" w:rsidR="00000000" w:rsidRPr="00000000">
        <w:rPr>
          <w:rtl w:val="0"/>
        </w:rPr>
        <w:t xml:space="preserve">, driven almost entirely by litigation-documented figures.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Libby, Montana (W.R. Grace vermiculite):</w:t>
      </w:r>
      <w:r w:rsidDel="00000000" w:rsidR="00000000" w:rsidRPr="00000000">
        <w:rPr>
          <w:rtl w:val="0"/>
        </w:rPr>
        <w:t xml:space="preserve"> Lifetime mine revenue approximately $100 million; documented deaths, health costs, and remediation expenditures exceed 5.5 billion. IPG of </w:t>
      </w:r>
      <w:r w:rsidDel="00000000" w:rsidR="00000000" w:rsidRPr="00000000">
        <w:rPr>
          <w:b w:val="1"/>
          <w:bCs w:val="1"/>
          <w:rtl w:val="0"/>
        </w:rPr>
        <w:t xml:space="preserve">55×eighty four</w:t>
      </w:r>
      <w:r w:rsidDel="00000000" w:rsidR="00000000" w:rsidRPr="00000000">
        <w:rPr>
          <w:rtl w:val="0"/>
        </w:rPr>
        <w:t xml:space="preserve"> using only documented figures.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this approach falls short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Bottom-up damage accounting has three well-known limitations. First, it only captures identified costs. Costs that have not yet been discovered — because the science is new, because the health surveys have not been done, because the community impact is still developing — do not appear in the tally. The method systematically understates. Second, the carbon term — which drives the fossil fuel numbers — inherits the political uncertainty of the social cost of carbon. The magnitude moves by a factor of ten depending on which administration’s estimate you use. Third, it is a purely ex post accounting. It can score an extraction after the fact. It cannot guide a decision about whether, and at what pace, to extract in the first place.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These are not reasons to dismiss the method. They are reasons to triangulate it with at least one other, and preferably two.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Approach 2 — The Real Options Model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A barrel of oil in the ground is like a financial option. It confers the right to extract at some future time, but not the obligation to extract at any specific time. Like every financial option, it has value, and exercising the option prematurely — extracting before the optimal time — destroys the value of the option itself. Standard Hotelling analysis already captures part of this idea: rational extractors will delay extraction if prices are rising faster than the discount rate, preserving the option value embedded in the in-situ resource.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Standard Hotelling prices the </w:t>
      </w:r>
      <w:r w:rsidDel="00000000" w:rsidR="00000000" w:rsidRPr="00000000">
        <w:rPr>
          <w:i w:val="1"/>
          <w:iCs w:val="1"/>
          <w:rtl w:val="0"/>
        </w:rPr>
        <w:t xml:space="preserve">private</w:t>
      </w:r>
      <w:r w:rsidDel="00000000" w:rsidR="00000000" w:rsidRPr="00000000">
        <w:rPr>
          <w:rtl w:val="0"/>
        </w:rPr>
        <w:t xml:space="preserve"> option value. The extension relevant to the residual commons value framework is the </w:t>
      </w:r>
      <w:r w:rsidDel="00000000" w:rsidR="00000000" w:rsidRPr="00000000">
        <w:rPr>
          <w:b w:val="1"/>
          <w:bCs w:val="1"/>
          <w:rtl w:val="0"/>
        </w:rPr>
        <w:t xml:space="preserve">social</w:t>
      </w:r>
      <w:r w:rsidDel="00000000" w:rsidR="00000000" w:rsidRPr="00000000">
        <w:rPr>
          <w:rtl w:val="0"/>
        </w:rPr>
        <w:t xml:space="preserve"> option value — the private option value plus the avoided externality tail plus the substitutability window that develops while the resource remains in place. Delaying extraction not only preserves the option to extract later — it also avoids, for the delay period, the ongoing externality flow the extraction would have produced, and it leaves time for substitutes to mature that may make the extraction unnecessary altogether. All three of these are real sources of value that the standard private option value does not capture.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key result: for resources with significant externality tails and rising substitutability, the social option value typically exceeds the extraction revenue. In other words, the resource is worth more in the ground than out of it.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Applying the model to Appalachian coal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Consider McDowell County coal in 1960. The market price is $4.50 per ton. A real options valuation of that same ton must include: the holding value of the resource pending extraction (relatively small at 1960 prices); the avoided externality tail from the delay period (black lung, acid mine drainage, community disruption, climate contribution - together hundreds of dollars per ton); and the substitutability window (by 2020, renewable energy costs have fallen below coal for most electricity applications, making the 1960 extraction retrospectively unnecessary for a substantial fraction of the production).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real options valuation, even under modest assumptions, produces a social option value many times the market price. The extraction in 1960 was, in options terms, </w:t>
      </w:r>
      <w:r w:rsidDel="00000000" w:rsidR="00000000" w:rsidRPr="00000000">
        <w:rPr>
          <w:b w:val="1"/>
          <w:bCs w:val="1"/>
          <w:rtl w:val="0"/>
        </w:rPr>
        <w:t xml:space="preserve">socially premature</w:t>
      </w:r>
      <w:r w:rsidDel="00000000" w:rsidR="00000000" w:rsidRPr="00000000">
        <w:rPr>
          <w:rtl w:val="0"/>
        </w:rPr>
        <w:t xml:space="preserve"> — exercised well before the point that would have maximized social value. The same ton extracted in 2020 would produce positive social value only if carbon and health externalities were priced at near zero. The implicit intergenerational pricing gap from this approach sits in the </w:t>
      </w:r>
      <w:r w:rsidDel="00000000" w:rsidR="00000000" w:rsidRPr="00000000">
        <w:rPr>
          <w:b w:val="1"/>
          <w:bCs w:val="1"/>
          <w:rtl w:val="0"/>
        </w:rPr>
        <w:t xml:space="preserve">20xff-50x</w:t>
      </w:r>
      <w:r w:rsidDel="00000000" w:rsidR="00000000" w:rsidRPr="00000000">
        <w:rPr>
          <w:rtl w:val="0"/>
        </w:rPr>
        <w:t xml:space="preserve"> range for Appalachian coal, consistent with but not identical to the bottom-up number.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this approach contributes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options approach is not radical theory. It is standard financial mathematics, applied to social costs alongside private ones. Any economist trained in real options valuation will recognize the model as a clean extension of techniques they already use for pricing corporate investment decisions, insurance policies, and delayed-exercise contracts.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The approach also sidesteps the social cost of carbon debtate in one important way: even without carbon, the option value calculation produces a gap. The avoided health costs, the avoided community disruption, and the substitutability window alone are sufficient to make the 1960 extraction socially premature. The carbon term worsens the result; it does not produce it.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Approach 3 — The Residual Commons Value Model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third approach is the one this book has been building toward. It is a model built for the specific problem the other two approaches capture partially but not completely: the intergenerational cost of foreclosing a commons resource.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Start with the plain-English argument, not the formula.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When you extract a non-renewable resource — or a renewable one harvested above its regeneration rate — you impose two kinds of costs that no market currently prices.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first is the </w:t>
      </w:r>
      <w:r w:rsidDel="00000000" w:rsidR="00000000" w:rsidRPr="00000000">
        <w:rPr>
          <w:b w:val="1"/>
          <w:bCs w:val="1"/>
          <w:rtl w:val="0"/>
        </w:rPr>
        <w:t xml:space="preserve">foreclosure cost</w:t>
      </w:r>
      <w:r w:rsidDel="00000000" w:rsidR="00000000" w:rsidRPr="00000000">
        <w:rPr>
          <w:rtl w:val="0"/>
        </w:rPr>
        <w:t xml:space="preserve">. Every future generation loses access to the resource you extract. Whether that loss matters depends on whether a substitute exists. If renewable energy can do everything coal did, the foreclosure of a ton of coal doesn't matter much — future generations weren't going to need it. If no substitute exists for some specific application — if you need physical petroleum for specific materials, chemicals, or industrial processes that nothing else can replace — then the foreclosure imposes a genuine loss on every future generation that would have used 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second is the </w:t>
      </w:r>
      <w:r w:rsidDel="00000000" w:rsidR="00000000" w:rsidRPr="00000000">
        <w:rPr>
          <w:b w:val="1"/>
          <w:bCs w:val="1"/>
          <w:rtl w:val="0"/>
        </w:rPr>
        <w:t xml:space="preserve">externality tail</w:t>
      </w:r>
      <w:r w:rsidDel="00000000" w:rsidR="00000000" w:rsidRPr="00000000">
        <w:rPr>
          <w:rtl w:val="0"/>
        </w:rPr>
        <w:t xml:space="preserve">. When coal is mined, the health damage does not stop when the mine closes. Black lung kills miners decades after their last shift. Acid mine drainage runs for generations. Carbon remains in the atmosphere for centuries. These ongoing costs are real, measurable, and currently unpriced. A substitute for coal does not clean up the mine. A substitute for oil does not remove carbon from the atmosphere. The externality tail runs independently of substitutability.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w:t>
      </w:r>
      <w:r w:rsidDel="00000000" w:rsidR="00000000" w:rsidRPr="00000000">
        <w:rPr>
          <w:i w:val="1"/>
          <w:iCs w:val="1"/>
          <w:rtl w:val="0"/>
        </w:rPr>
        <w:t xml:space="preserve">residual commons value</w:t>
      </w:r>
      <w:r w:rsidDel="00000000" w:rsidR="00000000" w:rsidRPr="00000000">
        <w:rPr>
          <w:rtl w:val="0"/>
        </w:rPr>
        <w:t xml:space="preserve"> is the sum of these two costs, projected across the full time horizon affected by the extraction. Foreclosure cost, weighted by the probability that no substitute exists, plus externality tail, discounted across time at a rate that reflects genuine uncertainty about long-horizon discounting. Everything in that sentence has a precise mathematical counterpart, and the counterpart fits on one line.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20" w:before="300" w:lineRule="auto"/>
        <w:ind w:left="300" w:right="300" w:firstLine="0"/>
        <w:jc w:val="center"/>
        <w:rPr>
          <w:rFonts w:ascii="Arial" w:cs="Arial" w:eastAsia="Arial" w:hAnsi="Arial"/>
          <w:i w:val="1"/>
          <w:iCs w:val="1"/>
          <w:color w:val="555555"/>
          <w:sz w:val="30"/>
          <w:szCs w:val="30"/>
          <w:shd w:fill="f7f5ef" w:val="clear"/>
        </w:rPr>
      </w:pPr>
      <w:r w:rsidDel="00000000" w:rsidR="00000000" w:rsidRPr="00000000">
        <w:rPr>
          <w:rFonts w:ascii="Arial Unicode MS" w:cs="Arial Unicode MS" w:eastAsia="Arial Unicode MS" w:hAnsi="Arial Unicode MS"/>
          <w:sz w:val="40"/>
          <w:szCs w:val="40"/>
          <w:shd w:fill="f7f5ef" w:val="clear"/>
          <w:rtl w:val="0"/>
        </w:rPr>
        <w:t xml:space="preserve">RCV  = ∫ {  [1 − </w:t>
      </w:r>
      <w:r w:rsidDel="00000000" w:rsidR="00000000" w:rsidRPr="00000000">
        <w:rPr>
          <w:rFonts w:ascii="Arial" w:cs="Arial" w:eastAsia="Arial" w:hAnsi="Arial"/>
          <w:i w:val="1"/>
          <w:iCs w:val="1"/>
          <w:sz w:val="50"/>
          <w:szCs w:val="50"/>
          <w:shd w:fill="f7f5ef" w:val="clear"/>
          <w:rtl w:val="0"/>
        </w:rPr>
        <w:t xml:space="preserve">S</w:t>
      </w:r>
      <w:r w:rsidDel="00000000" w:rsidR="00000000" w:rsidRPr="00000000">
        <w:rPr>
          <w:rFonts w:ascii="Arial" w:cs="Arial" w:eastAsia="Arial" w:hAnsi="Arial"/>
          <w:sz w:val="40"/>
          <w:szCs w:val="40"/>
          <w:shd w:fill="f7f5ef" w:val="clear"/>
          <w:rtl w:val="0"/>
        </w:rPr>
        <w:t xml:space="preserve">(</w:t>
      </w:r>
      <w:r w:rsidDel="00000000" w:rsidR="00000000" w:rsidRPr="00000000">
        <w:rPr>
          <w:rFonts w:ascii="Arial" w:cs="Arial" w:eastAsia="Arial" w:hAnsi="Arial"/>
          <w:i w:val="1"/>
          <w:iCs w:val="1"/>
          <w:sz w:val="50"/>
          <w:szCs w:val="50"/>
          <w:shd w:fill="f7f5ef" w:val="clear"/>
          <w:rtl w:val="0"/>
        </w:rPr>
        <w:t xml:space="preserve">t</w:t>
      </w:r>
      <w:r w:rsidDel="00000000" w:rsidR="00000000" w:rsidRPr="00000000">
        <w:rPr>
          <w:rFonts w:ascii="Arial" w:cs="Arial" w:eastAsia="Arial" w:hAnsi="Arial"/>
          <w:sz w:val="40"/>
          <w:szCs w:val="40"/>
          <w:shd w:fill="f7f5ef" w:val="clear"/>
          <w:rtl w:val="0"/>
        </w:rPr>
        <w:t xml:space="preserve">)] ċ </w:t>
      </w:r>
      <w:r w:rsidDel="00000000" w:rsidR="00000000" w:rsidRPr="00000000">
        <w:rPr>
          <w:rFonts w:ascii="Arial" w:cs="Arial" w:eastAsia="Arial" w:hAnsi="Arial"/>
          <w:i w:val="1"/>
          <w:iCs w:val="1"/>
          <w:sz w:val="50"/>
          <w:szCs w:val="50"/>
          <w:shd w:fill="f7f5ef" w:val="clear"/>
          <w:rtl w:val="0"/>
        </w:rPr>
        <w:t xml:space="preserve">U</w:t>
      </w:r>
      <w:r w:rsidDel="00000000" w:rsidR="00000000" w:rsidRPr="00000000">
        <w:rPr>
          <w:rFonts w:ascii="Arial" w:cs="Arial" w:eastAsia="Arial" w:hAnsi="Arial"/>
          <w:sz w:val="40"/>
          <w:szCs w:val="40"/>
          <w:shd w:fill="f7f5ef" w:val="clear"/>
          <w:rtl w:val="0"/>
        </w:rPr>
        <w:t xml:space="preserve">(</w:t>
      </w:r>
      <w:r w:rsidDel="00000000" w:rsidR="00000000" w:rsidRPr="00000000">
        <w:rPr>
          <w:rFonts w:ascii="Arial" w:cs="Arial" w:eastAsia="Arial" w:hAnsi="Arial"/>
          <w:i w:val="1"/>
          <w:iCs w:val="1"/>
          <w:sz w:val="50"/>
          <w:szCs w:val="50"/>
          <w:shd w:fill="f7f5ef" w:val="clear"/>
          <w:rtl w:val="0"/>
        </w:rPr>
        <w:t xml:space="preserve">R, t, Q</w:t>
      </w:r>
      <w:r w:rsidDel="00000000" w:rsidR="00000000" w:rsidRPr="00000000">
        <w:rPr>
          <w:rFonts w:ascii="Arial" w:cs="Arial" w:eastAsia="Arial" w:hAnsi="Arial"/>
          <w:sz w:val="40"/>
          <w:szCs w:val="40"/>
          <w:shd w:fill="f7f5ef" w:val="clear"/>
          <w:rtl w:val="0"/>
        </w:rPr>
        <w:t xml:space="preserve">(</w:t>
      </w:r>
      <w:r w:rsidDel="00000000" w:rsidR="00000000" w:rsidRPr="00000000">
        <w:rPr>
          <w:rFonts w:ascii="Arial" w:cs="Arial" w:eastAsia="Arial" w:hAnsi="Arial"/>
          <w:i w:val="1"/>
          <w:iCs w:val="1"/>
          <w:sz w:val="50"/>
          <w:szCs w:val="50"/>
          <w:shd w:fill="f7f5ef" w:val="clear"/>
          <w:rtl w:val="0"/>
        </w:rPr>
        <w:t xml:space="preserve">t</w:t>
      </w:r>
      <w:r w:rsidDel="00000000" w:rsidR="00000000" w:rsidRPr="00000000">
        <w:rPr>
          <w:rFonts w:ascii="Arial" w:cs="Arial" w:eastAsia="Arial" w:hAnsi="Arial"/>
          <w:sz w:val="40"/>
          <w:szCs w:val="40"/>
          <w:shd w:fill="f7f5ef" w:val="clear"/>
          <w:rtl w:val="0"/>
        </w:rPr>
        <w:t xml:space="preserve">))  +  </w:t>
      </w:r>
      <w:r w:rsidDel="00000000" w:rsidR="00000000" w:rsidRPr="00000000">
        <w:rPr>
          <w:rFonts w:ascii="Arial" w:cs="Arial" w:eastAsia="Arial" w:hAnsi="Arial"/>
          <w:i w:val="1"/>
          <w:iCs w:val="1"/>
          <w:sz w:val="50"/>
          <w:szCs w:val="50"/>
          <w:shd w:fill="f7f5ef" w:val="clear"/>
          <w:rtl w:val="0"/>
        </w:rPr>
        <w:t xml:space="preserve">E</w:t>
      </w:r>
      <w:r w:rsidDel="00000000" w:rsidR="00000000" w:rsidRPr="00000000">
        <w:rPr>
          <w:rFonts w:ascii="Arial" w:cs="Arial" w:eastAsia="Arial" w:hAnsi="Arial"/>
          <w:sz w:val="40"/>
          <w:szCs w:val="40"/>
          <w:shd w:fill="f7f5ef" w:val="clear"/>
          <w:rtl w:val="0"/>
        </w:rPr>
        <w:t xml:space="preserve">(</w:t>
      </w:r>
      <w:r w:rsidDel="00000000" w:rsidR="00000000" w:rsidRPr="00000000">
        <w:rPr>
          <w:rFonts w:ascii="Arial" w:cs="Arial" w:eastAsia="Arial" w:hAnsi="Arial"/>
          <w:i w:val="1"/>
          <w:iCs w:val="1"/>
          <w:sz w:val="50"/>
          <w:szCs w:val="50"/>
          <w:shd w:fill="f7f5ef" w:val="clear"/>
          <w:rtl w:val="0"/>
        </w:rPr>
        <w:t xml:space="preserve">R, t</w:t>
      </w:r>
      <w:r w:rsidDel="00000000" w:rsidR="00000000" w:rsidRPr="00000000">
        <w:rPr>
          <w:rFonts w:ascii="Arial" w:cs="Arial" w:eastAsia="Arial" w:hAnsi="Arial"/>
          <w:sz w:val="40"/>
          <w:szCs w:val="40"/>
          <w:shd w:fill="f7f5ef" w:val="clear"/>
          <w:rtl w:val="0"/>
        </w:rPr>
        <w:t xml:space="preserve">)  } ċ </w:t>
      </w:r>
      <w:r w:rsidDel="00000000" w:rsidR="00000000" w:rsidRPr="00000000">
        <w:rPr>
          <w:rFonts w:ascii="Arial" w:cs="Arial" w:eastAsia="Arial" w:hAnsi="Arial"/>
          <w:i w:val="1"/>
          <w:iCs w:val="1"/>
          <w:sz w:val="50"/>
          <w:szCs w:val="50"/>
          <w:shd w:fill="f7f5ef" w:val="clear"/>
          <w:rtl w:val="0"/>
        </w:rPr>
        <w:t xml:space="preserve">D</w:t>
      </w:r>
      <w:r w:rsidDel="00000000" w:rsidR="00000000" w:rsidRPr="00000000">
        <w:rPr>
          <w:rFonts w:ascii="Arial" w:cs="Arial" w:eastAsia="Arial" w:hAnsi="Arial"/>
          <w:sz w:val="40"/>
          <w:szCs w:val="40"/>
          <w:shd w:fill="f7f5ef" w:val="clear"/>
          <w:rtl w:val="0"/>
        </w:rPr>
        <w:t xml:space="preserve">(</w:t>
      </w:r>
      <w:r w:rsidDel="00000000" w:rsidR="00000000" w:rsidRPr="00000000">
        <w:rPr>
          <w:rFonts w:ascii="Arial" w:cs="Arial" w:eastAsia="Arial" w:hAnsi="Arial"/>
          <w:i w:val="1"/>
          <w:iCs w:val="1"/>
          <w:sz w:val="50"/>
          <w:szCs w:val="50"/>
          <w:shd w:fill="f7f5ef" w:val="clear"/>
          <w:rtl w:val="0"/>
        </w:rPr>
        <w:t xml:space="preserve">t</w:t>
      </w:r>
      <w:r w:rsidDel="00000000" w:rsidR="00000000" w:rsidRPr="00000000">
        <w:rPr>
          <w:rFonts w:ascii="Arial" w:cs="Arial" w:eastAsia="Arial" w:hAnsi="Arial"/>
          <w:sz w:val="40"/>
          <w:szCs w:val="40"/>
          <w:shd w:fill="f7f5ef" w:val="clear"/>
          <w:rtl w:val="0"/>
        </w:rPr>
        <w:t xml:space="preserve">)   d</w:t>
      </w:r>
      <w:r w:rsidDel="00000000" w:rsidR="00000000" w:rsidRPr="00000000">
        <w:rPr>
          <w:rFonts w:ascii="Arial" w:cs="Arial" w:eastAsia="Arial" w:hAnsi="Arial"/>
          <w:i w:val="1"/>
          <w:iCs w:val="1"/>
          <w:sz w:val="50"/>
          <w:szCs w:val="50"/>
          <w:shd w:fill="f7f5ef" w:val="clear"/>
          <w:rtl w:val="0"/>
        </w:rPr>
        <w:t xml:space="preserve">t</w:t>
      </w:r>
      <w:r w:rsidDel="00000000" w:rsidR="00000000" w:rsidRPr="00000000">
        <w:rPr>
          <w:rFonts w:ascii="Arial" w:cs="Arial" w:eastAsia="Arial" w:hAnsi="Arial"/>
          <w:sz w:val="40"/>
          <w:szCs w:val="40"/>
          <w:shd w:fill="f7f5ef" w:val="clear"/>
          <w:rtl w:val="0"/>
        </w:rPr>
        <w:t xml:space="preserve"> </w:t>
      </w:r>
      <w:r w:rsidDel="00000000" w:rsidR="00000000" w:rsidRPr="00000000">
        <w:rPr>
          <w:rFonts w:ascii="Arial" w:cs="Arial" w:eastAsia="Arial" w:hAnsi="Arial"/>
          <w:i w:val="1"/>
          <w:iCs w:val="1"/>
          <w:color w:val="555555"/>
          <w:sz w:val="30"/>
          <w:szCs w:val="30"/>
          <w:shd w:fill="f7f5ef" w:val="clear"/>
          <w:rtl w:val="0"/>
        </w:rPr>
        <w:t xml:space="preserve">The residual commons value, integrated over time.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formula is the summary, not the argument. The argument is the prose above it. Taking the terms one at a time: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[1 − </w:t>
      </w:r>
      <w:r w:rsidDel="00000000" w:rsidR="00000000" w:rsidRPr="00000000">
        <w:rPr>
          <w:b w:val="1"/>
          <w:bCs w:val="1"/>
          <w:i w:val="1"/>
          <w:iCs w:val="1"/>
          <w:rtl w:val="0"/>
        </w:rPr>
        <w:t xml:space="preserve">S</w:t>
      </w:r>
      <w:r w:rsidDel="00000000" w:rsidR="00000000" w:rsidRPr="00000000">
        <w:rPr>
          <w:b w:val="1"/>
          <w:bCs w:val="1"/>
          <w:rtl w:val="0"/>
        </w:rPr>
        <w:t xml:space="preserve">(</w:t>
      </w:r>
      <w:r w:rsidDel="00000000" w:rsidR="00000000" w:rsidRPr="00000000">
        <w:rPr>
          <w:b w:val="1"/>
          <w:bCs w:val="1"/>
          <w:i w:val="1"/>
          <w:iCs w:val="1"/>
          <w:rtl w:val="0"/>
        </w:rPr>
        <w:t xml:space="preserve">t</w:t>
      </w:r>
      <w:r w:rsidDel="00000000" w:rsidR="00000000" w:rsidRPr="00000000">
        <w:rPr>
          <w:b w:val="1"/>
          <w:bCs w:val="1"/>
          <w:rtl w:val="0"/>
        </w:rPr>
        <w:t xml:space="preserve">)]</w:t>
      </w:r>
      <w:r w:rsidDel="00000000" w:rsidR="00000000" w:rsidRPr="00000000">
        <w:rPr>
          <w:rtl w:val="0"/>
        </w:rPr>
        <w:t xml:space="preserve"> is the probability that no substitute exists at time </w:t>
      </w:r>
      <w:r w:rsidDel="00000000" w:rsidR="00000000" w:rsidRPr="00000000">
        <w:rPr>
          <w:i w:val="1"/>
          <w:iCs w:val="1"/>
          <w:rtl w:val="0"/>
        </w:rPr>
        <w:t xml:space="preserve">t</w:t>
      </w:r>
      <w:r w:rsidDel="00000000" w:rsidR="00000000" w:rsidRPr="00000000">
        <w:rPr>
          <w:rtl w:val="0"/>
        </w:rPr>
        <w:t xml:space="preserve">. If renewables completely displace coal, this term goes to zero for energy applications. If no substitute exists for a specific chemical, magnetic, or propellant application of a rare earth element, this term remains close to one.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rtl w:val="0"/>
        </w:rPr>
        <w:t xml:space="preserve">U</w:t>
      </w:r>
      <w:r w:rsidDel="00000000" w:rsidR="00000000" w:rsidRPr="00000000">
        <w:rPr>
          <w:b w:val="1"/>
          <w:bCs w:val="1"/>
          <w:rtl w:val="0"/>
        </w:rPr>
        <w:t xml:space="preserve">(</w:t>
      </w:r>
      <w:r w:rsidDel="00000000" w:rsidR="00000000" w:rsidRPr="00000000">
        <w:rPr>
          <w:b w:val="1"/>
          <w:bCs w:val="1"/>
          <w:i w:val="1"/>
          <w:iCs w:val="1"/>
          <w:rtl w:val="0"/>
        </w:rPr>
        <w:t xml:space="preserve">R, t, Q</w:t>
      </w:r>
      <w:r w:rsidDel="00000000" w:rsidR="00000000" w:rsidRPr="00000000">
        <w:rPr>
          <w:b w:val="1"/>
          <w:bCs w:val="1"/>
          <w:rtl w:val="0"/>
        </w:rPr>
        <w:t xml:space="preserve">(</w:t>
      </w:r>
      <w:r w:rsidDel="00000000" w:rsidR="00000000" w:rsidRPr="00000000">
        <w:rPr>
          <w:b w:val="1"/>
          <w:bCs w:val="1"/>
          <w:i w:val="1"/>
          <w:iCs w:val="1"/>
          <w:rtl w:val="0"/>
        </w:rPr>
        <w:t xml:space="preserve">t</w:t>
      </w:r>
      <w:r w:rsidDel="00000000" w:rsidR="00000000" w:rsidRPr="00000000">
        <w:rPr>
          <w:b w:val="1"/>
          <w:bCs w:val="1"/>
          <w:rtl w:val="0"/>
        </w:rPr>
        <w:t xml:space="preserve">))</w:t>
      </w:r>
      <w:r w:rsidDel="00000000" w:rsidR="00000000" w:rsidRPr="00000000">
        <w:rPr>
          <w:rtl w:val="0"/>
        </w:rPr>
        <w:t xml:space="preserve"> is the utility a future generation loses from not having the unit. It depends on the remaining stock </w:t>
      </w:r>
      <w:r w:rsidDel="00000000" w:rsidR="00000000" w:rsidRPr="00000000">
        <w:rPr>
          <w:i w:val="1"/>
          <w:iCs w:val="1"/>
          <w:rtl w:val="0"/>
        </w:rPr>
        <w:t xml:space="preserve">Q</w:t>
      </w:r>
      <w:r w:rsidDel="00000000" w:rsidR="00000000" w:rsidRPr="00000000">
        <w:rPr>
          <w:rtl w:val="0"/>
        </w:rPr>
        <w:t xml:space="preserve">(</w:t>
      </w:r>
      <w:r w:rsidDel="00000000" w:rsidR="00000000" w:rsidRPr="00000000">
        <w:rPr>
          <w:i w:val="1"/>
          <w:iCs w:val="1"/>
          <w:rtl w:val="0"/>
        </w:rPr>
        <w:t xml:space="preserve">t</w:t>
      </w:r>
      <w:r w:rsidDel="00000000" w:rsidR="00000000" w:rsidRPr="00000000">
        <w:rPr>
          <w:rtl w:val="0"/>
        </w:rPr>
        <w:t xml:space="preserve">): as the stock depletes, each remaining unit becomes more valuable. This is the stock-dependence of utility that drives the progressive extraction pricing conclusion.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rtl w:val="0"/>
        </w:rPr>
        <w:t xml:space="preserve">E</w:t>
      </w:r>
      <w:r w:rsidDel="00000000" w:rsidR="00000000" w:rsidRPr="00000000">
        <w:rPr>
          <w:b w:val="1"/>
          <w:bCs w:val="1"/>
          <w:rtl w:val="0"/>
        </w:rPr>
        <w:t xml:space="preserve">(</w:t>
      </w:r>
      <w:r w:rsidDel="00000000" w:rsidR="00000000" w:rsidRPr="00000000">
        <w:rPr>
          <w:b w:val="1"/>
          <w:bCs w:val="1"/>
          <w:i w:val="1"/>
          <w:iCs w:val="1"/>
          <w:rtl w:val="0"/>
        </w:rPr>
        <w:t xml:space="preserve">R, t</w:t>
      </w:r>
      <w:r w:rsidDel="00000000" w:rsidR="00000000" w:rsidRPr="00000000">
        <w:rPr>
          <w:b w:val="1"/>
          <w:bCs w:val="1"/>
          <w:rtl w:val="0"/>
        </w:rPr>
        <w:t xml:space="preserve">)</w:t>
      </w:r>
      <w:r w:rsidDel="00000000" w:rsidR="00000000" w:rsidRPr="00000000">
        <w:rPr>
          <w:rtl w:val="0"/>
        </w:rPr>
        <w:t xml:space="preserve"> is the externality flow at time </w:t>
      </w:r>
      <w:r w:rsidDel="00000000" w:rsidR="00000000" w:rsidRPr="00000000">
        <w:rPr>
          <w:i w:val="1"/>
          <w:iCs w:val="1"/>
          <w:rtl w:val="0"/>
        </w:rPr>
        <w:t xml:space="preserve">t</w:t>
      </w:r>
      <w:r w:rsidDel="00000000" w:rsidR="00000000" w:rsidRPr="00000000">
        <w:rPr>
          <w:rtl w:val="0"/>
        </w:rPr>
        <w:t xml:space="preserve">. For coal, this includes carbon emissions, acid mine drainage flows, and continuing black lung incidence in the exposed population. For rare earths, it includes processing residues and tailings pond contamination.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i w:val="1"/>
          <w:iCs w:val="1"/>
          <w:rtl w:val="0"/>
        </w:rPr>
        <w:t xml:space="preserve">D</w:t>
      </w:r>
      <w:r w:rsidDel="00000000" w:rsidR="00000000" w:rsidRPr="00000000">
        <w:rPr>
          <w:b w:val="1"/>
          <w:bCs w:val="1"/>
          <w:rtl w:val="0"/>
        </w:rPr>
        <w:t xml:space="preserve">(</w:t>
      </w:r>
      <w:r w:rsidDel="00000000" w:rsidR="00000000" w:rsidRPr="00000000">
        <w:rPr>
          <w:b w:val="1"/>
          <w:bCs w:val="1"/>
          <w:i w:val="1"/>
          <w:iCs w:val="1"/>
          <w:rtl w:val="0"/>
        </w:rPr>
        <w:t xml:space="preserve">t</w:t>
      </w:r>
      <w:r w:rsidDel="00000000" w:rsidR="00000000" w:rsidRPr="00000000">
        <w:rPr>
          <w:b w:val="1"/>
          <w:bCs w:val="1"/>
          <w:rtl w:val="0"/>
        </w:rPr>
        <w:t xml:space="preserve">)</w:t>
      </w:r>
      <w:r w:rsidDel="00000000" w:rsidR="00000000" w:rsidRPr="00000000">
        <w:rPr>
          <w:rtl w:val="0"/>
        </w:rPr>
        <w:t xml:space="preserve"> is the discount factor that weights near-term versus far-term costs. Rather than adopting a single discount rate — a choice that has deadlocked intergenerational economics for decades — the framework uses a declining-rate (Weitzman) approach, reflecting genuine uncertainty about the correct long-horizon rate.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t>
      </w:r>
      <w:r w:rsidDel="00000000" w:rsidR="00000000" w:rsidRPr="00000000">
        <w:rPr>
          <w:b w:val="1"/>
          <w:bCs w:val="1"/>
          <w:rtl w:val="0"/>
        </w:rPr>
        <w:t xml:space="preserve">integral</w:t>
      </w:r>
      <w:r w:rsidDel="00000000" w:rsidR="00000000" w:rsidRPr="00000000">
        <w:rPr>
          <w:rtl w:val="0"/>
        </w:rPr>
        <w:t xml:space="preserve"> is nothing more exotic than the sum across all future times — adding up the loss weighted by the discount factor, year by year, until the discount factor makes further contributions negligible.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20" w:before="210" w:lineRule="auto"/>
        <w:ind w:left="0" w:right="0" w:firstLine="0"/>
        <w:rPr/>
      </w:pPr>
      <w:r w:rsidDel="00000000" w:rsidR="00000000" w:rsidRPr="00000000">
        <w:rPr>
          <w:rtl w:val="0"/>
        </w:rPr>
        <w:t xml:space="preserve">A reader who skips the formula has the sentence that precedes it: </w:t>
      </w:r>
      <w:r w:rsidDel="00000000" w:rsidR="00000000" w:rsidRPr="00000000">
        <w:rPr>
          <w:i w:val="1"/>
          <w:iCs w:val="1"/>
          <w:rtl w:val="0"/>
        </w:rPr>
        <w:t xml:space="preserve">foreclosure cost weighted by substitutability, plus externality tail, summed over the affected time horizon, discounted across that horizon.</w:t>
      </w:r>
      <w:r w:rsidDel="00000000" w:rsidR="00000000" w:rsidRPr="00000000">
        <w:rPr>
          <w:rtl w:val="0"/>
        </w:rPr>
        <w:t xml:space="preserve"> A reader who engages with the formula has the term-by-term translation to check their understanding. Both readers can proceed.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severance quantity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residual commons value is the true intergenerational cost of the extraction. The amount the extractor actually pays, in the form of reclamation bonds, carbon taxes, sovereign wealth contributions, severance fees, and comparable instruments, is the </w:t>
      </w:r>
      <w:r w:rsidDel="00000000" w:rsidR="00000000" w:rsidRPr="00000000">
        <w:rPr>
          <w:b w:val="1"/>
          <w:bCs w:val="1"/>
          <w:rtl w:val="0"/>
        </w:rPr>
        <w:t xml:space="preserve">accountability bond</w:t>
      </w:r>
      <w:r w:rsidDel="00000000" w:rsidR="00000000" w:rsidRPr="00000000">
        <w:rPr>
          <w:rtl w:val="0"/>
        </w:rPr>
        <w:t xml:space="preserve">, denoted </w:t>
      </w:r>
      <w:r w:rsidDel="00000000" w:rsidR="00000000" w:rsidRPr="00000000">
        <w:rPr>
          <w:i w:val="1"/>
          <w:iCs w:val="1"/>
          <w:rtl w:val="0"/>
        </w:rPr>
        <w:t xml:space="preserve">B</w:t>
      </w:r>
      <w:r w:rsidDel="00000000" w:rsidR="00000000" w:rsidRPr="00000000">
        <w:rPr>
          <w:rtl w:val="0"/>
        </w:rPr>
        <w:t xml:space="preserve">. The difference between the two is the cost severance: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20" w:before="300" w:lineRule="auto"/>
        <w:ind w:left="300" w:right="300" w:firstLine="0"/>
        <w:jc w:val="center"/>
        <w:rPr>
          <w:rFonts w:ascii="Arial" w:cs="Arial" w:eastAsia="Arial" w:hAnsi="Arial"/>
          <w:i w:val="1"/>
          <w:iCs w:val="1"/>
          <w:color w:val="555555"/>
          <w:sz w:val="30"/>
          <w:szCs w:val="30"/>
          <w:shd w:fill="f7f5ef" w:val="clear"/>
        </w:rPr>
      </w:pPr>
      <w:r w:rsidDel="00000000" w:rsidR="00000000" w:rsidRPr="00000000">
        <w:rPr>
          <w:rFonts w:ascii="Arial Unicode MS" w:cs="Arial Unicode MS" w:eastAsia="Arial Unicode MS" w:hAnsi="Arial Unicode MS"/>
          <w:sz w:val="40"/>
          <w:szCs w:val="40"/>
          <w:shd w:fill="f7f5ef" w:val="clear"/>
          <w:rtl w:val="0"/>
        </w:rPr>
        <w:t xml:space="preserve">CS  =  RCV − </w:t>
      </w:r>
      <w:r w:rsidDel="00000000" w:rsidR="00000000" w:rsidRPr="00000000">
        <w:rPr>
          <w:rFonts w:ascii="Arial" w:cs="Arial" w:eastAsia="Arial" w:hAnsi="Arial"/>
          <w:i w:val="1"/>
          <w:iCs w:val="1"/>
          <w:sz w:val="50"/>
          <w:szCs w:val="50"/>
          <w:shd w:fill="f7f5ef" w:val="clear"/>
          <w:rtl w:val="0"/>
        </w:rPr>
        <w:t xml:space="preserve">B</w:t>
      </w:r>
      <w:r w:rsidDel="00000000" w:rsidR="00000000" w:rsidRPr="00000000">
        <w:rPr>
          <w:rFonts w:ascii="Arial" w:cs="Arial" w:eastAsia="Arial" w:hAnsi="Arial"/>
          <w:sz w:val="40"/>
          <w:szCs w:val="40"/>
          <w:shd w:fill="f7f5ef" w:val="clear"/>
          <w:rtl w:val="0"/>
        </w:rPr>
        <w:t xml:space="preserve"> </w:t>
      </w:r>
      <w:r w:rsidDel="00000000" w:rsidR="00000000" w:rsidRPr="00000000">
        <w:rPr>
          <w:rFonts w:ascii="Arial" w:cs="Arial" w:eastAsia="Arial" w:hAnsi="Arial"/>
          <w:i w:val="1"/>
          <w:iCs w:val="1"/>
          <w:color w:val="555555"/>
          <w:sz w:val="30"/>
          <w:szCs w:val="30"/>
          <w:shd w:fill="f7f5ef" w:val="clear"/>
          <w:rtl w:val="0"/>
        </w:rPr>
        <w:t xml:space="preserve">Cost severance is the gap between honest price and paid price.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When </w:t>
      </w:r>
      <w:r w:rsidDel="00000000" w:rsidR="00000000" w:rsidRPr="00000000">
        <w:rPr>
          <w:b w:val="1"/>
          <w:bCs w:val="1"/>
          <w:rtl w:val="0"/>
        </w:rPr>
        <w:t xml:space="preserve">CS &gt; 0</w:t>
      </w:r>
      <w:r w:rsidDel="00000000" w:rsidR="00000000" w:rsidRPr="00000000">
        <w:rPr>
          <w:rtl w:val="0"/>
        </w:rPr>
        <w:t xml:space="preserve">, cost severance has occurred — the extractor captured value without fully funding the intergenerational cost. The magnitude of CS is the unpriced obligation transferred to affected communities and future generations. When </w:t>
      </w:r>
      <w:r w:rsidDel="00000000" w:rsidR="00000000" w:rsidRPr="00000000">
        <w:rPr>
          <w:rFonts w:ascii="Arial Unicode MS" w:cs="Arial Unicode MS" w:eastAsia="Arial Unicode MS" w:hAnsi="Arial Unicode MS"/>
          <w:b w:val="1"/>
          <w:bCs w:val="1"/>
          <w:rtl w:val="0"/>
        </w:rPr>
        <w:t xml:space="preserve">CS ≈ 0</w:t>
      </w:r>
      <w:r w:rsidDel="00000000" w:rsidR="00000000" w:rsidRPr="00000000">
        <w:rPr>
          <w:rtl w:val="0"/>
        </w:rPr>
        <w:t xml:space="preserve">, the extraction is honestly priced. When </w:t>
      </w:r>
      <w:r w:rsidDel="00000000" w:rsidR="00000000" w:rsidRPr="00000000">
        <w:rPr>
          <w:b w:val="1"/>
          <w:bCs w:val="1"/>
          <w:rtl w:val="0"/>
        </w:rPr>
        <w:t xml:space="preserve">CS &lt; 0</w:t>
      </w:r>
      <w:r w:rsidDel="00000000" w:rsidR="00000000" w:rsidRPr="00000000">
        <w:rPr>
          <w:rtl w:val="0"/>
        </w:rPr>
        <w:t xml:space="preserve">, the extractor has overpaid relative to true intergenerational cost — a possibility worth noting, because it means the framework is not rigged to always produce the same answer. We return to this point below.</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substitutability function, accessibly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For a reader who-cares about why the model is structured this way rather than any of the ways economists have tried before, the substitutability function is the piece worth pausing on. Previous approaches to pricing intergenerational costs relied almost entirely on the discount rate — how much less we value the future than the present. The discount rate is a philosophical question economists have debated for nearly a century without resolution. One administration's EPA says </w:t>
      </w:r>
      <w:r w:rsidDel="00000000" w:rsidR="00000000" w:rsidRPr="00000000">
        <w:rPr>
          <w:b w:val="1"/>
          <w:bCs w:val="1"/>
          <w:rtl w:val="0"/>
        </w:rPr>
        <w:t xml:space="preserve">$42</w:t>
      </w:r>
      <w:r w:rsidDel="00000000" w:rsidR="00000000" w:rsidRPr="00000000">
        <w:rPr>
          <w:rtl w:val="0"/>
        </w:rPr>
        <w:t xml:space="preserve"> per ton of carbon. The next says </w:t>
      </w:r>
      <w:r w:rsidDel="00000000" w:rsidR="00000000" w:rsidRPr="00000000">
        <w:rPr>
          <w:b w:val="1"/>
          <w:bCs w:val="1"/>
          <w:rtl w:val="0"/>
        </w:rPr>
        <w:t xml:space="preserve">$3</w:t>
      </w:r>
      <w:r w:rsidDel="00000000" w:rsidR="00000000" w:rsidRPr="00000000">
        <w:rPr>
          <w:rtl w:val="0"/>
        </w:rPr>
        <w:t xml:space="preserve">. The one after that says </w:t>
      </w:r>
      <w:r w:rsidDel="00000000" w:rsidR="00000000" w:rsidRPr="00000000">
        <w:rPr>
          <w:b w:val="1"/>
          <w:bCs w:val="1"/>
          <w:rtl w:val="0"/>
        </w:rPr>
        <w:t xml:space="preserve">$190</w:t>
      </w:r>
      <w:r w:rsidDel="00000000" w:rsidR="00000000" w:rsidRPr="00000000">
        <w:rPr>
          <w:rtl w:val="0"/>
        </w:rPr>
        <w:t xml:space="preserve">. Same molecule. Same atmosphere. Same physics. Three estimates spanning two orders of magnitude.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substitutability function sidesteps this deadlock. Instead of asking “how much do future generations matter?” — a question that will never be settled by economists — it asks “how quickly can we develop alternatives?” This is an empirical question. Engineers and materials scientists can estimate substitution timelines. The cost curves for solar, wind, and battery storage have been measurable year over year for decades. Non-rare-earth magnet chemistries have a theoretical ceiling on what performance they can reach. Alternative battery chemistries have demonstrated pilot-plant operation. These are research questions with answers that improve with each year of investment.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By making the substitutability function the primary driver rather than the discount rate, the framework moves the debate from philosophy to engineering. The philosophical questions do not disappear, but they stop being the chokepoint that prevents policy from moving.</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The Convergence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Here is the result this chapter has been building toward. The three approaches produce, on every case we can test them against, answers in the same direction and magnitudes in the same broad range.</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fece2"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rFonts w:ascii="Arial" w:cs="Arial" w:eastAsia="Arial" w:hAnsi="Arial"/>
                <w:sz w:val="26"/>
                <w:szCs w:val="26"/>
                <w:shd w:fill="auto" w:val="clear"/>
                <w:vertAlign w:val="baseline"/>
              </w:rPr>
            </w:pPr>
            <w:r w:rsidDel="00000000" w:rsidR="00000000" w:rsidRPr="00000000">
              <w:rPr>
                <w:rFonts w:ascii="Arial" w:cs="Arial" w:eastAsia="Arial" w:hAnsi="Arial"/>
                <w:sz w:val="26"/>
                <w:szCs w:val="26"/>
                <w:shd w:fill="auto" w:val="clear"/>
                <w:vertAlign w:val="baseline"/>
                <w:rtl w:val="0"/>
              </w:rPr>
              <w:t xml:space="preserve">Case</w:t>
            </w:r>
          </w:p>
        </w:tc>
        <w:tc>
          <w:tcPr>
            <w:tcBorders>
              <w:top w:color="cccccc" w:space="0" w:sz="6" w:val="single"/>
              <w:left w:color="cccccc" w:space="0" w:sz="6" w:val="single"/>
              <w:bottom w:color="cccccc" w:space="0" w:sz="6" w:val="single"/>
              <w:right w:color="cccccc" w:space="0" w:sz="6" w:val="single"/>
            </w:tcBorders>
            <w:shd w:fill="efece2" w:val="clear"/>
            <w:tcMar>
              <w:top w:w="150.0" w:type="dxa"/>
              <w:left w:w="180.0" w:type="dxa"/>
              <w:bottom w:w="15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ind w:left="0" w:right="0" w:firstLine="0"/>
              <w:rPr>
                <w:rFonts w:ascii="Arial" w:cs="Arial" w:eastAsia="Arial" w:hAnsi="Arial"/>
                <w:sz w:val="26"/>
                <w:szCs w:val="26"/>
                <w:shd w:fill="auto" w:val="clear"/>
                <w:vertAlign w:val="baseline"/>
              </w:rPr>
            </w:pPr>
            <w:r w:rsidDel="00000000" w:rsidR="00000000" w:rsidRPr="00000000">
              <w:rPr>
                <w:rFonts w:ascii="Arial" w:cs="Arial" w:eastAsia="Arial" w:hAnsi="Arial"/>
                <w:sz w:val="26"/>
                <w:szCs w:val="26"/>
                <w:shd w:fill="auto" w:val="clear"/>
                <w:vertAlign w:val="baseline"/>
                <w:rtl w:val="0"/>
              </w:rPr>
              <w:t xml:space="preserve">Market price</w:t>
            </w:r>
          </w:p>
        </w:tc>
        <w:tc>
          <w:tcPr>
            <w:tcBorders>
              <w:top w:color="cccccc" w:space="0" w:sz="6" w:val="single"/>
              <w:left w:color="cccccc" w:space="0" w:sz="6" w:val="single"/>
              <w:bottom w:color="cccccc" w:space="0" w:sz="6" w:val="single"/>
              <w:right w:color="cccccc" w:space="0" w:sz="6" w:val="single"/>
            </w:tcBorders>
            <w:shd w:fill="efece2"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rFonts w:ascii="Arial" w:cs="Arial" w:eastAsia="Arial" w:hAnsi="Arial"/>
                <w:sz w:val="26"/>
                <w:szCs w:val="26"/>
                <w:shd w:fill="auto" w:val="clear"/>
                <w:vertAlign w:val="baseline"/>
              </w:rPr>
            </w:pPr>
            <w:r w:rsidDel="00000000" w:rsidR="00000000" w:rsidRPr="00000000">
              <w:rPr>
                <w:rFonts w:ascii="Arial" w:cs="Arial" w:eastAsia="Arial" w:hAnsi="Arial"/>
                <w:sz w:val="26"/>
                <w:szCs w:val="26"/>
                <w:shd w:fill="auto" w:val="clear"/>
                <w:vertAlign w:val="baseline"/>
                <w:rtl w:val="0"/>
              </w:rPr>
              <w:t xml:space="preserve">Bottom-up IPG</w:t>
            </w:r>
          </w:p>
        </w:tc>
        <w:tc>
          <w:tcPr>
            <w:tcBorders>
              <w:top w:color="cccccc" w:space="0" w:sz="6" w:val="single"/>
              <w:left w:color="cccccc" w:space="0" w:sz="6" w:val="single"/>
              <w:bottom w:color="cccccc" w:space="0" w:sz="6" w:val="single"/>
              <w:right w:color="cccccc" w:space="0" w:sz="6" w:val="single"/>
            </w:tcBorders>
            <w:shd w:fill="efece2"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rFonts w:ascii="Arial" w:cs="Arial" w:eastAsia="Arial" w:hAnsi="Arial"/>
                <w:sz w:val="26"/>
                <w:szCs w:val="26"/>
                <w:shd w:fill="auto" w:val="clear"/>
                <w:vertAlign w:val="baseline"/>
              </w:rPr>
            </w:pPr>
            <w:r w:rsidDel="00000000" w:rsidR="00000000" w:rsidRPr="00000000">
              <w:rPr>
                <w:rFonts w:ascii="Arial" w:cs="Arial" w:eastAsia="Arial" w:hAnsi="Arial"/>
                <w:sz w:val="26"/>
                <w:szCs w:val="26"/>
                <w:shd w:fill="auto" w:val="clear"/>
                <w:vertAlign w:val="baseline"/>
                <w:rtl w:val="0"/>
              </w:rPr>
              <w:t xml:space="preserve">ROM (Options) IPG</w:t>
            </w:r>
          </w:p>
        </w:tc>
        <w:tc>
          <w:tcPr>
            <w:tcBorders>
              <w:top w:color="cccccc" w:space="0" w:sz="6" w:val="single"/>
              <w:left w:color="cccccc" w:space="0" w:sz="6" w:val="single"/>
              <w:bottom w:color="cccccc" w:space="0" w:sz="6" w:val="single"/>
              <w:right w:color="cccccc" w:space="0" w:sz="6" w:val="single"/>
            </w:tcBorders>
            <w:shd w:fill="efece2"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ind w:left="0" w:right="0" w:firstLine="0"/>
              <w:rPr>
                <w:rFonts w:ascii="Arial" w:cs="Arial" w:eastAsia="Arial" w:hAnsi="Arial"/>
                <w:sz w:val="26"/>
                <w:szCs w:val="26"/>
                <w:shd w:fill="auto" w:val="clear"/>
                <w:vertAlign w:val="baseline"/>
              </w:rPr>
            </w:pPr>
            <w:r w:rsidDel="00000000" w:rsidR="00000000" w:rsidRPr="00000000">
              <w:rPr>
                <w:rFonts w:ascii="Arial" w:cs="Arial" w:eastAsia="Arial" w:hAnsi="Arial"/>
                <w:sz w:val="26"/>
                <w:szCs w:val="26"/>
                <w:shd w:fill="auto" w:val="clear"/>
                <w:vertAlign w:val="baseline"/>
                <w:rtl w:val="0"/>
              </w:rPr>
              <w:t xml:space="preserve">RCV IPG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408.0000114440918" w:lineRule="auto"/>
              <w:ind w:left="0" w:right="0" w:firstLine="0"/>
              <w:jc w:val="left"/>
              <w:rPr>
                <w:sz w:val="28"/>
                <w:szCs w:val="28"/>
              </w:rPr>
            </w:pPr>
            <w:r w:rsidDel="00000000" w:rsidR="00000000" w:rsidRPr="00000000">
              <w:rPr>
                <w:sz w:val="28"/>
                <w:szCs w:val="2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McDowell Co. coal</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$4.50 / ton</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5–133×</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20–50×</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19–47×</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Deepwater Horizon</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$4.25B revenue</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15–17×</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~15×</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Exxon Valdez</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$5.5M product</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1,200–1,900×</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~1,000×</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~1,000×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Libby, Montana</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~$100M lifetime</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55–82×</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40–80×</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40–80×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Norwegian oil (post-fund)</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Market</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1.2–2.5×</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1.0–2.0×</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ind w:left="0" w:right="0" w:firstLine="0"/>
              <w:rPr>
                <w:sz w:val="26"/>
                <w:szCs w:val="26"/>
                <w:vertAlign w:val="baseline"/>
              </w:rPr>
            </w:pPr>
            <w:r w:rsidDel="00000000" w:rsidR="00000000" w:rsidRPr="00000000">
              <w:rPr>
                <w:sz w:val="26"/>
                <w:szCs w:val="26"/>
                <w:vertAlign w:val="baseline"/>
                <w:rtl w:val="0"/>
              </w:rPr>
              <w:t xml:space="preserve">1.0–2.0×</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10" w:before="360" w:lineRule="auto"/>
        <w:ind w:left="0" w:right="0" w:firstLine="0"/>
        <w:rPr/>
      </w:pPr>
      <w:r w:rsidDel="00000000" w:rsidR="00000000" w:rsidRPr="00000000">
        <w:rPr>
          <w:rtl w:val="0"/>
        </w:rPr>
        <w:t xml:space="preserve">Three different methods. Different assumptions. Different mathematical foundations. The same qualitative conclusion across every case: market prices understate the true cost of extraction. Always. Everywhere. The magnitude varies — from single digits for well-managed extraction to four digits for catastrophic cases — but the direction never flips.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reader who has seen three independent methods produce similar answers is in a different epistemic position than the reader who has seen only one. If the output were driven purely by arbitrary parameter choices, three different approaches with different parameters would not converge. Convergence is evidence that the methods are measuring something real, even if imprecisely.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Norway backtest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table includes a fifth row that deserves a separate note. Apply all three methods to the best-managed extraction case the world has ever produced: Norwegian oil under the sovereign wealth fund. The fund captures roughly seventy cents on the dollar of net petroleum rent. The revenue is invested, preserved, and rate-limited. The accountability bond </w:t>
      </w:r>
      <w:r w:rsidDel="00000000" w:rsidR="00000000" w:rsidRPr="00000000">
        <w:rPr>
          <w:i w:val="1"/>
          <w:iCs w:val="1"/>
          <w:rtl w:val="0"/>
        </w:rPr>
        <w:t xml:space="preserve">B</w:t>
      </w:r>
      <w:r w:rsidDel="00000000" w:rsidR="00000000" w:rsidRPr="00000000">
        <w:rPr>
          <w:rtl w:val="0"/>
        </w:rPr>
        <w:t xml:space="preserve"> is enormous.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All three methods produce, for Norway, an IPG in the range of one to two. The cost severance is small — much smaller than Appalachia's — but positive. The barrel is still gone. The externality tail persists. The fund monetizes the present-use value of the resource but does not price the foreclosure of future access.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This is important. The model does not produce the same answer for Norway as for Appalachia. It produces a small IPG for Norway (because </w:t>
      </w:r>
      <w:r w:rsidDel="00000000" w:rsidR="00000000" w:rsidRPr="00000000">
        <w:rPr>
          <w:i w:val="1"/>
          <w:iCs w:val="1"/>
          <w:rtl w:val="0"/>
        </w:rPr>
        <w:t xml:space="preserve">B</w:t>
      </w:r>
      <w:r w:rsidDel="00000000" w:rsidR="00000000" w:rsidRPr="00000000">
        <w:rPr>
          <w:rtl w:val="0"/>
        </w:rPr>
        <w:t xml:space="preserve"> is large) and an enormous IPG for Appalachia (because </w:t>
      </w:r>
      <w:r w:rsidDel="00000000" w:rsidR="00000000" w:rsidRPr="00000000">
        <w:rPr>
          <w:i w:val="1"/>
          <w:iCs w:val="1"/>
          <w:rtl w:val="0"/>
        </w:rPr>
        <w:t xml:space="preserve">B</w:t>
      </w:r>
      <w:r w:rsidDel="00000000" w:rsidR="00000000" w:rsidRPr="00000000">
        <w:rPr>
          <w:rtl w:val="0"/>
        </w:rPr>
        <w:t xml:space="preserve"> is near zero). The model differentiates. It is not a blunt instrument that says “extraction is bad.” It is a sensitive instrument that says “extraction under these conditions produces this much cost severance, and extraction under different conditions produces a different amount.”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What the critics will say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540" w:before="0" w:lineRule="auto"/>
        <w:ind w:left="0" w:right="0" w:firstLine="0"/>
        <w:rPr/>
      </w:pPr>
      <w:r w:rsidDel="00000000" w:rsidR="00000000" w:rsidRPr="00000000">
        <w:rPr>
          <w:rtl w:val="0"/>
        </w:rPr>
        <w:t xml:space="preserve">Having presented the framework, we should ask whether it can be broken. Two objections deserve substantive engagement before the book moves on. Both are methodological rather than political, which is why they belong in this chapter rather than anywhere else.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840" w:before="300" w:lineRule="auto"/>
        <w:ind w:left="300" w:right="30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0" w:lineRule="auto"/>
        <w:ind w:left="300" w:right="300" w:firstLine="0"/>
        <w:rPr>
          <w:color w:val="8c1d2a"/>
          <w:shd w:fill="f6f6f2" w:val="clear"/>
        </w:rPr>
      </w:pPr>
      <w:r w:rsidDel="00000000" w:rsidR="00000000" w:rsidRPr="00000000">
        <w:rPr>
          <w:color w:val="8c1d2a"/>
          <w:shd w:fill="f6f6f2" w:val="clear"/>
          <w:rtl w:val="0"/>
        </w:rPr>
        <w:t xml:space="preserve">“You're pricing the unpriceable, so the whole framework is arbitrary.”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10" w:before="0" w:lineRule="auto"/>
        <w:ind w:left="540" w:right="300" w:firstLine="0"/>
        <w:rPr>
          <w:i w:val="1"/>
          <w:iCs w:val="1"/>
          <w:shd w:fill="f6f6f2" w:val="clear"/>
        </w:rPr>
      </w:pPr>
      <w:r w:rsidDel="00000000" w:rsidR="00000000" w:rsidRPr="00000000">
        <w:rPr>
          <w:i w:val="1"/>
          <w:iCs w:val="1"/>
          <w:shd w:fill="f6f6f2" w:val="clear"/>
          <w:rtl w:val="0"/>
        </w:rPr>
        <w:t xml:space="preserve">The model requires estimating the substitutability function, the externality tail, the stock-dependent utility, and the discount factor. None of these is directly observable. Each requires assumptions that drive the output. The IPG for coal ranges from 5× to 133× depending on the social cost of carbon you plug in. That's not a model. That's a choose-your-own-adventure. You can get any answer you want by adjusting the parameters, which means the framework doesn't constrain anything. It just gives a scientific veneer to whatever policy conclusion you wanted to reach in the first place.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This is the strongest objection a mainstream economist will raise, and it is largely correct. The model “is” sensitive to parameters that are genuinely uncertain. The honest response can not be “trust our estimates.” It has to be four things.“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b w:val="1"/>
          <w:bCs w:val="1"/>
          <w:shd w:fill="f6f6f2" w:val="clear"/>
          <w:rtl w:val="0"/>
        </w:rPr>
        <w:t xml:space="preserve">First, acknowledge what the model actually does.</w:t>
      </w:r>
      <w:r w:rsidDel="00000000" w:rsidR="00000000" w:rsidRPr="00000000">
        <w:rPr>
          <w:shd w:fill="f6f6f2" w:val="clear"/>
          <w:rtl w:val="0"/>
        </w:rPr>
        <w:t xml:space="preserve"> It does not eliminate uncertainty. It structures uncertainty. It tells you which parameters matter, how much each one affects the output, and where additional research would reduce the uncertainty most. That is what useful models do. A weather model does not tell you with certainty whether it will rain Thursday. It tells you the probability, given what is known, and you bring an umbrella or you don't. The model informs the decision; it does not make the decision for you.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b w:val="1"/>
          <w:bCs w:val="1"/>
          <w:shd w:fill="f6f6f2" w:val="clear"/>
          <w:rtl w:val="0"/>
        </w:rPr>
        <w:t xml:space="preserve">Second, note that the alternative is not neutral.</w:t>
      </w:r>
      <w:r w:rsidDel="00000000" w:rsidR="00000000" w:rsidRPr="00000000">
        <w:rPr>
          <w:shd w:fill="f6f6f2" w:val="clear"/>
          <w:rtl w:val="0"/>
        </w:rPr>
        <w:t xml:space="preserve"> The current method — market pricing with zero externality adjustment — is not “assumption-free.” It is a specific assumption: that externalities are worth exactly zero. That the health costs borne by McDowell County are worth zero. That the climate damage from carbon is worth zero. That permanent foreclosure of a commons resource imposes zero cost on future generations. This assumption is not more rigorous than the RCV model’s assumptions. It is </w:t>
      </w:r>
      <w:r w:rsidDel="00000000" w:rsidR="00000000" w:rsidRPr="00000000">
        <w:rPr>
          <w:i w:val="1"/>
          <w:iCs w:val="1"/>
          <w:shd w:fill="f6f6f2" w:val="clear"/>
          <w:rtl w:val="0"/>
        </w:rPr>
        <w:t xml:space="preserve">less</w:t>
      </w:r>
      <w:r w:rsidDel="00000000" w:rsidR="00000000" w:rsidRPr="00000000">
        <w:rPr>
          <w:shd w:fill="f6f6f2" w:val="clear"/>
          <w:rtl w:val="0"/>
        </w:rPr>
        <w:t xml:space="preserve"> rigorous — it is an assumption that contradicts all available evidence. The choice is not between a precise model and an uncertain one. It is between an uncertain model and a model that is precisely wrong. Uncertainty is preferable to certainty in the wrong direction.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b w:val="1"/>
          <w:bCs w:val="1"/>
          <w:shd w:fill="f6f6f2" w:val="clear"/>
          <w:rtl w:val="0"/>
        </w:rPr>
        <w:t xml:space="preserve">Third, point to the convergence.</w:t>
      </w:r>
      <w:r w:rsidDel="00000000" w:rsidR="00000000" w:rsidRPr="00000000">
        <w:rPr>
          <w:shd w:fill="f6f6f2" w:val="clear"/>
          <w:rtl w:val="0"/>
        </w:rPr>
        <w:t xml:space="preserve"> Three independent methods produce the same qualitative result and similar magnitudes. If the output were driven purely by arbitrary parameter choices, three different approaches would not converge. The convergence is evidence that the models are measuring something real.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b w:val="1"/>
          <w:bCs w:val="1"/>
          <w:shd w:fill="f6f6f2" w:val="clear"/>
          <w:rtl w:val="0"/>
        </w:rPr>
        <w:t xml:space="preserve">Fourth, note that the parameters are becoming more estimable, not less.</w:t>
      </w:r>
      <w:r w:rsidDel="00000000" w:rsidR="00000000" w:rsidRPr="00000000">
        <w:rPr>
          <w:shd w:fill="f6f6f2" w:val="clear"/>
          <w:rtl w:val="0"/>
        </w:rPr>
        <w:t xml:space="preserve"> The social cost of carbon was genuinely uncertain in 2010. The 2023 EPA estimate incorporates vastly more sophisticated climate modeling, economic damage functions, and discount rate analysis than any previous estimate. Substitutability curves for specific resources are increasingly well-characterized by energy transition modeling. The uncertainty range is narrowing with each year of research. A framework that structures ongoing research is more useful than one that ignores the problem because precise answers are not yet available.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The social cost of carbon deserves one more sentence of honest concession. The model’s quantitative output for fossil fuels does depend heavily on which SCC estimate you use. The qualitative result (cost severance is positive) is robust across all SCC estimates above zero. But the magnitude varies by an order of magnitude. The fight over the SCC is, in effect, a fight over acceptable cost severance. If you price carbon at three dollars a ton, you are accepting a honest price close to the market price. If you price it at one hundred and ninety dollars, you are accepting a honest price an order of magnitude above the market. Both are pricing decisions. Neither is neutral. The question is not whether we are making a pricing decision. The question is which one.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900" w:before="300" w:lineRule="auto"/>
        <w:ind w:left="300" w:right="300" w:firstLine="0"/>
        <w:rPr>
          <w:shd w:fill="f6f6f2"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0" w:lineRule="auto"/>
        <w:ind w:left="300" w:right="300" w:firstLine="0"/>
        <w:rPr>
          <w:color w:val="8c1d2a"/>
          <w:shd w:fill="f6f6f2" w:val="clear"/>
        </w:rPr>
      </w:pPr>
      <w:r w:rsidDel="00000000" w:rsidR="00000000" w:rsidRPr="00000000">
        <w:rPr>
          <w:color w:val="8c1d2a"/>
          <w:shd w:fill="f6f6f2" w:val="clear"/>
          <w:rtl w:val="0"/>
        </w:rPr>
        <w:t xml:space="preserve">“Your model says extraction is always underpriced, which makes it unfalsifiable.”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10" w:before="0" w:lineRule="auto"/>
        <w:ind w:left="540" w:right="300" w:firstLine="0"/>
        <w:rPr>
          <w:i w:val="1"/>
          <w:iCs w:val="1"/>
          <w:shd w:fill="f6f6f2" w:val="clear"/>
        </w:rPr>
      </w:pPr>
      <w:r w:rsidDel="00000000" w:rsidR="00000000" w:rsidRPr="00000000">
        <w:rPr>
          <w:i w:val="1"/>
          <w:iCs w:val="1"/>
          <w:shd w:fill="f6f6f2" w:val="clear"/>
          <w:rtl w:val="0"/>
        </w:rPr>
        <w:t xml:space="preserve">You tested your model against several historical cases and found cost severance positive in all of them. But you selected cases that are famous environmental disasters. Of course cost severance is positive for Deepwater Horizon and Libby, Montana. Show me a case where your model predicts cost severance is less than or equal to zero — where the market price exceeds the true intergenerational cost. If no such case exists, the model is unfalsifiable. It is a tautology dressed as a theory: “extraction always costs more than the market says” is not a scientific claim if no possible evidence could contradict 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The objection is answerable, and the answer strengthens the framework.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The model </w:t>
      </w:r>
      <w:r w:rsidDel="00000000" w:rsidR="00000000" w:rsidRPr="00000000">
        <w:rPr>
          <w:i w:val="1"/>
          <w:iCs w:val="1"/>
          <w:shd w:fill="f6f6f2" w:val="clear"/>
          <w:rtl w:val="0"/>
        </w:rPr>
        <w:t xml:space="preserve">can</w:t>
      </w:r>
      <w:r w:rsidDel="00000000" w:rsidR="00000000" w:rsidRPr="00000000">
        <w:rPr>
          <w:shd w:fill="f6f6f2" w:val="clear"/>
          <w:rtl w:val="0"/>
        </w:rPr>
        <w:t xml:space="preserve"> produce cost severance less than or equal to zero. The definition is </w:t>
      </w:r>
      <w:r w:rsidDel="00000000" w:rsidR="00000000" w:rsidRPr="00000000">
        <w:rPr>
          <w:rFonts w:ascii="Arial Unicode MS" w:cs="Arial Unicode MS" w:eastAsia="Arial Unicode MS" w:hAnsi="Arial Unicode MS"/>
          <w:b w:val="1"/>
          <w:bCs w:val="1"/>
          <w:shd w:fill="f6f6f2" w:val="clear"/>
          <w:rtl w:val="0"/>
        </w:rPr>
        <w:t xml:space="preserve">CS = RCV − </w:t>
      </w:r>
      <w:r w:rsidDel="00000000" w:rsidR="00000000" w:rsidRPr="00000000">
        <w:rPr>
          <w:b w:val="1"/>
          <w:bCs w:val="1"/>
          <w:i w:val="1"/>
          <w:iCs w:val="1"/>
          <w:shd w:fill="f6f6f2" w:val="clear"/>
          <w:rtl w:val="0"/>
        </w:rPr>
        <w:t xml:space="preserve">B</w:t>
      </w:r>
      <w:r w:rsidDel="00000000" w:rsidR="00000000" w:rsidRPr="00000000">
        <w:rPr>
          <w:shd w:fill="f6f6f2" w:val="clear"/>
          <w:rtl w:val="0"/>
        </w:rPr>
        <w:t xml:space="preserve">. If the accountability bond </w:t>
      </w:r>
      <w:r w:rsidDel="00000000" w:rsidR="00000000" w:rsidRPr="00000000">
        <w:rPr>
          <w:i w:val="1"/>
          <w:iCs w:val="1"/>
          <w:shd w:fill="f6f6f2" w:val="clear"/>
          <w:rtl w:val="0"/>
        </w:rPr>
        <w:t xml:space="preserve">B</w:t>
      </w:r>
      <w:r w:rsidDel="00000000" w:rsidR="00000000" w:rsidRPr="00000000">
        <w:rPr>
          <w:shd w:fill="f6f6f2" w:val="clear"/>
          <w:rtl w:val="0"/>
        </w:rPr>
        <w:t xml:space="preserve"> exceeds the residual commons value, cost severance is negative - meaning the extractor has overpaid relative to the true intergenerational cost. This is theoretically possible in cases where a very stringent accountability regime is applied to a resource with high substitutability, a short externality tail, and low stock-dependent utility.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Can we find such a case? Perhaps. Consider sand mining for construction in a jurisdiction with strong environmental regulation, full reclamation bonding, and minimal community disruption. Sand is abundant, highly substitutable, and has a short externality tail. If the accountability bond includes full reclamation costs, the RCV might be quite small, and </w:t>
      </w:r>
      <w:r w:rsidDel="00000000" w:rsidR="00000000" w:rsidRPr="00000000">
        <w:rPr>
          <w:i w:val="1"/>
          <w:iCs w:val="1"/>
          <w:shd w:fill="f6f6f2" w:val="clear"/>
          <w:rtl w:val="0"/>
        </w:rPr>
        <w:t xml:space="preserve">B</w:t>
      </w:r>
      <w:r w:rsidDel="00000000" w:rsidR="00000000" w:rsidRPr="00000000">
        <w:rPr>
          <w:shd w:fill="f6f6f2" w:val="clear"/>
          <w:rtl w:val="0"/>
        </w:rPr>
        <w:t xml:space="preserve"> might approximately equal or exceed it. Cost severance approaches zero. Similarly for timber from a sustainably managed plantation forest with full ecosystem management.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So the model is falsifiable. It predicts cost severance is positive for </w:t>
      </w:r>
      <w:r w:rsidDel="00000000" w:rsidR="00000000" w:rsidRPr="00000000">
        <w:rPr>
          <w:b w:val="1"/>
          <w:bCs w:val="1"/>
          <w:shd w:fill="f6f6f2" w:val="clear"/>
          <w:rtl w:val="0"/>
        </w:rPr>
        <w:t xml:space="preserve">non-renewable resources with significant externality tails under current accountability regimes</w:t>
      </w:r>
      <w:r w:rsidDel="00000000" w:rsidR="00000000" w:rsidRPr="00000000">
        <w:rPr>
          <w:shd w:fill="f6f6f2" w:val="clear"/>
          <w:rtl w:val="0"/>
        </w:rPr>
        <w:t xml:space="preserve">. It predicts cost severance approaches zero for </w:t>
      </w:r>
      <w:r w:rsidDel="00000000" w:rsidR="00000000" w:rsidRPr="00000000">
        <w:rPr>
          <w:b w:val="1"/>
          <w:bCs w:val="1"/>
          <w:shd w:fill="f6f6f2" w:val="clear"/>
          <w:rtl w:val="0"/>
        </w:rPr>
        <w:t xml:space="preserve">renewable resources under stringent accountability regimes</w:t>
      </w:r>
      <w:r w:rsidDel="00000000" w:rsidR="00000000" w:rsidRPr="00000000">
        <w:rPr>
          <w:shd w:fill="f6f6f2" w:val="clear"/>
          <w:rtl w:val="0"/>
        </w:rPr>
        <w:t xml:space="preserve">. And it predicts that cost severance declines toward zero as accountability bonds increase, which is exactly what Norway demonstrates relative to Appalachia.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The stronger response: the claim that cost severance is positive for non-renewable extraction under existing accountability regimes is falsifiable in principle. You could find a case where existing bonds and taxes fully cover the intergenerational foreclosure cost plus the externality tail. The reason no such case exists is not that the model is rigged. It is that no existing accountability mechanism incorporates substitutability-weighted intergenerational foreclosure pricing. The instruments simply do not exist. The model’s structural prediction is that cost severance is positive because the necessary instruments have not been invented. The prediction would be falsified the day someone invents such an instrument and deploys it, producing a measured cost severance less than or equal to zero.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10" w:before="0" w:lineRule="auto"/>
        <w:ind w:left="300" w:right="300" w:firstLine="0"/>
        <w:rPr>
          <w:shd w:fill="f6f6f2" w:val="clear"/>
        </w:rPr>
      </w:pPr>
      <w:r w:rsidDel="00000000" w:rsidR="00000000" w:rsidRPr="00000000">
        <w:rPr>
          <w:shd w:fill="f6f6f2" w:val="clear"/>
          <w:rtl w:val="0"/>
        </w:rPr>
        <w:t xml:space="preserve">This is analogous to the claim “no existing airplane can fly faster than sound” made in 1940. The claim was true, not because it was unfalsifiable, but because the necessary technology had not been built. It was falsified in 1947. The RCV model’s prediction that cost severance is positive everywhere will be falsified when the first jurisdiction implements full intergenerational foreclosure pricing and demonstrates cost severance less than or equal to zero. Until then, the prediction stands — and its universality is evidence of a structural gap, not a methodological trick.</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pict>
          <v:rect style="width:0.0pt;height:1.5pt" o:hr="t" o:hrstd="t" o:hralign="center" fillcolor="#A0A0A0" stroked="f"/>
        </w:pict>
      </w:r>
      <w:r w:rsidDel="00000000" w:rsidR="00000000" w:rsidRPr="00000000">
        <w:rPr>
          <w:rtl w:val="0"/>
        </w:rPr>
        <w:t xml:space="preserve">Precisely wrong, or approximately right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methodological objections this chapter has answered are legitimate. The residual commons value model does rest on parameters whose estimates are uncertain. The range of possible outputs spans an order of magnitude for every case in which the carbon term is dominant. A reader hoping for an exact number will not find one here.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response is the response that every model of a complex system ultimately must offer. A model that is approximately right is more useful than a model that is precisely wrong. The market-price assumption that externalities are worth zero is precisely wrong. The residual commons value model is approximately right within a range that will narrow as research matures. The first is a default. The second is an instrument we can improve.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Which is the foundation the rest of the book rests on. The framework, having been built, stress-tested, and shown to produce convergent results under three independent approaches, is a tool we can now apply. The next chapter takes it off Earth — not to leave Earth behind, but to test whether the instrument is Earth-specific or universal. If the same model, with different parameters, produces defensible answers on Mars and on an asteroid and in a Mars colony and in the subsurface of Europa, we will have learned something about whether Commons Bonds is a political critique of a particular earthly arrangement or a general instrument for pricing extraction from any bounded commons.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That is what the next chapter is for.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10" w:before="0" w:lineRule="auto"/>
        <w:ind w:left="0" w:right="0" w:firstLine="0"/>
        <w:jc w:val="center"/>
        <w:rPr>
          <w:i w:val="1"/>
          <w:iCs w:val="1"/>
          <w:color w:val="555555"/>
        </w:rPr>
      </w:pPr>
      <w:r w:rsidDel="00000000" w:rsidR="00000000" w:rsidRPr="00000000">
        <w:rPr>
          <w:i w:val="1"/>
          <w:iCs w:val="1"/>
          <w:color w:val="555555"/>
          <w:rtl w:val="0"/>
        </w:rPr>
        <w:t xml:space="preserve">— End of Chapter 6 —</w:t>
      </w:r>
    </w:p>
    <w:sectPr>
      <w:pgSz w:h="15840" w:w="12720" w:orient="portrait"/>
      <w:pgMar w:bottom="1440" w:top="144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600" w:before="600" w:line="408.0000114440918"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lineRule="auto"/>
      <w:ind w:left="0" w:right="0" w:firstLine="0"/>
    </w:pPr>
    <w:rPr>
      <w:rFonts w:ascii="Arial" w:cs="Arial" w:eastAsia="Arial" w:hAnsi="Arial"/>
      <w:b w:val="1"/>
      <w:bCs w:val="1"/>
      <w:i w:val="0"/>
      <w:iCs w:val="0"/>
      <w:color w:val="111111"/>
      <w:sz w:val="56"/>
      <w:szCs w:val="5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540" w:lineRule="auto"/>
      <w:ind w:left="0" w:right="0" w:firstLine="0"/>
    </w:pPr>
    <w:rPr>
      <w:rFonts w:ascii="Arial" w:cs="Arial" w:eastAsia="Arial" w:hAnsi="Arial"/>
      <w:b w:val="1"/>
      <w:bCs w:val="1"/>
      <w:i w:val="0"/>
      <w:iCs w:val="0"/>
      <w:color w:val="111111"/>
      <w:sz w:val="40"/>
      <w:szCs w:val="4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420" w:lineRule="auto"/>
      <w:ind w:left="0" w:right="0" w:firstLine="0"/>
    </w:pPr>
    <w:rPr>
      <w:rFonts w:ascii="Arial" w:cs="Arial" w:eastAsia="Arial" w:hAnsi="Arial"/>
      <w:b w:val="1"/>
      <w:bCs w:val="1"/>
      <w:i w:val="0"/>
      <w:iCs w:val="0"/>
      <w:color w:val="111111"/>
      <w:sz w:val="34"/>
      <w:szCs w:val="3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