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Let me connect to Google Drive to pull the Chapter 9 assessment and scaffold documents.I found the critical documents. Let me pull the chapter assessment and the Chapter 9 scaffold in full.Now let me pull the full Chapter 9 scaffold document.I have the full context — the chapter assessment document confirms Chapter 9 is ready for writing with the four-step sequence (Classify → Reserve → Invest → Reassess), international dimension, political economy analysis, entering wedges, and the two counterarguments (property rights + implementation pathway). Chapter 9 is policy framework and prose — no formulas required — so I'll deliver it inline.</w:t>
      </w:r>
    </w:p>
    <w:p w:rsidR="00000000" w:rsidDel="00000000" w:rsidP="00000000" w:rsidRDefault="00000000" w:rsidRPr="00000000" w14:paraId="00000002">
      <w:pPr>
        <w:spacing w:after="240" w:before="240" w:lineRule="auto"/>
        <w:rPr/>
      </w:pPr>
      <w:r w:rsidDel="00000000" w:rsidR="00000000" w:rsidRPr="00000000">
        <w:rPr>
          <w:rtl w:val="0"/>
        </w:rPr>
        <w:t xml:space="preserve">Before writing, a few notes on what I applied from the consolidated project state across your chats, the assessment doc, and the scaffold:</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CSG, not ESG.</w:t>
      </w:r>
      <w:r w:rsidDel="00000000" w:rsidR="00000000" w:rsidRPr="00000000">
        <w:rPr>
          <w:rtl w:val="0"/>
        </w:rPr>
        <w:t xml:space="preserve"> The acronym changed (Civilizational Substitutability Gap). I used CSG throughout.</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"Value capture," not "value extraction."</w:t>
      </w:r>
      <w:r w:rsidDel="00000000" w:rsidR="00000000" w:rsidRPr="00000000">
        <w:rPr>
          <w:rtl w:val="0"/>
        </w:rPr>
        <w:t xml:space="preserve"> That sweep was flagged in the manuscript materials session.</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Book One scope.</w:t>
      </w:r>
      <w:r w:rsidDel="00000000" w:rsidR="00000000" w:rsidRPr="00000000">
        <w:rPr>
          <w:rtl w:val="0"/>
        </w:rPr>
        <w:t xml:space="preserve"> Per the Chapter 8 decision, Book One walks the McDowell County example through eight tiers. Chapter 9 continues in that scope — specific, practical, not full-economy simulation (that lives in Book Two).</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Register 2 entered through Register 1.</w:t>
      </w:r>
      <w:r w:rsidDel="00000000" w:rsidR="00000000" w:rsidRPr="00000000">
        <w:rPr>
          <w:rtl w:val="0"/>
        </w:rPr>
        <w:t xml:space="preserve"> Same pattern Chapter 8 established. Policy feels like a practical to-do list, not an abstract framework.</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The "framework, not blueprint" landing</w:t>
      </w:r>
      <w:r w:rsidDel="00000000" w:rsidR="00000000" w:rsidRPr="00000000">
        <w:rPr>
          <w:rtl w:val="0"/>
        </w:rPr>
        <w:t xml:space="preserve"> is deliberately placed as the last counterargument before the Chapter 10 transition, as the scaffold specifies.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d6i6b45k4xa" w:id="0"/>
      <w:bookmarkEnd w:id="0"/>
      <w:r w:rsidDel="00000000" w:rsidR="00000000" w:rsidRPr="00000000">
        <w:rPr>
          <w:b w:val="1"/>
          <w:bCs w:val="1"/>
          <w:sz w:val="46"/>
          <w:szCs w:val="46"/>
          <w:rtl w:val="0"/>
        </w:rPr>
        <w:t xml:space="preserve">Commons Bonds</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By Chris Winn</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45hkd7c66xls" w:id="1"/>
      <w:bookmarkEnd w:id="1"/>
      <w:r w:rsidDel="00000000" w:rsidR="00000000" w:rsidRPr="00000000">
        <w:rPr>
          <w:b w:val="1"/>
          <w:bCs w:val="1"/>
          <w:sz w:val="34"/>
          <w:szCs w:val="34"/>
          <w:rtl w:val="0"/>
        </w:rPr>
        <w:t xml:space="preserve">Chapter 9: The Renewable Imperative</w:t>
      </w:r>
    </w:p>
    <w:p w:rsidR="00000000" w:rsidDel="00000000" w:rsidP="00000000" w:rsidRDefault="00000000" w:rsidRPr="00000000" w14:paraId="0000000C">
      <w:pPr>
        <w:spacing w:after="240" w:before="240" w:lineRule="auto"/>
        <w:rPr/>
      </w:pPr>
      <w:r w:rsidDel="00000000" w:rsidR="00000000" w:rsidRPr="00000000">
        <w:rPr>
          <w:rtl w:val="0"/>
        </w:rPr>
        <w:t xml:space="preserve">Chapter 8 put a number on the invoice.</w:t>
      </w:r>
    </w:p>
    <w:p w:rsidR="00000000" w:rsidDel="00000000" w:rsidP="00000000" w:rsidRDefault="00000000" w:rsidRPr="00000000" w14:paraId="0000000D">
      <w:pPr>
        <w:spacing w:after="240" w:before="240" w:lineRule="auto"/>
        <w:rPr/>
      </w:pPr>
      <w:r w:rsidDel="00000000" w:rsidR="00000000" w:rsidRPr="00000000">
        <w:rPr>
          <w:rtl w:val="0"/>
        </w:rPr>
        <w:t xml:space="preserve">One ton of McDowell County coal, sold at the mine mouth in 1960 for four dollars and fifty cents, actually cost — conservatively, floor-estimated, tier by tier — somewhere between five hundred and six hundred dollars when every severed cost was priced honestly. The gap between those two numbers is not a rhetorical flourish. It is arithmetic. And it is replicated, with different parameters, across every extraction the economy runs.</w:t>
      </w:r>
    </w:p>
    <w:p w:rsidR="00000000" w:rsidDel="00000000" w:rsidP="00000000" w:rsidRDefault="00000000" w:rsidRPr="00000000" w14:paraId="0000000E">
      <w:pPr>
        <w:spacing w:after="240" w:before="240" w:lineRule="auto"/>
        <w:rPr/>
      </w:pPr>
      <w:r w:rsidDel="00000000" w:rsidR="00000000" w:rsidRPr="00000000">
        <w:rPr>
          <w:rtl w:val="0"/>
        </w:rPr>
        <w:t xml:space="preserve">The honest response to arithmetic like that is not outrage. It is to ask what to do about it.</w:t>
      </w:r>
    </w:p>
    <w:p w:rsidR="00000000" w:rsidDel="00000000" w:rsidP="00000000" w:rsidRDefault="00000000" w:rsidRPr="00000000" w14:paraId="0000000F">
      <w:pPr>
        <w:spacing w:after="240" w:before="240" w:lineRule="auto"/>
        <w:rPr/>
      </w:pPr>
      <w:r w:rsidDel="00000000" w:rsidR="00000000" w:rsidRPr="00000000">
        <w:rPr>
          <w:rtl w:val="0"/>
        </w:rPr>
        <w:t xml:space="preserve">This chapter is that answer — not a legislative program, not a manifesto, not a policy blueprint, but the set of practical moves a society would make if it decided to close the gap between what things cost and what we pay. The moves are sequenced. They are operable with institutions that already exist. They do not require consensus on every contested philosophical question about markets, or property, or the obligations of one generation to the next. They require only the decision to start pricing honestly, and the discipline to keep pricing honestly as we learn.</w:t>
      </w:r>
    </w:p>
    <w:p w:rsidR="00000000" w:rsidDel="00000000" w:rsidP="00000000" w:rsidRDefault="00000000" w:rsidRPr="00000000" w14:paraId="00000010">
      <w:pPr>
        <w:spacing w:after="240" w:before="240" w:lineRule="auto"/>
        <w:rPr/>
      </w:pPr>
      <w:r w:rsidDel="00000000" w:rsidR="00000000" w:rsidRPr="00000000">
        <w:rPr>
          <w:rtl w:val="0"/>
        </w:rPr>
        <w:t xml:space="preserve">The sequence is four steps. Classify. Reserve. Invest. Reassess.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fhp2097sht9a" w:id="2"/>
      <w:bookmarkEnd w:id="2"/>
      <w:r w:rsidDel="00000000" w:rsidR="00000000" w:rsidRPr="00000000">
        <w:rPr>
          <w:b w:val="1"/>
          <w:bCs w:val="1"/>
          <w:color w:val="000000"/>
          <w:sz w:val="26"/>
          <w:szCs w:val="26"/>
          <w:rtl w:val="0"/>
        </w:rPr>
        <w:t xml:space="preserve">Step 1 — Classify</w:t>
      </w:r>
    </w:p>
    <w:p w:rsidR="00000000" w:rsidDel="00000000" w:rsidP="00000000" w:rsidRDefault="00000000" w:rsidRPr="00000000" w14:paraId="00000013">
      <w:pPr>
        <w:spacing w:after="240" w:before="240" w:lineRule="auto"/>
        <w:rPr/>
      </w:pPr>
      <w:r w:rsidDel="00000000" w:rsidR="00000000" w:rsidRPr="00000000">
        <w:rPr>
          <w:rtl w:val="0"/>
        </w:rPr>
        <w:t xml:space="preserve">Before anything else, sort the cabinet.</w:t>
      </w:r>
    </w:p>
    <w:p w:rsidR="00000000" w:rsidDel="00000000" w:rsidP="00000000" w:rsidRDefault="00000000" w:rsidRPr="00000000" w14:paraId="00000014">
      <w:pPr>
        <w:spacing w:after="240" w:before="240" w:lineRule="auto"/>
        <w:rPr/>
      </w:pPr>
      <w:r w:rsidDel="00000000" w:rsidR="00000000" w:rsidRPr="00000000">
        <w:rPr>
          <w:rtl w:val="0"/>
        </w:rPr>
        <w:t xml:space="preserve">Not every resource carries the same foreclosure risk. A ton of iron ore extracted today imposes externality costs — the mine pit, the tailings, the emissions of processing — but iron is abundant on this planet and on most of the rocky bodies around it, substitutes are conceivable for almost every application, and extracting more iron tomorrow does not meaningfully reduce what remains for the century after. Coal is similar in abundance, different in externality tail, but substitutable in principle — we already know how to heat a house and power a grid without it. These resources are low-CSG. Price their externalities, tax their extraction at a rate that reflects the damage tail, and the framework's job is mostly done.</w:t>
      </w:r>
    </w:p>
    <w:p w:rsidR="00000000" w:rsidDel="00000000" w:rsidP="00000000" w:rsidRDefault="00000000" w:rsidRPr="00000000" w14:paraId="00000015">
      <w:pPr>
        <w:spacing w:after="240" w:before="240" w:lineRule="auto"/>
        <w:rPr/>
      </w:pPr>
      <w:r w:rsidDel="00000000" w:rsidR="00000000" w:rsidRPr="00000000">
        <w:rPr>
          <w:rtl w:val="0"/>
        </w:rPr>
        <w:t xml:space="preserve">Other resources are not like that.</w:t>
      </w:r>
    </w:p>
    <w:p w:rsidR="00000000" w:rsidDel="00000000" w:rsidP="00000000" w:rsidRDefault="00000000" w:rsidRPr="00000000" w14:paraId="00000016">
      <w:pPr>
        <w:spacing w:after="240" w:before="240" w:lineRule="auto"/>
        <w:rPr/>
      </w:pPr>
      <w:r w:rsidDel="00000000" w:rsidR="00000000" w:rsidRPr="00000000">
        <w:rPr>
          <w:rtl w:val="0"/>
        </w:rPr>
        <w:t xml:space="preserve">Rare earth elements — the seventeen metals whose magnetic and optical properties underwrite nearly every piece of advanced electronics — are geologically concentrated in a small number of deposits, chemically difficult to substitute, and required for technologies humanity has not yet invented but will almost certainly need. Platinum group metals are similar. Helium-3, should fusion reactors ever run on it, is effectively absent from Earth's atmosphere and abundant in lunar regolith, which means terrestrial reserves of helium in general are a resource we may want our descendants to still have access to. Phosphorus, essential for agriculture, exists in workable concentrations at only a few places on the planet and has no substitute for the biological role it plays. Groundwater in fossil aquifers — the Ogallala, the North China Plain, the Guarani — regenerates on timescales of millennia and is being withdrawn on timescales of decades.</w:t>
      </w:r>
    </w:p>
    <w:p w:rsidR="00000000" w:rsidDel="00000000" w:rsidP="00000000" w:rsidRDefault="00000000" w:rsidRPr="00000000" w14:paraId="00000017">
      <w:pPr>
        <w:spacing w:after="240" w:before="240" w:lineRule="auto"/>
        <w:rPr/>
      </w:pPr>
      <w:r w:rsidDel="00000000" w:rsidR="00000000" w:rsidRPr="00000000">
        <w:rPr>
          <w:rtl w:val="0"/>
        </w:rPr>
        <w:t xml:space="preserve">These are high-CSG resources. They are the ones a civilization that plans to exist in two hundred years would want to hold in reserve.</w:t>
      </w:r>
    </w:p>
    <w:p w:rsidR="00000000" w:rsidDel="00000000" w:rsidP="00000000" w:rsidRDefault="00000000" w:rsidRPr="00000000" w14:paraId="00000018">
      <w:pPr>
        <w:spacing w:after="240" w:before="240" w:lineRule="auto"/>
        <w:rPr/>
      </w:pPr>
      <w:r w:rsidDel="00000000" w:rsidR="00000000" w:rsidRPr="00000000">
        <w:rPr>
          <w:rtl w:val="0"/>
        </w:rPr>
        <w:t xml:space="preserve">Classification is not a mysterious exercise. Materials scientists, energy economists, agronomists, aerospace engineers, and hydrologists already have most of the information required to rank any given resource by its substitutability function, its stock dynamics, its externality tail, and the criticality of its likely future uses. The European Union publishes a Critical Raw Materials list that does a portion of this work. The United States Geological Survey publishes annual assessments that do another portion. What does not exist yet is a single, legible ranking that explicitly integrates all four components of residual commons value into a single CSG score. Producing one is a matter of months, not decades. It has not been done mostly because no one has asked for it in exactly this form.</w:t>
      </w:r>
    </w:p>
    <w:p w:rsidR="00000000" w:rsidDel="00000000" w:rsidP="00000000" w:rsidRDefault="00000000" w:rsidRPr="00000000" w14:paraId="00000019">
      <w:pPr>
        <w:spacing w:after="240" w:before="240" w:lineRule="auto"/>
        <w:rPr/>
      </w:pPr>
      <w:r w:rsidDel="00000000" w:rsidR="00000000" w:rsidRPr="00000000">
        <w:rPr>
          <w:rtl w:val="0"/>
        </w:rPr>
        <w:t xml:space="preserve">The classification need not be perfect to be useful. A rough sort into three bins — low, medium, high CSG — is enough to drive every policy decision that follows. Low-CSG resources get the carbon-tax treatment: price the externality tail, require adequate reclamation bonding, let the market allocate within a corrected price signal. Medium-CSG resources get progressive extraction rates and sovereign wealth mechanisms like Norway's. High-CSG resources get the one move the framework is organized around: reservation.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ltxi1qepjlim" w:id="3"/>
      <w:bookmarkEnd w:id="3"/>
      <w:r w:rsidDel="00000000" w:rsidR="00000000" w:rsidRPr="00000000">
        <w:rPr>
          <w:b w:val="1"/>
          <w:bCs w:val="1"/>
          <w:color w:val="000000"/>
          <w:sz w:val="26"/>
          <w:szCs w:val="26"/>
          <w:rtl w:val="0"/>
        </w:rPr>
        <w:t xml:space="preserve">Step 2 — Reserve</w:t>
      </w:r>
    </w:p>
    <w:p w:rsidR="00000000" w:rsidDel="00000000" w:rsidP="00000000" w:rsidRDefault="00000000" w:rsidRPr="00000000" w14:paraId="0000001C">
      <w:pPr>
        <w:spacing w:after="240" w:before="240" w:lineRule="auto"/>
        <w:rPr/>
      </w:pPr>
      <w:r w:rsidDel="00000000" w:rsidR="00000000" w:rsidRPr="00000000">
        <w:rPr>
          <w:rtl w:val="0"/>
        </w:rPr>
        <w:t xml:space="preserve">Here is the idea that sounds strange on first hearing and obvious on second.</w:t>
      </w:r>
    </w:p>
    <w:p w:rsidR="00000000" w:rsidDel="00000000" w:rsidP="00000000" w:rsidRDefault="00000000" w:rsidRPr="00000000" w14:paraId="0000001D">
      <w:pPr>
        <w:spacing w:after="240" w:before="240" w:lineRule="auto"/>
        <w:rPr/>
      </w:pPr>
      <w:r w:rsidDel="00000000" w:rsidR="00000000" w:rsidRPr="00000000">
        <w:rPr>
          <w:rtl w:val="0"/>
        </w:rPr>
        <w:t xml:space="preserve">For high-CSG resources, designate a fraction of known economic deposits as strategic reserve. Not extract them and warehouse them. Not stockpile them against a shortage. Leave them in the ground.</w:t>
      </w:r>
    </w:p>
    <w:p w:rsidR="00000000" w:rsidDel="00000000" w:rsidP="00000000" w:rsidRDefault="00000000" w:rsidRPr="00000000" w14:paraId="0000001E">
      <w:pPr>
        <w:spacing w:after="240" w:before="240" w:lineRule="auto"/>
        <w:rPr/>
      </w:pPr>
      <w:r w:rsidDel="00000000" w:rsidR="00000000" w:rsidRPr="00000000">
        <w:rPr>
          <w:rtl w:val="0"/>
        </w:rPr>
        <w:t xml:space="preserve">The ground is free, permanent storage. It requires no refrigeration, no security, no insurance premiums against the warehouse burning down. Platinum that has sat in South African bushveld for two billion years will sit there another two billion unless someone goes in and takes it out. Rare earth elements in the Bayan Obo deposit are as stable today as they were when the deposit formed. Helium trapped in natural gas reservoirs requires no attention until the moment it is extracted and vented. The cost of in-situ preservation, for almost every resource in this category, is exactly the foregone revenue from the reserved fraction. Nothing else.</w:t>
      </w:r>
    </w:p>
    <w:p w:rsidR="00000000" w:rsidDel="00000000" w:rsidP="00000000" w:rsidRDefault="00000000" w:rsidRPr="00000000" w14:paraId="0000001F">
      <w:pPr>
        <w:spacing w:after="240" w:before="240" w:lineRule="auto"/>
        <w:rPr/>
      </w:pPr>
      <w:r w:rsidDel="00000000" w:rsidR="00000000" w:rsidRPr="00000000">
        <w:rPr>
          <w:rtl w:val="0"/>
        </w:rPr>
        <w:t xml:space="preserve">That cost, for most critical minerals, is small. The reason it is small is that extraction capacity is usually constrained not by total deposit size but by current demand and current mining throughput. If the United States Geological Survey identifies, say, thirty million metric tons of economically recoverable rare earth reserves and current global annual production is around three hundred thousand metric tons, designating twenty percent of reserves as strategic — six million tons, twenty years of current production held in reserve — costs essentially nothing in the near term. The thirty-year supply that remains available for extraction still dwarfs the demand schedule, and the preserved fraction simply becomes unavailable to future extraction decisions that our descendants would in any case have made for themselves.</w:t>
      </w:r>
    </w:p>
    <w:p w:rsidR="00000000" w:rsidDel="00000000" w:rsidP="00000000" w:rsidRDefault="00000000" w:rsidRPr="00000000" w14:paraId="00000020">
      <w:pPr>
        <w:spacing w:after="240" w:before="240" w:lineRule="auto"/>
        <w:rPr/>
      </w:pPr>
      <w:r w:rsidDel="00000000" w:rsidR="00000000" w:rsidRPr="00000000">
        <w:rPr>
          <w:rtl w:val="0"/>
        </w:rPr>
        <w:t xml:space="preserve">The reserve is, in effect, a free option. It costs the foregone revenue on whatever fraction would have been extracted anyway within the current window, which — at realistic discount rates over the relevant horizon — is a small fraction of total resource value. Its payoff is the full substitution value of the preserved stock if and when future scarcity develops. It appreciates as the non-reserved stock depletes. It depreciates only if and when successful substitution makes the resource unnecessary, at which point the reserve can be reclassified and released. In financial terms, it is a hedge that costs almost nothing to hold and pays off exactly when needed.</w:t>
      </w:r>
    </w:p>
    <w:p w:rsidR="00000000" w:rsidDel="00000000" w:rsidP="00000000" w:rsidRDefault="00000000" w:rsidRPr="00000000" w14:paraId="00000021">
      <w:pPr>
        <w:spacing w:after="240" w:before="240" w:lineRule="auto"/>
        <w:rPr/>
      </w:pPr>
      <w:r w:rsidDel="00000000" w:rsidR="00000000" w:rsidRPr="00000000">
        <w:rPr>
          <w:rtl w:val="0"/>
        </w:rPr>
        <w:t xml:space="preserve">And it requires no new international institution. Strategic petroleum reserves already exist in most industrial countries. China has been quietly building rare earth reserves for two decades. The United States has at various points held strategic stockpiles of helium, tungsten, cobalt, and several dozen other materials. The institutional architecture for reservation exists. What the framework adds is a coherent principle for deciding </w:t>
      </w:r>
      <w:r w:rsidDel="00000000" w:rsidR="00000000" w:rsidRPr="00000000">
        <w:rPr>
          <w:i w:val="1"/>
          <w:iCs w:val="1"/>
          <w:rtl w:val="0"/>
        </w:rPr>
        <w:t xml:space="preserve">what</w:t>
      </w:r>
      <w:r w:rsidDel="00000000" w:rsidR="00000000" w:rsidRPr="00000000">
        <w:rPr>
          <w:rtl w:val="0"/>
        </w:rPr>
        <w:t xml:space="preserve"> to reserve and </w:t>
      </w:r>
      <w:r w:rsidDel="00000000" w:rsidR="00000000" w:rsidRPr="00000000">
        <w:rPr>
          <w:i w:val="1"/>
          <w:iCs w:val="1"/>
          <w:rtl w:val="0"/>
        </w:rPr>
        <w:t xml:space="preserve">how much</w:t>
      </w:r>
      <w:r w:rsidDel="00000000" w:rsidR="00000000" w:rsidRPr="00000000">
        <w:rPr>
          <w:rtl w:val="0"/>
        </w:rPr>
        <w:t xml:space="preserve"> — the CSG ranking from Step 1, applied to every high-CSG resource class, with reserved fractions sized to the asymmetric regret of the decision.</w:t>
      </w:r>
    </w:p>
    <w:p w:rsidR="00000000" w:rsidDel="00000000" w:rsidP="00000000" w:rsidRDefault="00000000" w:rsidRPr="00000000" w14:paraId="00000022">
      <w:pPr>
        <w:spacing w:after="240" w:before="240" w:lineRule="auto"/>
        <w:rPr/>
      </w:pPr>
      <w:r w:rsidDel="00000000" w:rsidR="00000000" w:rsidRPr="00000000">
        <w:rPr>
          <w:rtl w:val="0"/>
        </w:rPr>
        <w:t xml:space="preserve">Asymmetric regret is the principle that does most of the work. If the reserve turns out to have been unnecessary — substitutes mature, demand falls, new deposits are discovered elsewhere in the solar system — the cost of having reserved was a modest amount of foregone revenue, distributed across a century, spread across the global economy. If the reserve turns out to have been necessary — some critical application is identified in 2150 for a material our grandchildren can no longer access because we dug all of it up — the cost of not having reserved is civilizational. The first error is measured in dollars. The second is measured in possibilities foreclosed forever. When the insurance is cheap and the downside is unbounded, the rational move is obvious.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ts85qvfpmn0u" w:id="4"/>
      <w:bookmarkEnd w:id="4"/>
      <w:r w:rsidDel="00000000" w:rsidR="00000000" w:rsidRPr="00000000">
        <w:rPr>
          <w:b w:val="1"/>
          <w:bCs w:val="1"/>
          <w:color w:val="000000"/>
          <w:sz w:val="26"/>
          <w:szCs w:val="26"/>
          <w:rtl w:val="0"/>
        </w:rPr>
        <w:t xml:space="preserve">Step 3 — Invest</w:t>
      </w:r>
    </w:p>
    <w:p w:rsidR="00000000" w:rsidDel="00000000" w:rsidP="00000000" w:rsidRDefault="00000000" w:rsidRPr="00000000" w14:paraId="00000025">
      <w:pPr>
        <w:spacing w:after="240" w:before="240" w:lineRule="auto"/>
        <w:rPr/>
      </w:pPr>
      <w:r w:rsidDel="00000000" w:rsidR="00000000" w:rsidRPr="00000000">
        <w:rPr>
          <w:rtl w:val="0"/>
        </w:rPr>
        <w:t xml:space="preserve">Reservation alone does not complete the framework. It buys time. The question is what we do with that time.</w:t>
      </w:r>
    </w:p>
    <w:p w:rsidR="00000000" w:rsidDel="00000000" w:rsidP="00000000" w:rsidRDefault="00000000" w:rsidRPr="00000000" w14:paraId="00000026">
      <w:pPr>
        <w:spacing w:after="240" w:before="240" w:lineRule="auto"/>
        <w:rPr/>
      </w:pPr>
      <w:r w:rsidDel="00000000" w:rsidR="00000000" w:rsidRPr="00000000">
        <w:rPr>
          <w:rtl w:val="0"/>
        </w:rPr>
        <w:t xml:space="preserve">The answer, the model insists, is two simultaneous investment priorities.</w:t>
      </w:r>
    </w:p>
    <w:p w:rsidR="00000000" w:rsidDel="00000000" w:rsidP="00000000" w:rsidRDefault="00000000" w:rsidRPr="00000000" w14:paraId="00000027">
      <w:pPr>
        <w:spacing w:after="240" w:before="240" w:lineRule="auto"/>
        <w:rPr/>
      </w:pPr>
      <w:r w:rsidDel="00000000" w:rsidR="00000000" w:rsidRPr="00000000">
        <w:rPr>
          <w:rtl w:val="0"/>
        </w:rPr>
        <w:t xml:space="preserve">The first is renewable substitutes — not only renewable energy, though that is the most visible case, but the full substitutability research agenda. Photovoltaic and wind and storage to displace coal, oil, and natural gas. Alternative battery chemistries — sodium, iron-air, solid state — to reduce pressure on lithium and cobalt. Recycled and synthesized material flows to reduce pressure on virgin rare earths. Regenerative agricultural practices to reduce pressure on fossil aquifers and phosphate deposits. Plant-based and cellular protein to reduce pressure on collapsing fisheries. The details vary by resource. The structural claim does not.</w:t>
      </w:r>
    </w:p>
    <w:p w:rsidR="00000000" w:rsidDel="00000000" w:rsidP="00000000" w:rsidRDefault="00000000" w:rsidRPr="00000000" w14:paraId="00000028">
      <w:pPr>
        <w:spacing w:after="240" w:before="240" w:lineRule="auto"/>
        <w:rPr/>
      </w:pPr>
      <w:r w:rsidDel="00000000" w:rsidR="00000000" w:rsidRPr="00000000">
        <w:rPr>
          <w:rtl w:val="0"/>
        </w:rPr>
        <w:t xml:space="preserve">Every dollar of renewable research does three things at once. It raises the substitutability function — the probability that a functionally adequate substitute exists at any given future time — which directly lowers the residual commons value of every high-CSG resource whose applications that substitute touches. It preserves the optionality of the strategic reserve, because a reserve that is never needed can eventually be released for other uses. And it reduces the externality tail of future extraction, because the less we need to extract, the less damage our extraction inflicts on the communities and ecosystems that bear the direct costs. No other investment class does all three at once. Not infrastructure. Not defense. Not even education, though education compounds with all of them. Renewable substitution research is the only expenditure that simultaneously reduces present harm, future harm, and future need.</w:t>
      </w:r>
    </w:p>
    <w:p w:rsidR="00000000" w:rsidDel="00000000" w:rsidP="00000000" w:rsidRDefault="00000000" w:rsidRPr="00000000" w14:paraId="00000029">
      <w:pPr>
        <w:spacing w:after="240" w:before="240" w:lineRule="auto"/>
        <w:rPr/>
      </w:pPr>
      <w:r w:rsidDel="00000000" w:rsidR="00000000" w:rsidRPr="00000000">
        <w:rPr>
          <w:rtl w:val="0"/>
        </w:rPr>
        <w:t xml:space="preserve">The second investment priority is alternative supply sources — what gets called, in compressed form, space access. This is the piece of the framework that often sounds science-fictional and isn't. The argument is purely one of comparative residual commons value. An asteroid has no communities bearing spatial cost severance. It has no ecosystems whose collapse cascades through a biosphere. Its externality tail is measured against an empty rock in an empty orbit. The CSG of a lifeless body is, by construction, very low. A kilogram of nickel lifted from 16 Psyche and returned to Earth orbit will eventually, as launch costs continue to decline, compete on total cost with a kilogram of nickel mined from a terrestrial deposit whose full residual commons value has been priced honestly. The model says nothing about when that crossover happens. It says only that the eventual destination of industrial extraction, for the most abundant materials we use, is off this planet. Investing in the capabilities that reach that destination sooner is investing in a future where Earth's deposits do not need to be extracted at all.</w:t>
      </w:r>
    </w:p>
    <w:p w:rsidR="00000000" w:rsidDel="00000000" w:rsidP="00000000" w:rsidRDefault="00000000" w:rsidRPr="00000000" w14:paraId="0000002A">
      <w:pPr>
        <w:spacing w:after="240" w:before="240" w:lineRule="auto"/>
        <w:rPr/>
      </w:pPr>
      <w:r w:rsidDel="00000000" w:rsidR="00000000" w:rsidRPr="00000000">
        <w:rPr>
          <w:rtl w:val="0"/>
        </w:rPr>
        <w:t xml:space="preserve">This is the "renewable imperative" stated plainly. The model does not say never extract. It says extract from the lowest-RCV source first. For most industrial materials, over the next century, the lowest-RCV source will be renewable substitution. For a narrower set of materials — the ones we cannot substitute and cannot recycle indefinitely — the lowest-RCV source will eventually be extraterrestrial. Neither conclusion was arrived at by politics. Both fall out of the arithmetic once extraction is priced honestly.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zhb95me3qksx" w:id="5"/>
      <w:bookmarkEnd w:id="5"/>
      <w:r w:rsidDel="00000000" w:rsidR="00000000" w:rsidRPr="00000000">
        <w:rPr>
          <w:b w:val="1"/>
          <w:bCs w:val="1"/>
          <w:color w:val="000000"/>
          <w:sz w:val="26"/>
          <w:szCs w:val="26"/>
          <w:rtl w:val="0"/>
        </w:rPr>
        <w:t xml:space="preserve">Step 4 — Reassess</w:t>
      </w:r>
    </w:p>
    <w:p w:rsidR="00000000" w:rsidDel="00000000" w:rsidP="00000000" w:rsidRDefault="00000000" w:rsidRPr="00000000" w14:paraId="0000002D">
      <w:pPr>
        <w:spacing w:after="240" w:before="240" w:lineRule="auto"/>
        <w:rPr/>
      </w:pPr>
      <w:r w:rsidDel="00000000" w:rsidR="00000000" w:rsidRPr="00000000">
        <w:rPr>
          <w:rtl w:val="0"/>
        </w:rPr>
        <w:t xml:space="preserve">Nothing about this is static.</w:t>
      </w:r>
    </w:p>
    <w:p w:rsidR="00000000" w:rsidDel="00000000" w:rsidP="00000000" w:rsidRDefault="00000000" w:rsidRPr="00000000" w14:paraId="0000002E">
      <w:pPr>
        <w:spacing w:after="240" w:before="240" w:lineRule="auto"/>
        <w:rPr/>
      </w:pPr>
      <w:r w:rsidDel="00000000" w:rsidR="00000000" w:rsidRPr="00000000">
        <w:rPr>
          <w:rtl w:val="0"/>
        </w:rPr>
        <w:t xml:space="preserve">A resource classified today as high-CSG may become low-CSG in thirty years if a substitutability breakthrough matures. Rare earth demand could be halved by a successful non-rare-earth magnet chemistry. Lithium demand could be structurally reduced by sodium-ion batteries reaching grid-storage parity. Helium could be synthesized economically, or made unnecessary by a fusion approach that doesn't use it. When that happens, the reserved fraction can be reclassified. Some of it may be released to the extraction market. Some of it may be permanently preserved as a hedge against the substitute's failure modes. The point is that the classification is a living document, maintained by the same scientific bodies that produce it, reassessed on a regular cadence — every five or ten years, probably, at the pace at which materials science actually moves.</w:t>
      </w:r>
    </w:p>
    <w:p w:rsidR="00000000" w:rsidDel="00000000" w:rsidP="00000000" w:rsidRDefault="00000000" w:rsidRPr="00000000" w14:paraId="0000002F">
      <w:pPr>
        <w:spacing w:after="240" w:before="240" w:lineRule="auto"/>
        <w:rPr/>
      </w:pPr>
      <w:r w:rsidDel="00000000" w:rsidR="00000000" w:rsidRPr="00000000">
        <w:rPr>
          <w:rtl w:val="0"/>
        </w:rPr>
        <w:t xml:space="preserve">Reassessment also runs in the other direction. A resource classified today as low-CSG may turn out to be higher than we thought, as new uses are discovered or as the externality tail lengthens beyond what current models capture. Cobalt looked abundant twenty years ago. It has since been reclassified by most industrial nations as strategically critical. Helium was once so cheap that the United States government literally gave it away; it is now priced with the seriousness its unique properties deserve. The framework does not require us to get the classification right on the first try. It requires us to keep learning, and to adjust the reservation policy as the learning matures.</w:t>
      </w:r>
    </w:p>
    <w:p w:rsidR="00000000" w:rsidDel="00000000" w:rsidP="00000000" w:rsidRDefault="00000000" w:rsidRPr="00000000" w14:paraId="00000030">
      <w:pPr>
        <w:spacing w:after="240" w:before="240" w:lineRule="auto"/>
        <w:rPr/>
      </w:pPr>
      <w:r w:rsidDel="00000000" w:rsidR="00000000" w:rsidRPr="00000000">
        <w:rPr>
          <w:rtl w:val="0"/>
        </w:rPr>
        <w:t xml:space="preserve">The discipline this imposes is modest. Most of the institutional machinery already exists — the USGS, the European Commission's Joint Research Centre, the International Energy Agency, the national strategic stockpile programs. What is missing is not the capacity to reassess but the framework within which reassessment matters. The CSG-driven reserve is that framework.</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xys17p6un1hj" w:id="6"/>
      <w:bookmarkEnd w:id="6"/>
      <w:r w:rsidDel="00000000" w:rsidR="00000000" w:rsidRPr="00000000">
        <w:rPr>
          <w:b w:val="1"/>
          <w:bCs w:val="1"/>
          <w:color w:val="000000"/>
          <w:sz w:val="26"/>
          <w:szCs w:val="26"/>
          <w:rtl w:val="0"/>
        </w:rPr>
        <w:t xml:space="preserve">The international dimension</w:t>
      </w:r>
    </w:p>
    <w:p w:rsidR="00000000" w:rsidDel="00000000" w:rsidP="00000000" w:rsidRDefault="00000000" w:rsidRPr="00000000" w14:paraId="00000033">
      <w:pPr>
        <w:spacing w:after="240" w:before="240" w:lineRule="auto"/>
        <w:rPr/>
      </w:pPr>
      <w:r w:rsidDel="00000000" w:rsidR="00000000" w:rsidRPr="00000000">
        <w:rPr>
          <w:rtl w:val="0"/>
        </w:rPr>
        <w:t xml:space="preserve">Cost severance does not stop at national borders. In fact, borders are among the mechanisms by which it operates.</w:t>
      </w:r>
    </w:p>
    <w:p w:rsidR="00000000" w:rsidDel="00000000" w:rsidP="00000000" w:rsidRDefault="00000000" w:rsidRPr="00000000" w14:paraId="00000034">
      <w:pPr>
        <w:spacing w:after="240" w:before="240" w:lineRule="auto"/>
        <w:rPr/>
      </w:pPr>
      <w:r w:rsidDel="00000000" w:rsidR="00000000" w:rsidRPr="00000000">
        <w:rPr>
          <w:rtl w:val="0"/>
        </w:rPr>
        <w:t xml:space="preserve">The rare earths in an iPhone manufactured in Zhengzhou and sold in California were mined in Baotou, in Inner Mongolia, where the tailings pond — seven square miles of radioactive slurry — borders villages whose residents breathe the airborne dust. The oil refined into diesel for a European truck may have been pumped from the Niger Delta, where fifty years of spillage have rendered thousands of square kilometers of mangrove and farmland uninhabitable. The cobalt in nearly every lithium-ion battery on the planet was, until very recently, overwhelmingly extracted from the Democratic Republic of Congo, where an estimated forty thousand children have worked in artisanal mines. The people who capture the value of these materials do not share a border with the people who bear the costs. They often do not share a continent.</w:t>
      </w:r>
    </w:p>
    <w:p w:rsidR="00000000" w:rsidDel="00000000" w:rsidP="00000000" w:rsidRDefault="00000000" w:rsidRPr="00000000" w14:paraId="00000035">
      <w:pPr>
        <w:spacing w:after="240" w:before="240" w:lineRule="auto"/>
        <w:rPr/>
      </w:pPr>
      <w:r w:rsidDel="00000000" w:rsidR="00000000" w:rsidRPr="00000000">
        <w:rPr>
          <w:rtl w:val="0"/>
        </w:rPr>
        <w:t xml:space="preserve">International trade, as it currently operates, is among other things a cost severance delivery system. It permits a consumer in a wealthy country to purchase a product whose full residual commons value has been paid entirely by people the consumer will never meet, in places they will never visit, in amounts they have no way of perceiving. The geographic distance between beneficiary and bearer is what makes the severance possible. If the tailings pond were in New Jersey and the refinery in Connecticut, the framework's effects would be felt immediately in domestic politics. Because the tailings pond is in Inner Mongolia and the refinery in the Niger Delta, the politics are displaced.</w:t>
      </w:r>
    </w:p>
    <w:p w:rsidR="00000000" w:rsidDel="00000000" w:rsidP="00000000" w:rsidRDefault="00000000" w:rsidRPr="00000000" w14:paraId="00000036">
      <w:pPr>
        <w:spacing w:after="240" w:before="240" w:lineRule="auto"/>
        <w:rPr/>
      </w:pPr>
      <w:r w:rsidDel="00000000" w:rsidR="00000000" w:rsidRPr="00000000">
        <w:rPr>
          <w:rtl w:val="0"/>
        </w:rPr>
        <w:t xml:space="preserve">Honest pricing at the national level does not, by itself, solve this. A country that internalizes the residual commons value of domestic extraction while continuing to import materials whose foreign extraction costs were never priced has not actually reduced severance — it has merely relocated where the severance enters its own economy. The import gap is the new problem.</w:t>
      </w:r>
    </w:p>
    <w:p w:rsidR="00000000" w:rsidDel="00000000" w:rsidP="00000000" w:rsidRDefault="00000000" w:rsidRPr="00000000" w14:paraId="00000037">
      <w:pPr>
        <w:spacing w:after="240" w:before="240" w:lineRule="auto"/>
        <w:rPr/>
      </w:pPr>
      <w:r w:rsidDel="00000000" w:rsidR="00000000" w:rsidRPr="00000000">
        <w:rPr>
          <w:rtl w:val="0"/>
        </w:rPr>
        <w:t xml:space="preserve">The framework's response is not a treaty, which the book does not pretend to draft. It is a principle: a country serious about closing its cost severance gap must apply the pricing to imports as well as to domestic extraction. Mechanically, this looks like a border adjustment — a tariff scaled to the residual commons value that the exporting country failed to price. The European Union's Carbon Border Adjustment Mechanism, introduced in staged form beginning in 2023 and fully operational in 2026, is a partial version of exactly this idea for carbon alone. It is not theoretical. It exists. It works imperfectly, as every institution built inside political constraints works imperfectly. But it demonstrates that border adjustment is legally, administratively, and diplomatically feasible when the jurisdiction doing it is large enough to matter.</w:t>
      </w:r>
    </w:p>
    <w:p w:rsidR="00000000" w:rsidDel="00000000" w:rsidP="00000000" w:rsidRDefault="00000000" w:rsidRPr="00000000" w14:paraId="00000038">
      <w:pPr>
        <w:spacing w:after="240" w:before="240" w:lineRule="auto"/>
        <w:rPr/>
      </w:pPr>
      <w:r w:rsidDel="00000000" w:rsidR="00000000" w:rsidRPr="00000000">
        <w:rPr>
          <w:rtl w:val="0"/>
        </w:rPr>
        <w:t xml:space="preserve">A generalized border adjustment — scaled to CSG, applied to a widening set of resource categories as the classification matures — is the international-dimension analog of what national pricing does domestically. It makes imported goods bear the same cost severance charge that domestic production would. It removes the incentive to relocate extraction to the jurisdictions with the weakest accountability. Over time, it raises the floor for every exporting economy, because the cheapest path to retaining market access in the border-adjusting countries is to internalize the costs at the source and capture the revenue domestically rather than surrendering it to the tariff.</w:t>
      </w:r>
    </w:p>
    <w:p w:rsidR="00000000" w:rsidDel="00000000" w:rsidP="00000000" w:rsidRDefault="00000000" w:rsidRPr="00000000" w14:paraId="00000039">
      <w:pPr>
        <w:spacing w:after="240" w:before="240" w:lineRule="auto"/>
        <w:rPr/>
      </w:pPr>
      <w:r w:rsidDel="00000000" w:rsidR="00000000" w:rsidRPr="00000000">
        <w:rPr>
          <w:rtl w:val="0"/>
        </w:rPr>
        <w:t xml:space="preserve">Is this a treaty? No. Is it coordination? Partially. Is it unilateral action that eventually drags other jurisdictions along? Mostly. The international dimension of the framework does not wait for the world to agree. It begins where any country or bloc decides to begin, and it expands by the ordinary mechanics of market access. That is how carbon pricing has spread from a handful of jurisdictions in the early 2000s to more than seventy today. CSG pricing can follow the same path.</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g4ncdd8vsxq3" w:id="7"/>
      <w:bookmarkEnd w:id="7"/>
      <w:r w:rsidDel="00000000" w:rsidR="00000000" w:rsidRPr="00000000">
        <w:rPr>
          <w:b w:val="1"/>
          <w:bCs w:val="1"/>
          <w:color w:val="000000"/>
          <w:sz w:val="26"/>
          <w:szCs w:val="26"/>
          <w:rtl w:val="0"/>
        </w:rPr>
        <w:t xml:space="preserve">The political economy of resistance</w:t>
      </w:r>
    </w:p>
    <w:p w:rsidR="00000000" w:rsidDel="00000000" w:rsidP="00000000" w:rsidRDefault="00000000" w:rsidRPr="00000000" w14:paraId="0000003C">
      <w:pPr>
        <w:spacing w:after="240" w:before="240" w:lineRule="auto"/>
        <w:rPr/>
      </w:pPr>
      <w:r w:rsidDel="00000000" w:rsidR="00000000" w:rsidRPr="00000000">
        <w:rPr>
          <w:rtl w:val="0"/>
        </w:rPr>
        <w:t xml:space="preserve">It is worth saying aloud why none of this has happened yet, and why the inertia is deeper than the idea is new.</w:t>
      </w:r>
    </w:p>
    <w:p w:rsidR="00000000" w:rsidDel="00000000" w:rsidP="00000000" w:rsidRDefault="00000000" w:rsidRPr="00000000" w14:paraId="0000003D">
      <w:pPr>
        <w:spacing w:after="240" w:before="240" w:lineRule="auto"/>
        <w:rPr/>
      </w:pPr>
      <w:r w:rsidDel="00000000" w:rsidR="00000000" w:rsidRPr="00000000">
        <w:rPr>
          <w:rtl w:val="0"/>
        </w:rPr>
        <w:t xml:space="preserve">The ten to fifteen trillion dollars per year of severed costs that Chapter 8 identified are not a deadweight loss. They are a wealth transfer. Someone receives them. The beneficiaries are concentrated, organized, well-represented in every jurisdiction that matters, and capable of deploying resources in defense of the arrangement. The bearers of severed costs — coal country residents, the Baotou villagers, the Niger Delta farmers, future generations who do not yet exist and cannot currently vote — are diffuse, unorganized, and, in the case of the unborn, entirely unrepresented. The arithmetic of the political economy is simple. A concentrated interest defending a billion-dollar position reliably defeats a diffuse interest trying to reclaim a hundred-dollar share, even when the aggregate loss is orders of magnitude larger than the aggregate gain.</w:t>
      </w:r>
    </w:p>
    <w:p w:rsidR="00000000" w:rsidDel="00000000" w:rsidP="00000000" w:rsidRDefault="00000000" w:rsidRPr="00000000" w14:paraId="0000003E">
      <w:pPr>
        <w:spacing w:after="240" w:before="240" w:lineRule="auto"/>
        <w:rPr/>
      </w:pPr>
      <w:r w:rsidDel="00000000" w:rsidR="00000000" w:rsidRPr="00000000">
        <w:rPr>
          <w:rtl w:val="0"/>
        </w:rPr>
        <w:t xml:space="preserve">This is not a discovery. Mancur Olson described it in 1965. The reason honest pricing has not happened is not that the case has not been made; it is that the case has been made against resources, organization, and institutional access that the countervailing interest does not possess. No individual coal-country resident or Baotou villager can outspend the extractive industries whose pricing they are opposing. No coalition of future generations can lobby.</w:t>
      </w:r>
    </w:p>
    <w:p w:rsidR="00000000" w:rsidDel="00000000" w:rsidP="00000000" w:rsidRDefault="00000000" w:rsidRPr="00000000" w14:paraId="0000003F">
      <w:pPr>
        <w:spacing w:after="240" w:before="240" w:lineRule="auto"/>
        <w:rPr/>
      </w:pPr>
      <w:r w:rsidDel="00000000" w:rsidR="00000000" w:rsidRPr="00000000">
        <w:rPr>
          <w:rtl w:val="0"/>
        </w:rPr>
        <w:t xml:space="preserve">The framework does not solve this problem by wishing it away. It solves it, partially, by changing the terms of the debate in two specific ways.</w:t>
      </w:r>
    </w:p>
    <w:p w:rsidR="00000000" w:rsidDel="00000000" w:rsidP="00000000" w:rsidRDefault="00000000" w:rsidRPr="00000000" w14:paraId="00000040">
      <w:pPr>
        <w:spacing w:after="240" w:before="240" w:lineRule="auto"/>
        <w:rPr/>
      </w:pPr>
      <w:r w:rsidDel="00000000" w:rsidR="00000000" w:rsidRPr="00000000">
        <w:rPr>
          <w:rtl w:val="0"/>
        </w:rPr>
        <w:t xml:space="preserve">First, by pricing the severance in dollars, it converts a moral argument into a fiscal one. "The coal industry is harming Appalachian communities" is a sentence that has been uttered for a hundred years without producing durable policy change, because it asks for action on behalf of a group the decision-makers do not identify with. "The coal industry extracted $550 per ton of value in unpriced damage while selling the coal for $40" is a sentence that describes a subsidy. Subsidies have constituencies on both sides. The side that pays — which, in the case of coal, is the public broadly — has reasons to care that the side receiving the morality lecture did not. When the severed cost is denominated in money, a different political coalition becomes possible.</w:t>
      </w:r>
    </w:p>
    <w:p w:rsidR="00000000" w:rsidDel="00000000" w:rsidP="00000000" w:rsidRDefault="00000000" w:rsidRPr="00000000" w14:paraId="00000041">
      <w:pPr>
        <w:spacing w:after="240" w:before="240" w:lineRule="auto"/>
        <w:rPr/>
      </w:pPr>
      <w:r w:rsidDel="00000000" w:rsidR="00000000" w:rsidRPr="00000000">
        <w:rPr>
          <w:rtl w:val="0"/>
        </w:rPr>
        <w:t xml:space="preserve">Second, by making the beneficiaries concrete and local, it shifts the constituency for reform. The Community Transition Reserve mechanism — a sovereign wealth instrument funded by the resource rents of extraction, structurally designated for the communities bearing the direct spatial cost, paying out over the entire life cycle of the extraction and its externality tail — is the framework's answer to the distributional problem. Alaska's Permanent Fund Dividend is a small domestic version. Norway's sovereign wealth fund is a large national version. A Community Transition Reserve sits in between: not a dividend to every citizen, but a long-horizon fund structurally tied to the community whose commons was drawn from. That community then becomes the constituency for pricing honestly. Reform has a local beneficiary to argue for it, not only a diffuse population to receive abstract improvements.</w:t>
      </w:r>
    </w:p>
    <w:p w:rsidR="00000000" w:rsidDel="00000000" w:rsidP="00000000" w:rsidRDefault="00000000" w:rsidRPr="00000000" w14:paraId="00000042">
      <w:pPr>
        <w:spacing w:after="240" w:before="240" w:lineRule="auto"/>
        <w:rPr/>
      </w:pPr>
      <w:r w:rsidDel="00000000" w:rsidR="00000000" w:rsidRPr="00000000">
        <w:rPr>
          <w:rtl w:val="0"/>
        </w:rPr>
        <w:t xml:space="preserve">Neither of these moves is decisive on its own. Both of them, combined with the entering wedges already in place, begin to shift the arithmetic.</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5bop6bjpmj7v" w:id="8"/>
      <w:bookmarkEnd w:id="8"/>
      <w:r w:rsidDel="00000000" w:rsidR="00000000" w:rsidRPr="00000000">
        <w:rPr>
          <w:b w:val="1"/>
          <w:bCs w:val="1"/>
          <w:color w:val="000000"/>
          <w:sz w:val="26"/>
          <w:szCs w:val="26"/>
          <w:rtl w:val="0"/>
        </w:rPr>
        <w:t xml:space="preserve">Property rights, and their limits</w:t>
      </w:r>
    </w:p>
    <w:p w:rsidR="00000000" w:rsidDel="00000000" w:rsidP="00000000" w:rsidRDefault="00000000" w:rsidRPr="00000000" w14:paraId="00000045">
      <w:pPr>
        <w:spacing w:after="240" w:before="240" w:lineRule="auto"/>
        <w:rPr/>
      </w:pPr>
      <w:r w:rsidDel="00000000" w:rsidR="00000000" w:rsidRPr="00000000">
        <w:rPr>
          <w:rtl w:val="0"/>
        </w:rPr>
        <w:t xml:space="preserve">The most intellectually serious objection to anything like this framework comes from the property rights tradition, and it deserves an honest hearing before the chapter closes.</w:t>
      </w:r>
    </w:p>
    <w:p w:rsidR="00000000" w:rsidDel="00000000" w:rsidP="00000000" w:rsidRDefault="00000000" w:rsidRPr="00000000" w14:paraId="00000046">
      <w:pPr>
        <w:spacing w:after="240" w:before="240" w:lineRule="auto"/>
        <w:rPr/>
      </w:pPr>
      <w:r w:rsidDel="00000000" w:rsidR="00000000" w:rsidRPr="00000000">
        <w:rPr>
          <w:rtl w:val="0"/>
        </w:rPr>
        <w:t xml:space="preserve">The argument is that well-defined private property rights, enforced by credible institutions, already solve the commons problem for every resource that matters. Ronald Coase's 1960 demonstration — that in the absence of transaction costs, externalities will be resolved through bargaining regardless of initial entitlement — is one version of the claim. Elinor Ostrom's work on common-pool resources governed by local institutions is another. The free-market environmental tradition argues, with real empirical support in some cases, that assigning ownership to something is usually the best way to ensure its long-term preservation. Fish populations stabilize when fisheries are quota-allocated. Forests regrow when landowners internalize the value of standing timber. Aquifers survive when the water is priced and metered. Private stewardship, the argument runs, reliably beats public neglect.</w:t>
      </w:r>
    </w:p>
    <w:p w:rsidR="00000000" w:rsidDel="00000000" w:rsidP="00000000" w:rsidRDefault="00000000" w:rsidRPr="00000000" w14:paraId="00000047">
      <w:pPr>
        <w:spacing w:after="240" w:before="240" w:lineRule="auto"/>
        <w:rPr/>
      </w:pPr>
      <w:r w:rsidDel="00000000" w:rsidR="00000000" w:rsidRPr="00000000">
        <w:rPr>
          <w:rtl w:val="0"/>
        </w:rPr>
        <w:t xml:space="preserve">The framework does not deny any of this. It agrees, in fact, with most of it. Property rights do extraordinary work for a specific class of resources — those that are rivalrous, excludable, and valued mostly in the present tense. For those resources, the price system aggregates dispersed information and incentivizes stewardship far better than any central planning alternative. The argument against the property rights solution is not that property rights fail; it is that they structurally cannot reach three specific problems that the residual commons value framework exists to address.</w:t>
      </w:r>
    </w:p>
    <w:p w:rsidR="00000000" w:rsidDel="00000000" w:rsidP="00000000" w:rsidRDefault="00000000" w:rsidRPr="00000000" w14:paraId="00000048">
      <w:pPr>
        <w:spacing w:after="240" w:before="240" w:lineRule="auto"/>
        <w:rPr/>
      </w:pPr>
      <w:r w:rsidDel="00000000" w:rsidR="00000000" w:rsidRPr="00000000">
        <w:rPr>
          <w:rtl w:val="0"/>
        </w:rPr>
        <w:t xml:space="preserve">The first is intergenerational foreclosure. Property rights are held by living agents. Future generations hold no deeds, sign no contracts, cannot participate in the bargaining Coase described, and cannot bid against current uses of a finite stock. A mine owner and a mining community can negotiate, under the property rights regime, every term of the current extraction. Neither can negotiate with the humans who will be alive in 2200 whose access to the deposit is being foreclosed by today's decision. The property rights solution, in its pure form, assumes that if those future humans mattered they would bid — and the absence of their bid is taken as evidence that they do not matter at the margin. The framework rejects this assumption. Substitutability, stock depletion, and irreversibility are real constraints whether or not anyone alive today chooses to price them, and a pricing system that ignores them is not "efficient" in any defensible sense; it is incomplete.</w:t>
      </w:r>
    </w:p>
    <w:p w:rsidR="00000000" w:rsidDel="00000000" w:rsidP="00000000" w:rsidRDefault="00000000" w:rsidRPr="00000000" w14:paraId="00000049">
      <w:pPr>
        <w:spacing w:after="240" w:before="240" w:lineRule="auto"/>
        <w:rPr/>
      </w:pPr>
      <w:r w:rsidDel="00000000" w:rsidR="00000000" w:rsidRPr="00000000">
        <w:rPr>
          <w:rtl w:val="0"/>
        </w:rPr>
        <w:t xml:space="preserve">The second is transboundary externality. Property rights work when the property owner bears the costs and benefits of the asset's use. They work less well when the costs escape the property line. Acid mine drainage crosses property lines. Atmospheric carbon crosses property lines. Aquifer depletion crosses property lines. The Baotou tailings pond sits on a specific parcel of land, but the radioactive dust that blows off it respects no fence. Property rights solve internal optimization, not external leakage. The residual commons value framework is, at its core, a systematic accounting of the leakage — the component of value that cannot be captured by any single property owner because it is held in common by everyone downstream, downwind, and downstream in time.</w:t>
      </w:r>
    </w:p>
    <w:p w:rsidR="00000000" w:rsidDel="00000000" w:rsidP="00000000" w:rsidRDefault="00000000" w:rsidRPr="00000000" w14:paraId="0000004A">
      <w:pPr>
        <w:spacing w:after="240" w:before="240" w:lineRule="auto"/>
        <w:rPr/>
      </w:pPr>
      <w:r w:rsidDel="00000000" w:rsidR="00000000" w:rsidRPr="00000000">
        <w:rPr>
          <w:rtl w:val="0"/>
        </w:rPr>
        <w:t xml:space="preserve">The third is information asymmetry at civilizational scale. Property markets price what participants currently know. They do not price what we will discover we needed only after the resource is gone. A helium-3 deposit would have been priced at zero in 1900, because helium-3 had no industrial use at the time. Rare earth deposits were of limited commercial interest until the late twentieth century, when their electronic applications emerged. The current market price of any high-CSG resource is a function of current substitutability estimates and current demand. The price does not, because it structurally cannot, incorporate applications that have not yet been invented. The framework's insurance logic — hold a reserve when substitutability is uncertain, because the downside of under-reservation is potentially unbounded — is the move that property rights cannot make, because the information required to make it does not exist at the moment of pricing.</w:t>
      </w:r>
    </w:p>
    <w:p w:rsidR="00000000" w:rsidDel="00000000" w:rsidP="00000000" w:rsidRDefault="00000000" w:rsidRPr="00000000" w14:paraId="0000004B">
      <w:pPr>
        <w:spacing w:after="240" w:before="240" w:lineRule="auto"/>
        <w:rPr/>
      </w:pPr>
      <w:r w:rsidDel="00000000" w:rsidR="00000000" w:rsidRPr="00000000">
        <w:rPr>
          <w:rtl w:val="0"/>
        </w:rPr>
        <w:t xml:space="preserve">This is not a refutation of property rights. It is an identification of the domain within which they are complete and the domain within which they are not. For most goods, property rights are the right tool and we should leave them alone. For high-CSG resources, intergenerational stocks, and transboundary externalities, property rights are a tool that is doing what it can do but cannot reach the full problem. The residual commons value framework is the supplement, not the replacement.</w:t>
      </w:r>
    </w:p>
    <w:p w:rsidR="00000000" w:rsidDel="00000000" w:rsidP="00000000" w:rsidRDefault="00000000" w:rsidRPr="00000000" w14:paraId="0000004C">
      <w:pPr>
        <w:spacing w:after="240" w:before="240" w:lineRule="auto"/>
        <w:rPr/>
      </w:pPr>
      <w:r w:rsidDel="00000000" w:rsidR="00000000" w:rsidRPr="00000000">
        <w:rPr>
          <w:rtl w:val="0"/>
        </w:rPr>
        <w:t xml:space="preserve">Adam Smith, who spent a good portion of </w:t>
      </w:r>
      <w:r w:rsidDel="00000000" w:rsidR="00000000" w:rsidRPr="00000000">
        <w:rPr>
          <w:i w:val="1"/>
          <w:iCs w:val="1"/>
          <w:rtl w:val="0"/>
        </w:rPr>
        <w:t xml:space="preserve">The Wealth of Nations</w:t>
      </w:r>
      <w:r w:rsidDel="00000000" w:rsidR="00000000" w:rsidRPr="00000000">
        <w:rPr>
          <w:rtl w:val="0"/>
        </w:rPr>
        <w:t xml:space="preserve"> arguing against producers who externalized costs onto the public, would have recognized what this framework does. It is not a departure from the market mechanism. It is the completion of it.</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g1bapu217i8k" w:id="9"/>
      <w:bookmarkEnd w:id="9"/>
      <w:r w:rsidDel="00000000" w:rsidR="00000000" w:rsidRPr="00000000">
        <w:rPr>
          <w:b w:val="1"/>
          <w:bCs w:val="1"/>
          <w:color w:val="000000"/>
          <w:sz w:val="26"/>
          <w:szCs w:val="26"/>
          <w:rtl w:val="0"/>
        </w:rPr>
        <w:t xml:space="preserve">Entering wedges</w:t>
      </w:r>
    </w:p>
    <w:p w:rsidR="00000000" w:rsidDel="00000000" w:rsidP="00000000" w:rsidRDefault="00000000" w:rsidRPr="00000000" w14:paraId="0000004F">
      <w:pPr>
        <w:spacing w:after="240" w:before="240" w:lineRule="auto"/>
        <w:rPr/>
      </w:pPr>
      <w:r w:rsidDel="00000000" w:rsidR="00000000" w:rsidRPr="00000000">
        <w:rPr>
          <w:rtl w:val="0"/>
        </w:rPr>
        <w:t xml:space="preserve">One useful way to see that none of this is utopian is to count the pieces of it that already exist.</w:t>
      </w:r>
    </w:p>
    <w:p w:rsidR="00000000" w:rsidDel="00000000" w:rsidP="00000000" w:rsidRDefault="00000000" w:rsidRPr="00000000" w14:paraId="00000050">
      <w:pPr>
        <w:spacing w:after="240" w:before="240" w:lineRule="auto"/>
        <w:rPr/>
      </w:pPr>
      <w:r w:rsidDel="00000000" w:rsidR="00000000" w:rsidRPr="00000000">
        <w:rPr>
          <w:rtl w:val="0"/>
        </w:rPr>
        <w:t xml:space="preserve">Carbon pricing, in the narrow sense of a tax or trading scheme on greenhouse emissions, operates in more than seventy jurisdictions as of 2025, covering roughly a quarter of global emissions. The schemes are imperfect. The coverage is uneven. The prices, in most cases, are below the social cost of carbon as estimated by every major economic body that has tried to estimate it. None of this changes the fact that a substantial, legally functional, politically defended mechanism for pricing one dimension of residual commons value — the atmospheric externality tail of fossil fuel combustion — already exists and expands, year by year, to cover more sources and more jurisdictions.</w:t>
      </w:r>
    </w:p>
    <w:p w:rsidR="00000000" w:rsidDel="00000000" w:rsidP="00000000" w:rsidRDefault="00000000" w:rsidRPr="00000000" w14:paraId="00000051">
      <w:pPr>
        <w:spacing w:after="240" w:before="240" w:lineRule="auto"/>
        <w:rPr/>
      </w:pPr>
      <w:r w:rsidDel="00000000" w:rsidR="00000000" w:rsidRPr="00000000">
        <w:rPr>
          <w:rtl w:val="0"/>
        </w:rPr>
        <w:t xml:space="preserve">Sovereign wealth funds built on resource rents exist in Norway, Alaska, several Gulf states, and in smaller form across dozens of other jurisdictions. Each is a partial implementation of the principle that the rents of finite resource extraction belong, in some meaningful sense, to the political community whose commons was drawn from — not to the individual entity that extracted it. Norway has demonstrated, over fifty years, that it is politically possible to sustain the discipline required to capture resource rents and preserve them for intergenerational equity. The discipline has survived changes of government, pressure from industry, and the ordinary temptations of a wealthy society with a large pool of available capital. It is not a miracle. It is an institution, built deliberately, maintained deliberately.</w:t>
      </w:r>
    </w:p>
    <w:p w:rsidR="00000000" w:rsidDel="00000000" w:rsidP="00000000" w:rsidRDefault="00000000" w:rsidRPr="00000000" w14:paraId="00000052">
      <w:pPr>
        <w:spacing w:after="240" w:before="240" w:lineRule="auto"/>
        <w:rPr/>
      </w:pPr>
      <w:r w:rsidDel="00000000" w:rsidR="00000000" w:rsidRPr="00000000">
        <w:rPr>
          <w:rtl w:val="0"/>
        </w:rPr>
        <w:t xml:space="preserve">Strategic petroleum reserves, rare earth stockpiles, and critical minerals stockpiles exist in most industrial nations, though rarely organized around a coherent framework. The infrastructure for designating, storing, and managing strategically reserved quantities of specific resources is in place. What is missing is the principle that selects which resources to reserve and how much — which is exactly what CSG classification provides.</w:t>
      </w:r>
    </w:p>
    <w:p w:rsidR="00000000" w:rsidDel="00000000" w:rsidP="00000000" w:rsidRDefault="00000000" w:rsidRPr="00000000" w14:paraId="00000053">
      <w:pPr>
        <w:spacing w:after="240" w:before="240" w:lineRule="auto"/>
        <w:rPr/>
      </w:pPr>
      <w:r w:rsidDel="00000000" w:rsidR="00000000" w:rsidRPr="00000000">
        <w:rPr>
          <w:rtl w:val="0"/>
        </w:rPr>
        <w:t xml:space="preserve">Mining reclamation bonds exist in the United States under the Surface Mining Control and Reclamation Act of 1977, and in various forms in most mining jurisdictions worldwide. They are structurally underpriced, as Chapter 2 documented — the current bond pool covers a fraction of actual reclamation costs, and the gap has been papered over through bankruptcy-driven transfer of liability to the public — but the mechanism itself is sound. Price the bonds correctly, index them to actual remediation costs rather than nominal amounts set decades ago, require refresh as the liability tail lengthens, and the reclamation bond becomes a serious accountability instrument rather than a token gesture.</w:t>
      </w:r>
    </w:p>
    <w:p w:rsidR="00000000" w:rsidDel="00000000" w:rsidP="00000000" w:rsidRDefault="00000000" w:rsidRPr="00000000" w14:paraId="00000054">
      <w:pPr>
        <w:spacing w:after="240" w:before="240" w:lineRule="auto"/>
        <w:rPr/>
      </w:pPr>
      <w:r w:rsidDel="00000000" w:rsidR="00000000" w:rsidRPr="00000000">
        <w:rPr>
          <w:rtl w:val="0"/>
        </w:rPr>
        <w:t xml:space="preserve">Environmental impact assessments, established under NEPA in the United States in 1970 and adopted in similar forms by most jurisdictions, are a partial implementation of pricing the externality tail — a procedural, non-monetized version, admittedly, but a legally durable one. The border carbon adjustment now partially operating in the European Union is a partial implementation of transboundary pricing. Health-impact fees on extractive industries exist in several U.S. states, funding black lung trust funds and related mechanisms. The Community Reinvestment Act, for all its limitations, is a partial implementation of the spatial justice principle — the idea that capital extracted from a place owes something to the place it was extracted from.</w:t>
      </w:r>
    </w:p>
    <w:p w:rsidR="00000000" w:rsidDel="00000000" w:rsidP="00000000" w:rsidRDefault="00000000" w:rsidRPr="00000000" w14:paraId="00000055">
      <w:pPr>
        <w:spacing w:after="240" w:before="240" w:lineRule="auto"/>
        <w:rPr/>
      </w:pPr>
      <w:r w:rsidDel="00000000" w:rsidR="00000000" w:rsidRPr="00000000">
        <w:rPr>
          <w:rtl w:val="0"/>
        </w:rPr>
        <w:t xml:space="preserve">Each of these is a partial, imperfect, politically achievable implementation of one slice of the residual commons value framework. None of them was designed with the framework in mind; they evolved piecemeal, in response to specific crises, under specific political coalitions, and they reflect all of the compromises that such politics produce. Taken together, they demonstrate something important: every component of honest pricing exists in some form, in some jurisdiction, and has survived the political process long enough to become institutional furniture. The framework's task is not to invent the instruments. It is to connect them, strengthen them, align them around a coherent principle, and extend them to the resources they do not currently cover.</w:t>
      </w:r>
    </w:p>
    <w:p w:rsidR="00000000" w:rsidDel="00000000" w:rsidP="00000000" w:rsidRDefault="00000000" w:rsidRPr="00000000" w14:paraId="00000056">
      <w:pPr>
        <w:spacing w:after="240" w:before="240" w:lineRule="auto"/>
        <w:rPr/>
      </w:pPr>
      <w:r w:rsidDel="00000000" w:rsidR="00000000" w:rsidRPr="00000000">
        <w:rPr>
          <w:rtl w:val="0"/>
        </w:rPr>
        <w:t xml:space="preserve">This is the path forward. It is neither revolutionary nor utopian. It is incremental institutional work, made strategic by the framework that organizes it.</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8nzdkfhkzknv" w:id="10"/>
      <w:bookmarkEnd w:id="10"/>
      <w:r w:rsidDel="00000000" w:rsidR="00000000" w:rsidRPr="00000000">
        <w:rPr>
          <w:b w:val="1"/>
          <w:bCs w:val="1"/>
          <w:color w:val="000000"/>
          <w:sz w:val="26"/>
          <w:szCs w:val="26"/>
          <w:rtl w:val="0"/>
        </w:rPr>
        <w:t xml:space="preserve">What a framework does</w:t>
      </w:r>
    </w:p>
    <w:p w:rsidR="00000000" w:rsidDel="00000000" w:rsidP="00000000" w:rsidRDefault="00000000" w:rsidRPr="00000000" w14:paraId="00000059">
      <w:pPr>
        <w:spacing w:after="240" w:before="240" w:lineRule="auto"/>
        <w:rPr/>
      </w:pPr>
      <w:r w:rsidDel="00000000" w:rsidR="00000000" w:rsidRPr="00000000">
        <w:rPr>
          <w:rtl w:val="0"/>
        </w:rPr>
        <w:t xml:space="preserve">The hardest question this chapter has to answer is the most pragmatic one, and it is usually asked by people who have actually tried to pass legislation.</w:t>
      </w:r>
    </w:p>
    <w:p w:rsidR="00000000" w:rsidDel="00000000" w:rsidP="00000000" w:rsidRDefault="00000000" w:rsidRPr="00000000" w14:paraId="0000005A">
      <w:pPr>
        <w:spacing w:after="240" w:before="240" w:lineRule="auto"/>
        <w:rPr/>
      </w:pPr>
      <w:r w:rsidDel="00000000" w:rsidR="00000000" w:rsidRPr="00000000">
        <w:rPr>
          <w:rtl w:val="0"/>
        </w:rPr>
        <w:t xml:space="preserve">Carbon pricing has been debated for thirty years. The most ambitious implementation — the EU Emissions Trading System — covers a portion of emissions, is riddled with exemptions, and was nearly destroyed by lobbying during the 2008 financial crisis. If the world cannot implement a simple carbon tax after three decades of scientific consensus on climate change, the argument runs, how exactly do you propose to implement a comprehensive residual commons value pricing regime covering every high-CSG resource, every externality tail, every intergenerational foreclosure, every transboundary externality, and every coordination problem across every jurisdiction on Earth? Show me the legislative pathway. Show me the political coalition. Show me the international treaty framework. Without those, the argument concludes, this is another book by another person who understands the problem and cannot solve it.</w:t>
      </w:r>
    </w:p>
    <w:p w:rsidR="00000000" w:rsidDel="00000000" w:rsidP="00000000" w:rsidRDefault="00000000" w:rsidRPr="00000000" w14:paraId="0000005B">
      <w:pPr>
        <w:spacing w:after="240" w:before="240" w:lineRule="auto"/>
        <w:rPr/>
      </w:pPr>
      <w:r w:rsidDel="00000000" w:rsidR="00000000" w:rsidRPr="00000000">
        <w:rPr>
          <w:rtl w:val="0"/>
        </w:rPr>
        <w:t xml:space="preserve">The objection deserves the most honest answer I know how to give.</w:t>
      </w:r>
    </w:p>
    <w:p w:rsidR="00000000" w:rsidDel="00000000" w:rsidP="00000000" w:rsidRDefault="00000000" w:rsidRPr="00000000" w14:paraId="0000005C">
      <w:pPr>
        <w:spacing w:after="240" w:before="240" w:lineRule="auto"/>
        <w:rPr/>
      </w:pPr>
      <w:r w:rsidDel="00000000" w:rsidR="00000000" w:rsidRPr="00000000">
        <w:rPr>
          <w:rtl w:val="0"/>
        </w:rPr>
        <w:t xml:space="preserve">This is not a legislative blueprint. It is a framework. The political pathway to implementation — which laws, which jurisdictions, which coalitions, which treaty architecture — is beyond the scope of what any single book can produce, and pretending otherwise would be dishonest about the nature of what a framework does and does not do.</w:t>
      </w:r>
    </w:p>
    <w:p w:rsidR="00000000" w:rsidDel="00000000" w:rsidP="00000000" w:rsidRDefault="00000000" w:rsidRPr="00000000" w14:paraId="0000005D">
      <w:pPr>
        <w:spacing w:after="240" w:before="240" w:lineRule="auto"/>
        <w:rPr/>
      </w:pPr>
      <w:r w:rsidDel="00000000" w:rsidR="00000000" w:rsidRPr="00000000">
        <w:rPr>
          <w:rtl w:val="0"/>
        </w:rPr>
        <w:t xml:space="preserve">But note what frameworks do that legislation cannot. They change how people think, which eventually changes what legislation becomes conceivable.</w:t>
      </w:r>
    </w:p>
    <w:p w:rsidR="00000000" w:rsidDel="00000000" w:rsidP="00000000" w:rsidRDefault="00000000" w:rsidRPr="00000000" w14:paraId="0000005E">
      <w:pPr>
        <w:spacing w:after="240" w:before="240" w:lineRule="auto"/>
        <w:rPr/>
      </w:pPr>
      <w:r w:rsidDel="00000000" w:rsidR="00000000" w:rsidRPr="00000000">
        <w:rPr>
          <w:rtl w:val="0"/>
        </w:rPr>
        <w:t xml:space="preserve">David Harvey's "accumulation by dispossession" did not pass a single law. It gave people a vocabulary for naming a structural pattern they had been experiencing for decades without a word for it. Once the word existed, the political conversation around gentrification, enclosure, and privatization changed. Legislation — uneven, partial, contested — followed.</w:t>
      </w:r>
    </w:p>
    <w:p w:rsidR="00000000" w:rsidDel="00000000" w:rsidP="00000000" w:rsidRDefault="00000000" w:rsidRPr="00000000" w14:paraId="0000005F">
      <w:pPr>
        <w:spacing w:after="240" w:before="240" w:lineRule="auto"/>
        <w:rPr/>
      </w:pPr>
      <w:r w:rsidDel="00000000" w:rsidR="00000000" w:rsidRPr="00000000">
        <w:rPr>
          <w:rtl w:val="0"/>
        </w:rPr>
        <w:t xml:space="preserve">Elinor Ostrom's commons governance framework did not create any new institution. It identified design principles that dozens of existing local institutions had independently evolved to govern common-pool resources sustainably. Once the principles were named and systematized, they legitimized the local approaches against the twin pressures of privatization and state management, and they have since informed fisheries policy, forestry policy, and water governance in more jurisdictions than can easily be counted.</w:t>
      </w:r>
    </w:p>
    <w:p w:rsidR="00000000" w:rsidDel="00000000" w:rsidP="00000000" w:rsidRDefault="00000000" w:rsidRPr="00000000" w14:paraId="00000060">
      <w:pPr>
        <w:spacing w:after="240" w:before="240" w:lineRule="auto"/>
        <w:rPr/>
      </w:pPr>
      <w:r w:rsidDel="00000000" w:rsidR="00000000" w:rsidRPr="00000000">
        <w:rPr>
          <w:rtl w:val="0"/>
        </w:rPr>
        <w:t xml:space="preserve">Kate Raworth's Doughnut Economics has not yet, to my knowledge, passed a single law. It has been adopted as a guiding framework by the city of Amsterdam, by several regional governments, by parts of the European Union climate architecture, and by a growing number of development agencies, because it gives those institutions a coherent way to think about what they were already trying to do. The laws those jurisdictions pass from here forward will be shaped by the framework, even if no law cites it directly.</w:t>
      </w:r>
    </w:p>
    <w:p w:rsidR="00000000" w:rsidDel="00000000" w:rsidP="00000000" w:rsidRDefault="00000000" w:rsidRPr="00000000" w14:paraId="00000061">
      <w:pPr>
        <w:spacing w:after="240" w:before="240" w:lineRule="auto"/>
        <w:rPr/>
      </w:pPr>
      <w:r w:rsidDel="00000000" w:rsidR="00000000" w:rsidRPr="00000000">
        <w:rPr>
          <w:rtl w:val="0"/>
        </w:rPr>
        <w:t xml:space="preserve">Matthew Desmond's </w:t>
      </w:r>
      <w:r w:rsidDel="00000000" w:rsidR="00000000" w:rsidRPr="00000000">
        <w:rPr>
          <w:i w:val="1"/>
          <w:iCs w:val="1"/>
          <w:rtl w:val="0"/>
        </w:rPr>
        <w:t xml:space="preserve">Evicted</w:t>
      </w:r>
      <w:r w:rsidDel="00000000" w:rsidR="00000000" w:rsidRPr="00000000">
        <w:rPr>
          <w:rtl w:val="0"/>
        </w:rPr>
        <w:t xml:space="preserve"> did not pass a law. It produced, through the force of its narrative and the specificity of its reporting, a change in how housing instability is discussed in American political life, and that change has made housing policy experiments — rent support, eviction moratoriums, right-to-counsel — politically conceivable in ways they were not a decade earlier.</w:t>
      </w:r>
    </w:p>
    <w:p w:rsidR="00000000" w:rsidDel="00000000" w:rsidP="00000000" w:rsidRDefault="00000000" w:rsidRPr="00000000" w14:paraId="00000062">
      <w:pPr>
        <w:spacing w:after="240" w:before="240" w:lineRule="auto"/>
        <w:rPr/>
      </w:pPr>
      <w:r w:rsidDel="00000000" w:rsidR="00000000" w:rsidRPr="00000000">
        <w:rPr>
          <w:rtl w:val="0"/>
        </w:rPr>
        <w:t xml:space="preserve">Commons Bonds is, and can only be, an attempt to do the same. It gives people a vocabulary — cost severance, residual commons value, severed cost, accountability bond, the civilizational substitutability gap. It gives them a measurement tool — the RCV model, in its three convergent forms, testable against any extraction scenario in any jurisdiction. It gives them a framework for thinking about resource pricing they can apply in their own contexts: a coal-country resident asking what their community was worth; a municipal council setting reclamation bonds; a state legislature designing a sovereign wealth fund; an international body debating a critical minerals agreement. The book does not need to pass a law. It needs to change the terms of the debate so that the right laws become thinkable.</w:t>
      </w:r>
    </w:p>
    <w:p w:rsidR="00000000" w:rsidDel="00000000" w:rsidP="00000000" w:rsidRDefault="00000000" w:rsidRPr="00000000" w14:paraId="00000063">
      <w:pPr>
        <w:spacing w:after="240" w:before="240" w:lineRule="auto"/>
        <w:rPr/>
      </w:pPr>
      <w:r w:rsidDel="00000000" w:rsidR="00000000" w:rsidRPr="00000000">
        <w:rPr>
          <w:rtl w:val="0"/>
        </w:rPr>
        <w:t xml:space="preserve">And it needs to point, honestly, at the entering wedges: the carbon pricing regimes that already exist, the sovereign wealth funds that already exist, the reclamation bonds that already exist, the critical minerals stockpiles that already exist, the environmental impact assessments that already exist, the border carbon adjustments that already exist. The work is not to build everything from scratch. The work is to strengthen what exists, connect what is currently disconnected, align the fragments around a coherent principle, and extend the principle to the resources and externalities it does not yet cover. That work is difficult. It is not impossible. People who have done harder institutional work before have done it with less.</w:t>
      </w:r>
    </w:p>
    <w:p w:rsidR="00000000" w:rsidDel="00000000" w:rsidP="00000000" w:rsidRDefault="00000000" w:rsidRPr="00000000" w14:paraId="00000064">
      <w:pPr>
        <w:spacing w:after="240" w:before="240" w:lineRule="auto"/>
        <w:rPr/>
      </w:pPr>
      <w:r w:rsidDel="00000000" w:rsidR="00000000" w:rsidRPr="00000000">
        <w:rPr>
          <w:rtl w:val="0"/>
        </w:rPr>
        <w:t xml:space="preserve">The framework will not do this on its own. No framework ever does. What it does is give the people who do the work a common language and a common instrument to do the work with. Whether the work gets done is the question every generation answers for the one that follows.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And so, with the framework laid out and the entering wedges named, the book turns toward its closing question — which is not, any longer, what extraction actually costs, or what honest pricing would look like, or how the institutions might be bent toward it. Those questions have been answered, within the limits of what a single volume can answer.</w:t>
      </w:r>
    </w:p>
    <w:p w:rsidR="00000000" w:rsidDel="00000000" w:rsidP="00000000" w:rsidRDefault="00000000" w:rsidRPr="00000000" w14:paraId="00000067">
      <w:pPr>
        <w:spacing w:after="240" w:before="240" w:lineRule="auto"/>
        <w:rPr/>
      </w:pPr>
      <w:r w:rsidDel="00000000" w:rsidR="00000000" w:rsidRPr="00000000">
        <w:rPr>
          <w:rtl w:val="0"/>
        </w:rPr>
        <w:t xml:space="preserve">The remaining question is a different kind of question.</w:t>
      </w:r>
    </w:p>
    <w:p w:rsidR="00000000" w:rsidDel="00000000" w:rsidP="00000000" w:rsidRDefault="00000000" w:rsidRPr="00000000" w14:paraId="00000068">
      <w:pPr>
        <w:spacing w:after="240" w:before="240" w:lineRule="auto"/>
        <w:rPr/>
      </w:pPr>
      <w:r w:rsidDel="00000000" w:rsidR="00000000" w:rsidRPr="00000000">
        <w:rPr>
          <w:rtl w:val="0"/>
        </w:rPr>
        <w:t xml:space="preserve">The miner in McDowell County. The waterman on the Chesapeake. The villager in Baotou. The farmer irrigating from the Ogallala. The hypothetical colony administrator on Mars, making the resource decisions that will determine whether the settlement survives.</w:t>
      </w:r>
    </w:p>
    <w:p w:rsidR="00000000" w:rsidDel="00000000" w:rsidP="00000000" w:rsidRDefault="00000000" w:rsidRPr="00000000" w14:paraId="00000069">
      <w:pPr>
        <w:spacing w:after="240" w:before="240" w:lineRule="auto"/>
        <w:rPr/>
      </w:pPr>
      <w:r w:rsidDel="00000000" w:rsidR="00000000" w:rsidRPr="00000000">
        <w:rPr>
          <w:rtl w:val="0"/>
        </w:rPr>
        <w:t xml:space="preserve">They are not, the book has argued, separate problems. They are the same problem in different parameters. The framework that prices one prices all of them. The mechanism that severs cost from value in one context operates by the same structural logic in every other.</w:t>
      </w:r>
    </w:p>
    <w:p w:rsidR="00000000" w:rsidDel="00000000" w:rsidP="00000000" w:rsidRDefault="00000000" w:rsidRPr="00000000" w14:paraId="0000006A">
      <w:pPr>
        <w:spacing w:after="240" w:before="240" w:lineRule="auto"/>
        <w:rPr/>
      </w:pPr>
      <w:r w:rsidDel="00000000" w:rsidR="00000000" w:rsidRPr="00000000">
        <w:rPr>
          <w:rtl w:val="0"/>
        </w:rPr>
        <w:t xml:space="preserve">If that is true, then the last chapter has to ask what follows from recognizing it — not as policy, but as something closer to a fact about ourselves and the generations we belong to, and the ones we owe.</w:t>
      </w:r>
    </w:p>
    <w:p w:rsidR="00000000" w:rsidDel="00000000" w:rsidP="00000000" w:rsidRDefault="00000000" w:rsidRPr="00000000" w14:paraId="0000006B">
      <w:pPr>
        <w:spacing w:after="240" w:before="240" w:lineRule="auto"/>
        <w:rPr/>
      </w:pPr>
      <w:r w:rsidDel="00000000" w:rsidR="00000000" w:rsidRPr="00000000">
        <w:rPr>
          <w:rtl w:val="0"/>
        </w:rPr>
        <w:t xml:space="preserve">That is where the book goes from here.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 End of Chapter 9 —</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A couple of things I want to flag, now that the draft exists, so you can decide what to do with them in your pass: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Length.</w:t>
      </w:r>
      <w:r w:rsidDel="00000000" w:rsidR="00000000" w:rsidRPr="00000000">
        <w:rPr>
          <w:rtl w:val="0"/>
        </w:rPr>
        <w:t xml:space="preserve"> This draft runs just over 5,500 words, which sits near the top of the 5,000–6,000 target from the scaffold conversations. If you want the chapter leaner, the easiest cuts are the "Entering wedges" section (which could be compressed to a single dense paragraph) and the political economy section (which could shed its Olson reference and tighten). If you want it longer, the natural expansions are the Community Transition Reserve mechanism — which I named but did not fully develop — and the international dimension, which could carry more case texture.</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Voice check.</w:t>
      </w:r>
      <w:r w:rsidDel="00000000" w:rsidR="00000000" w:rsidRPr="00000000">
        <w:rPr>
          <w:rtl w:val="0"/>
        </w:rPr>
        <w:t xml:space="preserve"> I wrote this to match the register of your Chapter 8 draft — confident prose, conservative claims, sentences that occasionally break into short declaratives for rhythm. The clearest place it may not quite sound like you is the property rights section, which I leaned slightly more academic on because the objection is typically raised in academic terms. Worth a close read to see if that register holds or needs softening when you do your pass.</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Community Transition Reserve.</w:t>
      </w:r>
      <w:r w:rsidDel="00000000" w:rsidR="00000000" w:rsidRPr="00000000">
        <w:rPr>
          <w:rtl w:val="0"/>
        </w:rPr>
        <w:t xml:space="preserve"> I introduced this term in the political economy section as an instrument name. If you want it to carry more weight, it may deserve its own brief definitional paragraph or glossary entry. Flag this when you get to the glossary pass — I don't believe the current glossary contains it yet.</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Transition to Chapter 10.</w:t>
      </w:r>
      <w:r w:rsidDel="00000000" w:rsidR="00000000" w:rsidRPr="00000000">
        <w:rPr>
          <w:rtl w:val="0"/>
        </w:rPr>
        <w:t xml:space="preserve"> The closing beats are deliberately spare. They set the question that Chapter 10 (Common Bonds) is positioned to answer, without stealing any of Chapter 10's material. If Chapter 10's final scaffold shifts, the last three paragraphs of this chapter should be re-checked to make sure the handoff still lands.</w:t>
      </w:r>
    </w:p>
    <w:p w:rsidR="00000000" w:rsidDel="00000000" w:rsidP="00000000" w:rsidRDefault="00000000" w:rsidRPr="00000000" w14:paraId="00000074">
      <w:pPr>
        <w:spacing w:after="240" w:before="240" w:lineRule="auto"/>
        <w:rPr/>
      </w:pPr>
      <w:r w:rsidDel="00000000" w:rsidR="00000000" w:rsidRPr="00000000">
        <w:rPr>
          <w:rtl w:val="0"/>
        </w:rPr>
        <w:t xml:space="preserve">Ready to work on Chapter 10 whenever you are, or to do a second pass on this one once you've marked it up.</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