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dob43luugde"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sz w:val="34"/>
          <w:szCs w:val="34"/>
        </w:rPr>
      </w:pPr>
      <w:bookmarkStart w:colFirst="0" w:colLast="0" w:name="_7wrofbltiuht" w:id="1"/>
      <w:bookmarkEnd w:id="1"/>
      <w:r w:rsidDel="00000000" w:rsidR="00000000" w:rsidRPr="00000000">
        <w:rPr>
          <w:b w:val="1"/>
          <w:bCs w:val="1"/>
          <w:sz w:val="34"/>
          <w:szCs w:val="34"/>
          <w:rtl w:val="0"/>
        </w:rPr>
        <w:t xml:space="preserve">Chapter 9 (The Renewable Imperative)</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Objections</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rtl w:val="0"/>
        </w:rPr>
        <w:t xml:space="preserve">Chapter 9 (The Renewable Imperative):</w:t>
      </w:r>
      <w:r w:rsidDel="00000000" w:rsidR="00000000" w:rsidRPr="00000000">
        <w:rPr>
          <w:sz w:val="24"/>
          <w:szCs w:val="24"/>
          <w:rtl w:val="0"/>
        </w:rPr>
        <w:t xml:space="preserve"> The "property rights already solve this" and "the implementation pathway doesn't exist" objections belong here, because they're about the constructive vision. Address property rights when presenting the policy framework — show what property rights get right and where they structurally can't reach. Address the implementation objection honestly at the end of the chapter, right before the book transitions to the closing: "This is a framework, not a legislative blueprint. Frameworks change what's conceivable, which changes what's possible." Two to three pages.</w:t>
      </w:r>
    </w:p>
    <w:p w:rsidR="00000000" w:rsidDel="00000000" w:rsidP="00000000" w:rsidRDefault="00000000" w:rsidRPr="00000000" w14:paraId="0000000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CHAPTER 9: THE RENEWABLE IMPERATIVE</w:t>
      </w:r>
    </w:p>
    <w:p w:rsidR="00000000" w:rsidDel="00000000" w:rsidP="00000000" w:rsidRDefault="00000000" w:rsidRPr="00000000" w14:paraId="0000000E">
      <w:pPr>
        <w:spacing w:after="240" w:before="240" w:lineRule="auto"/>
        <w:rPr>
          <w:i w:val="1"/>
          <w:iCs w:val="1"/>
          <w:sz w:val="24"/>
          <w:szCs w:val="24"/>
        </w:rPr>
      </w:pPr>
      <w:r w:rsidDel="00000000" w:rsidR="00000000" w:rsidRPr="00000000">
        <w:rPr>
          <w:i w:val="1"/>
          <w:iCs w:val="1"/>
          <w:sz w:val="24"/>
          <w:szCs w:val="24"/>
          <w:rtl w:val="0"/>
        </w:rPr>
        <w:t xml:space="preserve">From our conversations, what lives here:</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The four-step sequence:</w:t>
      </w:r>
    </w:p>
    <w:p w:rsidR="00000000" w:rsidDel="00000000" w:rsidP="00000000" w:rsidRDefault="00000000" w:rsidRPr="00000000" w14:paraId="0000001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Classify (CSG ranking)</w:t>
      </w:r>
      <w:r w:rsidDel="00000000" w:rsidR="00000000" w:rsidRPr="00000000">
        <w:rPr>
          <w:rtl w:val="0"/>
        </w:rPr>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Reserve (in-situ preservation for high-CSG resources)</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Invest (renewables + space access simultaneously)</w:t>
      </w:r>
    </w:p>
    <w:p w:rsidR="00000000" w:rsidDel="00000000" w:rsidP="00000000" w:rsidRDefault="00000000" w:rsidRPr="00000000" w14:paraId="0000001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Reassess (dynamic, not static)</w:t>
      </w:r>
    </w:p>
    <w:p w:rsidR="00000000" w:rsidDel="00000000" w:rsidP="00000000" w:rsidRDefault="00000000" w:rsidRPr="00000000" w14:paraId="00000014">
      <w:pPr>
        <w:spacing w:after="240" w:before="240" w:lineRule="auto"/>
        <w:rPr>
          <w:sz w:val="24"/>
          <w:szCs w:val="24"/>
        </w:rPr>
      </w:pPr>
      <w:r w:rsidDel="00000000" w:rsidR="00000000" w:rsidRPr="00000000">
        <w:rPr>
          <w:b w:val="1"/>
          <w:bCs w:val="1"/>
          <w:sz w:val="24"/>
          <w:szCs w:val="24"/>
          <w:rtl w:val="0"/>
        </w:rPr>
        <w:t xml:space="preserve">Why renewable investment dominates extraction:</w:t>
      </w:r>
      <w:r w:rsidDel="00000000" w:rsidR="00000000" w:rsidRPr="00000000">
        <w:rPr>
          <w:sz w:val="24"/>
          <w:szCs w:val="24"/>
          <w:rtl w:val="0"/>
        </w:rPr>
        <w:t xml:space="preserve"> Every dollar of renewable research increases S(t), preserves optionality, and reduces E(R,t). No other investment class does all three.</w:t>
      </w:r>
    </w:p>
    <w:p w:rsidR="00000000" w:rsidDel="00000000" w:rsidP="00000000" w:rsidRDefault="00000000" w:rsidRPr="00000000" w14:paraId="00000015">
      <w:pPr>
        <w:spacing w:after="240" w:before="240" w:lineRule="auto"/>
        <w:rPr>
          <w:sz w:val="24"/>
          <w:szCs w:val="24"/>
        </w:rPr>
      </w:pPr>
      <w:r w:rsidDel="00000000" w:rsidR="00000000" w:rsidRPr="00000000">
        <w:rPr>
          <w:b w:val="1"/>
          <w:bCs w:val="1"/>
          <w:sz w:val="24"/>
          <w:szCs w:val="24"/>
          <w:rtl w:val="0"/>
        </w:rPr>
        <w:t xml:space="preserve">The international dimension:</w:t>
      </w:r>
      <w:r w:rsidDel="00000000" w:rsidR="00000000" w:rsidRPr="00000000">
        <w:rPr>
          <w:sz w:val="24"/>
          <w:szCs w:val="24"/>
          <w:rtl w:val="0"/>
        </w:rPr>
        <w:t xml:space="preserve"> Cost severance operates across borders. Rare earths from Baotou for iPhones in California. Oil from the Niger Delta for European refineries. International trade as a cost severance delivery system. The spatial cost severance concept applied globally.</w:t>
      </w:r>
    </w:p>
    <w:p w:rsidR="00000000" w:rsidDel="00000000" w:rsidP="00000000" w:rsidRDefault="00000000" w:rsidRPr="00000000" w14:paraId="00000016">
      <w:pPr>
        <w:spacing w:after="240" w:before="240" w:lineRule="auto"/>
        <w:rPr>
          <w:sz w:val="24"/>
          <w:szCs w:val="24"/>
        </w:rPr>
      </w:pPr>
      <w:r w:rsidDel="00000000" w:rsidR="00000000" w:rsidRPr="00000000">
        <w:rPr>
          <w:b w:val="1"/>
          <w:bCs w:val="1"/>
          <w:sz w:val="24"/>
          <w:szCs w:val="24"/>
          <w:rtl w:val="0"/>
        </w:rPr>
        <w:t xml:space="preserve">The political economy of resistance:</w:t>
      </w:r>
      <w:r w:rsidDel="00000000" w:rsidR="00000000" w:rsidRPr="00000000">
        <w:rPr>
          <w:sz w:val="24"/>
          <w:szCs w:val="24"/>
          <w:rtl w:val="0"/>
        </w:rPr>
        <w:t xml:space="preserve"> The subsidy ($10-15T/year in severed costs) benefits concentrated, organized interests. The costs are borne by diffuse, unorganized populations. The political problem is organizational, not conceptual.</w:t>
      </w:r>
    </w:p>
    <w:p w:rsidR="00000000" w:rsidDel="00000000" w:rsidP="00000000" w:rsidRDefault="00000000" w:rsidRPr="00000000" w14:paraId="00000017">
      <w:pPr>
        <w:spacing w:after="240" w:before="240" w:lineRule="auto"/>
        <w:rPr>
          <w:sz w:val="24"/>
          <w:szCs w:val="24"/>
        </w:rPr>
      </w:pPr>
      <w:r w:rsidDel="00000000" w:rsidR="00000000" w:rsidRPr="00000000">
        <w:rPr>
          <w:b w:val="1"/>
          <w:bCs w:val="1"/>
          <w:sz w:val="24"/>
          <w:szCs w:val="24"/>
          <w:rtl w:val="0"/>
        </w:rPr>
        <w:t xml:space="preserve">Implementation entering wedges:</w:t>
      </w:r>
      <w:r w:rsidDel="00000000" w:rsidR="00000000" w:rsidRPr="00000000">
        <w:rPr>
          <w:sz w:val="24"/>
          <w:szCs w:val="24"/>
          <w:rtl w:val="0"/>
        </w:rPr>
        <w:t xml:space="preserve"> Carbon pricing exists in dozens of jurisdictions. Sovereign wealth funds exist. Strategic petroleum reserves exist. Mining reclamation bonds exist. Environmental impact assessments exist. The path forward is strengthening and connecting existing mechanisms.</w:t>
      </w:r>
    </w:p>
    <w:p w:rsidR="00000000" w:rsidDel="00000000" w:rsidP="00000000" w:rsidRDefault="00000000" w:rsidRPr="00000000" w14:paraId="00000018">
      <w:pPr>
        <w:spacing w:after="240" w:before="240" w:lineRule="auto"/>
        <w:rPr>
          <w:i w:val="1"/>
          <w:iCs w:val="1"/>
          <w:sz w:val="24"/>
          <w:szCs w:val="24"/>
        </w:rPr>
      </w:pPr>
      <w:r w:rsidDel="00000000" w:rsidR="00000000" w:rsidRPr="00000000">
        <w:rPr>
          <w:i w:val="1"/>
          <w:iCs w:val="1"/>
          <w:sz w:val="24"/>
          <w:szCs w:val="24"/>
          <w:rtl w:val="0"/>
        </w:rPr>
        <w:t xml:space="preserve">Counterarguments woven in: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"Property rights already solve this." Address it. What property rights get right (rivalrous, excludable, present-tense resources). What they structurally can't reach (intergenerational foreclosure, transboundary externalities, information asymmetry). Two pages.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implementation pathway doesn't exist." Address it honestly. The book is a framework, not a legislative blueprint. Frameworks change what's conceivable. Harvey, Ostrom, Raworth, Desmond — none of them passed laws. All of them changed what laws became possible. One to two pages. This is the last counterargument addressed before the closing.</w:t>
      </w:r>
    </w:p>
    <w:p w:rsidR="00000000" w:rsidDel="00000000" w:rsidP="00000000" w:rsidRDefault="00000000" w:rsidRPr="00000000" w14:paraId="0000001B">
      <w:pPr>
        <w:spacing w:after="240" w:before="240" w:lineRule="auto"/>
        <w:rPr>
          <w:sz w:val="24"/>
          <w:szCs w:val="24"/>
        </w:rPr>
      </w:pPr>
      <w:r w:rsidDel="00000000" w:rsidR="00000000" w:rsidRPr="00000000">
        <w:rPr>
          <w:i w:val="1"/>
          <w:iCs w:val="1"/>
          <w:sz w:val="24"/>
          <w:szCs w:val="24"/>
          <w:rtl w:val="0"/>
        </w:rPr>
        <w:t xml:space="preserve">How to handle this:</w:t>
      </w:r>
      <w:r w:rsidDel="00000000" w:rsidR="00000000" w:rsidRPr="00000000">
        <w:rPr>
          <w:sz w:val="24"/>
          <w:szCs w:val="24"/>
          <w:rtl w:val="0"/>
        </w:rPr>
        <w:t xml:space="preserve"> Register 2 with Register 1 anchoring. The four-step sequence should feel like a practical to-do list, not an abstract framework. Specific resources. Specific reserve percentages. Specific existing institutions that could be adapted. The reader should finish this chapter feeling that the path is difficult but visible, not that it's utopian.</w:t>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COUNTERARGUMENT 9: "The practical path to implementation doesn't exist. This is academic fantasy."</w:t>
      </w:r>
    </w:p>
    <w:p w:rsidR="00000000" w:rsidDel="00000000" w:rsidP="00000000" w:rsidRDefault="00000000" w:rsidRPr="00000000" w14:paraId="0000001F">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Who makes this argument:</w:t>
      </w:r>
      <w:r w:rsidDel="00000000" w:rsidR="00000000" w:rsidRPr="00000000">
        <w:rPr>
          <w:rFonts w:ascii="Georgia" w:cs="Georgia" w:eastAsia="Georgia" w:hAnsi="Georgia"/>
          <w:rtl w:val="0"/>
        </w:rPr>
        <w:t xml:space="preserve"> Policy practitioners, political realists, anyone who has tried to pass legislation.</w:t>
      </w:r>
    </w:p>
    <w:p w:rsidR="00000000" w:rsidDel="00000000" w:rsidP="00000000" w:rsidRDefault="00000000" w:rsidRPr="00000000" w14:paraId="00000020">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The strongest version:</w:t>
      </w:r>
      <w:r w:rsidDel="00000000" w:rsidR="00000000" w:rsidRPr="00000000">
        <w:rPr>
          <w:rFonts w:ascii="Georgia" w:cs="Georgia" w:eastAsia="Georgia" w:hAnsi="Georgia"/>
          <w:rtl w:val="0"/>
        </w:rPr>
        <w:t xml:space="preserve"> "Carbon pricing has been debated for thirty years. The most ambitious implementation — the EU Emissions Trading System — covers a fraction of emissions, is riddled with exemptions, and was nearly destroyed by lobbying during the 2008 financial crisis. If we can't implement a simple carbon tax after three decades of scientific consensus on climate change, how exactly do you propose to implement a comprehensive RCV pricing regime covering every non-renewable resource, every externality tail, and every intergenerational foreclosure?</w:t>
      </w:r>
    </w:p>
    <w:p w:rsidR="00000000" w:rsidDel="00000000" w:rsidP="00000000" w:rsidRDefault="00000000" w:rsidRPr="00000000" w14:paraId="00000021">
      <w:pPr>
        <w:spacing w:line="360" w:lineRule="auto"/>
        <w:rPr>
          <w:rFonts w:ascii="Georgia" w:cs="Georgia" w:eastAsia="Georgia" w:hAnsi="Georgia"/>
        </w:rPr>
      </w:pPr>
      <w:r w:rsidDel="00000000" w:rsidR="00000000" w:rsidRPr="00000000">
        <w:rPr>
          <w:rFonts w:ascii="Georgia" w:cs="Georgia" w:eastAsia="Georgia" w:hAnsi="Georgia"/>
          <w:rtl w:val="0"/>
        </w:rPr>
        <w:t xml:space="preserve">"Your framework requires estimating substitutability functions, computing externality tails, designating strategic reserves, establishing universal basic services, coordinating internationally, and doing all of this against the active resistance of the most powerful industries on Earth. This isn't a policy proposal. It's a wish list. Show me the political coalition that passes this. Show me the legislative pathway. Show me the international treaty framework. Without those, this is just another book by another person who understands the problem and can't solve it."</w:t>
      </w:r>
    </w:p>
    <w:p w:rsidR="00000000" w:rsidDel="00000000" w:rsidP="00000000" w:rsidRDefault="00000000" w:rsidRPr="00000000" w14:paraId="00000022">
      <w:pPr>
        <w:spacing w:line="360" w:lineRule="auto"/>
        <w:rPr>
          <w:rFonts w:ascii="Georgia" w:cs="Georgia" w:eastAsia="Georgia" w:hAnsi="Georgia"/>
        </w:rPr>
      </w:pPr>
      <w:r w:rsidDel="00000000" w:rsidR="00000000" w:rsidRPr="00000000">
        <w:rPr>
          <w:rFonts w:ascii="Georgia" w:cs="Georgia" w:eastAsia="Georgia" w:hAnsi="Georgia"/>
          <w:i w:val="1"/>
          <w:iCs w:val="1"/>
          <w:rtl w:val="0"/>
        </w:rPr>
        <w:t xml:space="preserve">Why this is dangerous:</w:t>
      </w:r>
      <w:r w:rsidDel="00000000" w:rsidR="00000000" w:rsidRPr="00000000">
        <w:rPr>
          <w:rFonts w:ascii="Georgia" w:cs="Georgia" w:eastAsia="Georgia" w:hAnsi="Georgia"/>
          <w:rtl w:val="0"/>
        </w:rPr>
        <w:t xml:space="preserve"> Because it's the most pragmatically honest objection. The gap between "what should happen" and "what can happen" is real.</w:t>
      </w:r>
    </w:p>
    <w:p w:rsidR="00000000" w:rsidDel="00000000" w:rsidP="00000000" w:rsidRDefault="00000000" w:rsidRPr="00000000" w14:paraId="00000023">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How the book should respond:</w:t>
      </w:r>
    </w:p>
    <w:p w:rsidR="00000000" w:rsidDel="00000000" w:rsidP="00000000" w:rsidRDefault="00000000" w:rsidRPr="00000000" w14:paraId="00000024">
      <w:pPr>
        <w:spacing w:line="360" w:lineRule="auto"/>
        <w:rPr>
          <w:rFonts w:ascii="Georgia" w:cs="Georgia" w:eastAsia="Georgia" w:hAnsi="Georgia"/>
        </w:rPr>
      </w:pPr>
      <w:r w:rsidDel="00000000" w:rsidR="00000000" w:rsidRPr="00000000">
        <w:rPr>
          <w:rFonts w:ascii="Georgia" w:cs="Georgia" w:eastAsia="Georgia" w:hAnsi="Georgia"/>
          <w:rtl w:val="0"/>
        </w:rPr>
        <w:t xml:space="preserve">Accept the objection's force. The book is not a legislative blueprint. It is a framework — a way of seeing, measuring, and talking about a problem that currently lacks vocabulary. The political pathway is beyond the book's scope, and pretending otherwise would be dishonest.</w:t>
      </w:r>
    </w:p>
    <w:p w:rsidR="00000000" w:rsidDel="00000000" w:rsidP="00000000" w:rsidRDefault="00000000" w:rsidRPr="00000000" w14:paraId="00000025">
      <w:pPr>
        <w:spacing w:line="360" w:lineRule="auto"/>
        <w:rPr>
          <w:rFonts w:ascii="Georgia" w:cs="Georgia" w:eastAsia="Georgia" w:hAnsi="Georgia"/>
        </w:rPr>
      </w:pPr>
      <w:r w:rsidDel="00000000" w:rsidR="00000000" w:rsidRPr="00000000">
        <w:rPr>
          <w:rFonts w:ascii="Georgia" w:cs="Georgia" w:eastAsia="Georgia" w:hAnsi="Georgia"/>
          <w:rtl w:val="0"/>
        </w:rPr>
        <w:t xml:space="preserve">But note what frameworks </w:t>
      </w:r>
      <w:r w:rsidDel="00000000" w:rsidR="00000000" w:rsidRPr="00000000">
        <w:rPr>
          <w:rFonts w:ascii="Georgia" w:cs="Georgia" w:eastAsia="Georgia" w:hAnsi="Georgia"/>
          <w:i w:val="1"/>
          <w:iCs w:val="1"/>
          <w:rtl w:val="0"/>
        </w:rPr>
        <w:t xml:space="preserve">do</w:t>
      </w:r>
      <w:r w:rsidDel="00000000" w:rsidR="00000000" w:rsidRPr="00000000">
        <w:rPr>
          <w:rFonts w:ascii="Georgia" w:cs="Georgia" w:eastAsia="Georgia" w:hAnsi="Georgia"/>
          <w:rtl w:val="0"/>
        </w:rPr>
        <w:t xml:space="preserve"> that legislation can't: they change how people think, which eventually changes what legislation is possible. Harvey's "accumulation by dispossession" didn't pass a law. It gave people a way to name what they were experiencing, which changed political conversations, which eventually influenced policy. Ostrom's commons governance framework didn't create institutions. It identified principles that existing communities were already using, which legitimized those approaches and influenced how subsequent institutions were designed.</w:t>
      </w:r>
    </w:p>
    <w:p w:rsidR="00000000" w:rsidDel="00000000" w:rsidP="00000000" w:rsidRDefault="00000000" w:rsidRPr="00000000" w14:paraId="00000026">
      <w:pPr>
        <w:spacing w:line="360" w:lineRule="auto"/>
        <w:rPr>
          <w:rFonts w:ascii="Georgia" w:cs="Georgia" w:eastAsia="Georgia" w:hAnsi="Georgia"/>
        </w:rPr>
      </w:pPr>
      <w:r w:rsidDel="00000000" w:rsidR="00000000" w:rsidRPr="00000000">
        <w:rPr>
          <w:rFonts w:ascii="Georgia" w:cs="Georgia" w:eastAsia="Georgia" w:hAnsi="Georgia"/>
          <w:rtl w:val="0"/>
        </w:rPr>
        <w:t xml:space="preserve">Commons Bonds aims to do the same: give people a vocabulary (cost severance, residual commons value), a measurement tool (the RCV model), and a framework for thinking about resource pricing that they can apply in their own contexts — at the municipal level, the state level, the national level, the international level. The book doesn't need to pass a law. It needs to change the terms of the debate so that the right laws become conceivable.</w:t>
      </w:r>
    </w:p>
    <w:p w:rsidR="00000000" w:rsidDel="00000000" w:rsidP="00000000" w:rsidRDefault="00000000" w:rsidRPr="00000000" w14:paraId="00000027">
      <w:pPr>
        <w:spacing w:line="360" w:lineRule="auto"/>
        <w:rPr>
          <w:sz w:val="24"/>
          <w:szCs w:val="24"/>
        </w:rPr>
      </w:pPr>
      <w:r w:rsidDel="00000000" w:rsidR="00000000" w:rsidRPr="00000000">
        <w:rPr>
          <w:rFonts w:ascii="Georgia" w:cs="Georgia" w:eastAsia="Georgia" w:hAnsi="Georgia"/>
          <w:rtl w:val="0"/>
        </w:rPr>
        <w:t xml:space="preserve">And point to the entering wedges that already exist. Carbon pricing exists in dozens of jurisdictions. Sovereign wealth funds exist (Alaska, Norway, several Middle Eastern states). Strategic petroleum reserves exist. Mining reclamation bonds exist (imperfectly). Environmental impact assessments exist. Each of these is a partial implementation of one component of the RCV framework. The path forward is not "build everything from scratch" but "strengthen and connect existing mechanisms, filling the gaps with new instruments as the framework identifies them."</w:t>
      </w:r>
      <w:r w:rsidDel="00000000" w:rsidR="00000000" w:rsidRPr="00000000">
        <w:rPr>
          <w:rtl w:val="0"/>
        </w:rPr>
      </w:r>
    </w:p>
    <w:p w:rsidR="00000000" w:rsidDel="00000000" w:rsidP="00000000" w:rsidRDefault="00000000" w:rsidRPr="00000000" w14:paraId="00000028">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