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ob43luug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Commons Bonds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Chris Winn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Dedication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Your grandfather at Langley, or the McDowell County miner and the Chesapeake waterman, or your son. Your call.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10. THE BOOK NEEDS A DEDICATION THAT DOES WORK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Consider dedicating the book to your grandfather at Langley — the model maker in the wind tunnels. Not because it's sentimental (though it is) but because it frames the entire book as a continuation of his work: building instruments that measure what the real world actually does, regardless of what we wish it would 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 dedicate it to the McDowell County miner and the Chesapeake waterman — the people whose costs were severed. Or to your son — the next generation, the one whose future the model prices.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dedication is the first thing a reader sees. It sets the emotional register for everything that follows.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5.99999999999994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