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Accumulation by Dispossession: How Extractive Capitalism Socializes Cost and Privatizes Profit</w:t>
      </w:r>
    </w:p>
    <w:p w:rsidR="00000000" w:rsidDel="00000000" w:rsidP="00000000" w:rsidRDefault="00000000" w:rsidRPr="00000000" w14:paraId="00000006">
      <w:pPr>
        <w:spacing w:after="0" w:before="20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20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Winn</w:t>
      </w:r>
    </w:p>
    <w:p w:rsidR="00000000" w:rsidDel="00000000" w:rsidP="00000000" w:rsidRDefault="00000000" w:rsidRPr="00000000" w14:paraId="00000009">
      <w:pPr>
        <w:spacing w:after="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Virginia Peninsula Community College</w:t>
      </w:r>
    </w:p>
    <w:p w:rsidR="00000000" w:rsidDel="00000000" w:rsidP="00000000" w:rsidRDefault="00000000" w:rsidRPr="00000000" w14:paraId="0000000A">
      <w:pPr>
        <w:spacing w:after="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SOC200-B05H: Introduction to Sociology</w:t>
      </w:r>
    </w:p>
    <w:p w:rsidR="00000000" w:rsidDel="00000000" w:rsidP="00000000" w:rsidRDefault="00000000" w:rsidRPr="00000000" w14:paraId="0000000B">
      <w:pPr>
        <w:spacing w:after="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McGowan</w:t>
      </w:r>
    </w:p>
    <w:p w:rsidR="00000000" w:rsidDel="00000000" w:rsidP="00000000" w:rsidRDefault="00000000" w:rsidRPr="00000000" w14:paraId="0000000C">
      <w:pPr>
        <w:spacing w:after="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31, 2026</w:t>
      </w:r>
    </w:p>
    <w:p w:rsidR="00000000" w:rsidDel="00000000" w:rsidP="00000000" w:rsidRDefault="00000000" w:rsidRPr="00000000" w14:paraId="0000000D">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A">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the structural patterns underlying economic inequality in the United States through the theoretical lens of accumulation by dispossession, a concept developed by geographer David Harvey drawing on Marxist political economy. Using a comparative case analysis spanning the company store and scrip system, Appalachian coal communities, the opioid epidemic as deliberate corporate extraction, Chesapeake Bay watermen, corporate labor practices, the systematic externalization of healthcare costs including end-of-life medical incentive structures, housing as a mechanism of enforced immobility, the 2008 financial crisis and federal bailout, pension-to-401(k) risk transfer, wage stagnation relative to productivity growth, and international resource extraction, this paper argues that capitalism functions not merely as a wealth-generating system but as an extractive one. This extractive dispossession systematically converts communal, public, and environmental value into private profit while externalizing the resulting costs onto workers, communities, and ecosystems. The paper further contends that intergenerational wealth data renders the ideological premise of individual economic mobility empirically indefensible, that the American tax structure delivers far less in guaranteed services than peer nations for a comparable individual burden, and that the American Dream narrative functions as a management tool that individualizes structural failures and suppresses class solidarity across racial, geographic, and cultural lines.</w:t>
      </w:r>
    </w:p>
    <w:p w:rsidR="00000000" w:rsidDel="00000000" w:rsidP="00000000" w:rsidRDefault="00000000" w:rsidRPr="00000000" w14:paraId="0000001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accumulation by dispossession, externalization of costs, intergenerational mobility, 2008 financial crisis, opioid epidemic, healthcare externalization, housing burden, wage stagnation, American Dream ideology, extractive capitalism</w:t>
      </w:r>
    </w:p>
    <w:p w:rsidR="00000000" w:rsidDel="00000000" w:rsidP="00000000" w:rsidRDefault="00000000" w:rsidRPr="00000000" w14:paraId="0000001C">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Accumulation by Dispossession: How Extractive Capitalism Socializes Cost and Privatizes Profit</w:t>
      </w:r>
    </w:p>
    <w:p w:rsidR="00000000" w:rsidDel="00000000" w:rsidP="00000000" w:rsidRDefault="00000000" w:rsidRPr="00000000" w14:paraId="00000021">
      <w:pPr>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J.D. Vance's </w:t>
      </w:r>
      <w:r w:rsidDel="00000000" w:rsidR="00000000" w:rsidRPr="00000000">
        <w:rPr>
          <w:rFonts w:ascii="Times New Roman" w:cs="Times New Roman" w:eastAsia="Times New Roman" w:hAnsi="Times New Roman"/>
          <w:i w:val="1"/>
          <w:iCs w:val="1"/>
          <w:sz w:val="24"/>
          <w:szCs w:val="24"/>
          <w:rtl w:val="0"/>
        </w:rPr>
        <w:t xml:space="preserve">Hillbilly Elegy</w:t>
      </w:r>
      <w:r w:rsidDel="00000000" w:rsidR="00000000" w:rsidRPr="00000000">
        <w:rPr>
          <w:rFonts w:ascii="Times New Roman" w:cs="Times New Roman" w:eastAsia="Times New Roman" w:hAnsi="Times New Roman"/>
          <w:sz w:val="24"/>
          <w:szCs w:val="24"/>
          <w:rtl w:val="0"/>
        </w:rPr>
        <w:t xml:space="preserve"> (2016) arrived as a cultural phenomenon, offering coastal elites a ready explanation for Appalachian decline framed almost entirely in terms of cultural pathology, addiction, learned helplessness, poor financial decisions, and fatalism. Vance's rhetorical power derived from his insider status: a man who escaped the hills through military discipline and Ivy League education, positioned as a credible translator of a community's dysfunction. Yet for all of its emotional force, </w:t>
      </w:r>
      <w:r w:rsidDel="00000000" w:rsidR="00000000" w:rsidRPr="00000000">
        <w:rPr>
          <w:rFonts w:ascii="Times New Roman" w:cs="Times New Roman" w:eastAsia="Times New Roman" w:hAnsi="Times New Roman"/>
          <w:i w:val="1"/>
          <w:iCs w:val="1"/>
          <w:sz w:val="24"/>
          <w:szCs w:val="24"/>
          <w:rtl w:val="0"/>
        </w:rPr>
        <w:t xml:space="preserve">Hillbilly Elegy</w:t>
      </w:r>
      <w:r w:rsidDel="00000000" w:rsidR="00000000" w:rsidRPr="00000000">
        <w:rPr>
          <w:rFonts w:ascii="Times New Roman" w:cs="Times New Roman" w:eastAsia="Times New Roman" w:hAnsi="Times New Roman"/>
          <w:sz w:val="24"/>
          <w:szCs w:val="24"/>
          <w:rtl w:val="0"/>
        </w:rPr>
        <w:t xml:space="preserve"> studiously avoids the structural question: not </w:t>
      </w:r>
      <w:r w:rsidDel="00000000" w:rsidR="00000000" w:rsidRPr="00000000">
        <w:rPr>
          <w:rFonts w:ascii="Times New Roman" w:cs="Times New Roman" w:eastAsia="Times New Roman" w:hAnsi="Times New Roman"/>
          <w:i w:val="1"/>
          <w:iCs w:val="1"/>
          <w:sz w:val="24"/>
          <w:szCs w:val="24"/>
          <w:rtl w:val="0"/>
        </w:rPr>
        <w:t xml:space="preserve">what is wrong with these people</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i w:val="1"/>
          <w:iCs w:val="1"/>
          <w:sz w:val="24"/>
          <w:szCs w:val="24"/>
          <w:rtl w:val="0"/>
        </w:rPr>
        <w:t xml:space="preserve">what has been done to them, by whom, and why?</w:t>
      </w:r>
    </w:p>
    <w:p w:rsidR="00000000" w:rsidDel="00000000" w:rsidP="00000000" w:rsidRDefault="00000000" w:rsidRPr="00000000" w14:paraId="000000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takes up that structural question. Examining multiple case studies across American economic history and international comparison, it argues that what appears as community failure is more precisely understood as the predictable outcome of a system that Harvey (2004) terms </w:t>
      </w:r>
      <w:r w:rsidDel="00000000" w:rsidR="00000000" w:rsidRPr="00000000">
        <w:rPr>
          <w:rFonts w:ascii="Times New Roman" w:cs="Times New Roman" w:eastAsia="Times New Roman" w:hAnsi="Times New Roman"/>
          <w:i w:val="1"/>
          <w:iCs w:val="1"/>
          <w:sz w:val="24"/>
          <w:szCs w:val="24"/>
          <w:rtl w:val="0"/>
        </w:rPr>
        <w:t xml:space="preserve">accumulation by dispossession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extraction of pre-existing value from communities, commons, and labor, its conversion into private profit, and the departure of capital once that value has been exhausted. The consistent pattern across every case is the same: costs are socialized, profits are privatized, and the dominant narrative blames the people bearing the cost.</w:t>
      </w:r>
      <w:r w:rsidDel="00000000" w:rsidR="00000000" w:rsidRPr="00000000">
        <w:rPr>
          <w:rtl w:val="0"/>
        </w:rPr>
      </w:r>
    </w:p>
    <w:p w:rsidR="00000000" w:rsidDel="00000000" w:rsidP="00000000" w:rsidRDefault="00000000" w:rsidRPr="00000000" w14:paraId="00000023">
      <w:pPr>
        <w:keepNext w:val="0"/>
        <w:keepLines w:val="0"/>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 Accumulation by Dispossession</w:t>
      </w:r>
    </w:p>
    <w:p w:rsidR="00000000" w:rsidDel="00000000" w:rsidP="00000000" w:rsidRDefault="00000000" w:rsidRPr="00000000" w14:paraId="000000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Marxist economic theory described capital accumulation as a process of surplus value extraction from wage labor, workers produce more value than they are paid, and capitalists capture the difference. Harvey (2004) extended this framework to describe an equally significant process: capitalism grows not only by generating new value but by appropriating value that already exists in communities, ecosystems, and public goods. Harvey termed this </w:t>
      </w:r>
      <w:r w:rsidDel="00000000" w:rsidR="00000000" w:rsidRPr="00000000">
        <w:rPr>
          <w:rFonts w:ascii="Times New Roman" w:cs="Times New Roman" w:eastAsia="Times New Roman" w:hAnsi="Times New Roman"/>
          <w:i w:val="1"/>
          <w:iCs w:val="1"/>
          <w:sz w:val="24"/>
          <w:szCs w:val="24"/>
          <w:rtl w:val="0"/>
        </w:rPr>
        <w:t xml:space="preserve">accumulation by dispossession</w:t>
      </w:r>
      <w:r w:rsidDel="00000000" w:rsidR="00000000" w:rsidRPr="00000000">
        <w:rPr>
          <w:rFonts w:ascii="Times New Roman" w:cs="Times New Roman" w:eastAsia="Times New Roman" w:hAnsi="Times New Roman"/>
          <w:sz w:val="24"/>
          <w:szCs w:val="24"/>
          <w:rtl w:val="0"/>
        </w:rPr>
        <w:t xml:space="preserve">, updating Marx's concept of primitive accumulation to account for its ongoing, rather than merely historical, operation.</w:t>
      </w:r>
    </w:p>
    <w:p w:rsidR="00000000" w:rsidDel="00000000" w:rsidP="00000000" w:rsidRDefault="00000000" w:rsidRPr="00000000" w14:paraId="000000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follows a consistent pattern: a resource-rich or labor-rich community is penetrated by capital; the resource or labor is extracted at minimal cost to the firm; the social and environmental costs of that extraction are externalized onto the community, the public, or future generations; and when extraction is no longer profitable, capital departs, leaving the community to absorb the residual harm. The system's efficiency depends on maintaining ideological and social conditions that prevent those being extracted from identifying their shared class position or making collective demands.</w:t>
      </w:r>
      <w:r w:rsidDel="00000000" w:rsidR="00000000" w:rsidRPr="00000000">
        <w:rPr>
          <w:rtl w:val="0"/>
        </w:rPr>
      </w:r>
    </w:p>
    <w:p w:rsidR="00000000" w:rsidDel="00000000" w:rsidP="00000000" w:rsidRDefault="00000000" w:rsidRPr="00000000" w14:paraId="00000026">
      <w:pPr>
        <w:keepNext w:val="0"/>
        <w:keepLines w:val="0"/>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Mobility Myth: What the Data Actually Shows</w:t>
      </w:r>
    </w:p>
    <w:p w:rsidR="00000000" w:rsidDel="00000000" w:rsidP="00000000" w:rsidRDefault="00000000" w:rsidRPr="00000000" w14:paraId="000000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examining specific cases of dispossession, it is necessary to confront the empirical premise underlying every cultural explanation for poverty: that in America, individual effort and good decisions reliably produce upward mobility, and that failure to achieve economic security therefore reflects personal deficiency. The data does not support this premise.</w:t>
      </w:r>
    </w:p>
    <w:p w:rsidR="00000000" w:rsidDel="00000000" w:rsidP="00000000" w:rsidRDefault="00000000" w:rsidRPr="00000000" w14:paraId="000000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by Chetty et al. (2014), drawing on tax records covering virtually the entire U.S. population, found that a child born in the bottom income quintile has approximately an 8% chance of reaching the top quintile as an adult. Conversely, a child born in the top quintile has roughly a 33% chance of remaining there. Wealth at birth is not merely an advantage, it is, statistically, the dominant predictor of wealth in adulthood. The authors further found that intergenerational mobility varies dramatically by geography, with the American South and industrial Midwest, precisely the regions most associated with the cultural pathology narrative, showing the lowest mobility rates. These are the regions with the deepest histories of extractive industry, the weakest labor protections, and the least investment in public goods. The immobility is the outcome of the extraction, not of the culture.</w:t>
      </w:r>
    </w:p>
    <w:p w:rsidR="00000000" w:rsidDel="00000000" w:rsidP="00000000" w:rsidRDefault="00000000" w:rsidRPr="00000000" w14:paraId="0000002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Chetty et al. (2018) demonstrated that Black Americans face a distinct and persistent mobility penalty: even controlling for income at birth, Black men are significantly more likely to fall down the economic ladder than white men raised in identical economic circumstances. Race functions as an additional mechanism of extraction layered onto the class-based extraction that affects all workers in economically marginalized communities.</w:t>
      </w:r>
    </w:p>
    <w:p w:rsidR="00000000" w:rsidDel="00000000" w:rsidP="00000000" w:rsidRDefault="00000000" w:rsidRPr="00000000" w14:paraId="000000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wage stagnation data compounds this finding with equal force. Analysis by the Economic Policy Institute shows that from 1948 to 1979, worker productivity and hourly compensation rose together, essentially in tandem. From 1979 to 2020, productivity rose approximately 61% while hourly compensation for non-supervisory workers rose approximately 17.5% (Mishel &amp; Bivens, 2021). The gap between what workers produce and what they are paid has widened continuously for four decades. This is not a market outcome produced by workers' declining contribution. It reflects deliberate policy choices, the sustained suppression of union organizing, deregulation, and tax restructuring, that redirected the gains of productivity away from labor and toward capital. Workers are not failing to work hard enough. They are working more productively than at any point in American history and receiving a declining share of what they produce.</w:t>
      </w:r>
    </w:p>
    <w:p w:rsidR="00000000" w:rsidDel="00000000" w:rsidP="00000000" w:rsidRDefault="00000000" w:rsidRPr="00000000" w14:paraId="000000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sector union membership illustrates the mechanism directly. From a peak of approximately 35% in the mid-1950s, private sector union membership has fallen to roughly 6% today (Bureau of Labor Statistics, 2024). This did not happen because workers stopped valuing collective bargaining. It happened because of sustained, documented employer opposition, statutory restrictions on union organizing established by the Taft-Hartley Act, the Reagan administration's termination of the PATCO air traffic controllers as an explicit signal to employers that federal support for union suppression was available, and the normalized use of permanent replacement workers. The communities Vance describes had strong union traditions. The cultural learned helplessness he attributes to character is temporally correlated with the destruction of the institutional structures that gave those communities economic leverage.</w:t>
      </w:r>
    </w:p>
    <w:p w:rsidR="00000000" w:rsidDel="00000000" w:rsidP="00000000" w:rsidRDefault="00000000" w:rsidRPr="00000000" w14:paraId="000000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close off the bootstrap narrative before it begins. If where you end up is overwhelmingly predicted by where you start, and if workers' share of the value they produce has declined for four consecutive decades regardless of their individual effort, then the appropriate unit of analysis is not individual choices but the structural conditions into which people are born and within which they labor.</w:t>
      </w:r>
      <w:r w:rsidDel="00000000" w:rsidR="00000000" w:rsidRPr="00000000">
        <w:rPr>
          <w:rtl w:val="0"/>
        </w:rPr>
      </w:r>
    </w:p>
    <w:p w:rsidR="00000000" w:rsidDel="00000000" w:rsidP="00000000" w:rsidRDefault="00000000" w:rsidRPr="00000000" w14:paraId="0000002D">
      <w:pPr>
        <w:keepNext w:val="0"/>
        <w:keepLines w:val="0"/>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Tax Trade-Off Americans Were Sold</w:t>
      </w:r>
    </w:p>
    <w:p w:rsidR="00000000" w:rsidDel="00000000" w:rsidP="00000000" w:rsidRDefault="00000000" w:rsidRPr="00000000" w14:paraId="000000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structural analysis of American inequality must also address the ideological premise that lower taxes represent a straightforward benefit to working Americans. The comparative data suggests otherwise.</w:t>
      </w:r>
    </w:p>
    <w:p w:rsidR="00000000" w:rsidDel="00000000" w:rsidP="00000000" w:rsidRDefault="00000000" w:rsidRPr="00000000" w14:paraId="000000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2024, the tax wedge for a single average-wage worker was approximately 30% in the United States compared to roughly 42% in Sweden, a difference of about 11 percentage points (Tax Foundation, 2024). The more revealing figure is the tax-to-GDP ratio: Sweden contributes approximately 41% of its entire economy to public goods, while the United States contributes approximately 26%, a 15-point gap representing the cumulative difference in what each society invests in collective infrastructure (Tax Foundation, 2024).</w:t>
      </w:r>
    </w:p>
    <w:p w:rsidR="00000000" w:rsidDel="00000000" w:rsidP="00000000" w:rsidRDefault="00000000" w:rsidRPr="00000000" w14:paraId="0000003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that 11-cent-per-dollar difference actually purchase for the American worker who keeps more of their paycheck? The absence of guaranteed healthcare, the absence of free higher education, the absence of meaningful parental leave, the absence of subsidized childcare, and retirement risk transferred entirely onto the individual. Sweden's higher contribution funds universal healthcare, free university education including monthly student stipends, 480 days of parental leave per family, and subsidized housing support. The trade-off was presented to American workers as freedom. It functioned as the systematic elimination of the floor beneath them while preserving the ideological narrative that the floor was never needed.</w:t>
      </w:r>
    </w:p>
    <w:p w:rsidR="00000000" w:rsidDel="00000000" w:rsidP="00000000" w:rsidRDefault="00000000" w:rsidRPr="00000000" w14:paraId="000000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individual tax burden comparison understates the full picture. Corporate tax avoidance through offshore profit-shifting structures means that the effective tax rates paid by capital on investment income and corporate profits fall substantially below statutory rates, concentrating the relative burden further onto earned wages. The 11-cent advantage working Americans are told they enjoy is partially offset by the public goods that advantage fails to fund, goods that working Americans then pay for out of pocket, individually, at far greater cost than collective provision would require.</w:t>
      </w:r>
    </w:p>
    <w:p w:rsidR="00000000" w:rsidDel="00000000" w:rsidP="00000000" w:rsidRDefault="00000000" w:rsidRPr="00000000" w14:paraId="000000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Vance's own book inadvertently illustrates this contradiction. Near its conclusion, he observes that European countries seemed better at producing the American Dream than America itself, apparently without recognizing that the social welfare infrastructure he elsewhere disparages is precisely what enables that outcome (Mead, 2016). The safety net he dismisses as dependency is the mechanism by which European workers achieve the mobility American workers are told they should achieve through individual effort alone.</w:t>
      </w:r>
      <w:r w:rsidDel="00000000" w:rsidR="00000000" w:rsidRPr="00000000">
        <w:rPr>
          <w:rtl w:val="0"/>
        </w:rPr>
      </w:r>
    </w:p>
    <w:p w:rsidR="00000000" w:rsidDel="00000000" w:rsidP="00000000" w:rsidRDefault="00000000" w:rsidRPr="00000000" w14:paraId="00000033">
      <w:pPr>
        <w:keepNext w:val="0"/>
        <w:keepLines w:val="0"/>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Analysis</w:t>
      </w:r>
    </w:p>
    <w:p w:rsidR="00000000" w:rsidDel="00000000" w:rsidP="00000000" w:rsidRDefault="00000000" w:rsidRPr="00000000" w14:paraId="00000034">
      <w:pPr>
        <w:keepNext w:val="0"/>
        <w:keepLines w:val="0"/>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Company Store: Making Extraction Visible</w:t>
      </w:r>
    </w:p>
    <w:p w:rsidR="00000000" w:rsidDel="00000000" w:rsidP="00000000" w:rsidRDefault="00000000" w:rsidRPr="00000000" w14:paraId="0000003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historical mechanism makes the logic of accumulation by dispossession more viscerally legible than the company store and scrip system that dominated Appalachian coal communities throughout the late nineteenth and early twentieth centuries. Coal companies established what were called company towns, total economic enclosures in which the corporation owned not only the mine but the housing, the retail stores, the medical facilities, and sometimes the churches (Eller, 1982). Workers did not receive wages in legal tender but in scrip, a private currency issued by the company, redeemable only at company-owned establishments. Because scrip had no value outside the company economy, workers could not accumulate savings, could not shop for better prices, could not build economic independence, and could not leave without forfeiting all accumulated value. Housing could be revoked upon termination, ensuring that labor organizing carried the immediate risk of homelessness.</w:t>
      </w:r>
    </w:p>
    <w:p w:rsidR="00000000" w:rsidDel="00000000" w:rsidP="00000000" w:rsidRDefault="00000000" w:rsidRPr="00000000" w14:paraId="000000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extraction in this system was not subtle. Workers were paid in a medium of exchange specifically designed to capture that payment back within the company's own commercial ecosystem. The labor produced real coal sold for real currency in real markets. The profit was captured by the company in legal tender. The worker received a token that completed a closed loop back to the company's own ledger. Eller (1982) documented that in many company towns, workers effectively earned wages that the company immediately recaptured through mandatory expenditures, the scrip system was architecturally designed to prevent capital accumulation by the labor producing the value.</w:t>
      </w:r>
    </w:p>
    <w:p w:rsidR="00000000" w:rsidDel="00000000" w:rsidP="00000000" w:rsidRDefault="00000000" w:rsidRPr="00000000" w14:paraId="0000003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 system was federally prohibited by the Fair Labor Standards Act of 1938, but its prohibition did not restore the capital already extracted across decades of operation, did not rebuild communities whose economic independence had been systematically prevented, and did not address the health consequences that remained long after the companies departed. </w:t>
      </w:r>
    </w:p>
    <w:p w:rsidR="00000000" w:rsidDel="00000000" w:rsidP="00000000" w:rsidRDefault="00000000" w:rsidRPr="00000000" w14:paraId="000000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loan system, to draw a contemporary parallel, operates on a structurally similar logic: it issues debt that cannot be discharged in bankruptcy, a legal status shared with almost no other consumer debt, binding graduates to decades of payments to financial institutions for credentials the economy requires them to possess. The credential is the new scrip: you must have it to enter the economy, you must go into debt to obtain it, and the debt follows you in ways other debt does not.</w:t>
      </w:r>
    </w:p>
    <w:p w:rsidR="00000000" w:rsidDel="00000000" w:rsidP="00000000" w:rsidRDefault="00000000" w:rsidRPr="00000000" w14:paraId="00000039">
      <w:pPr>
        <w:keepNext w:val="0"/>
        <w:keepLines w:val="0"/>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Opioid Epidemic: Manufacturing the Cultural Pathology</w:t>
      </w:r>
    </w:p>
    <w:p w:rsidR="00000000" w:rsidDel="00000000" w:rsidP="00000000" w:rsidRDefault="00000000" w:rsidRPr="00000000" w14:paraId="000000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Vance's central exhibit of Appalachian cultural failure is addiction, the pervasive presence of opioid dependency that he frames as a product of learned helplessness and poor decision-making. The litigation record of the opioid crisis inverts this framing entirely. What Vance presents as evidence of cultural pathology was in significant part a deliberately manufactured market, and the documentation of that manufacture is now a matter of public legal record.</w:t>
      </w:r>
    </w:p>
    <w:p w:rsidR="00000000" w:rsidDel="00000000" w:rsidP="00000000" w:rsidRDefault="00000000" w:rsidRPr="00000000" w14:paraId="000000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Purdue Pharma's internal documents, surfaced through litigation, showed that the company's sales strategy for OxyContin specifically targeted Appalachian counties characterized by high rates of physical labor injury, limited healthcare infrastructure, concentrations of high-prescribing physicians, and economic precarity that made pain management a pressing community need (Keefe, 2021). These were not incidental market conditions that Purdue happened to find. They were identified, mapped, and targeted as a profit opportunity. The company deployed aggressive physician incentive programs, suppressed internal research documenting addiction risk, and lobbied successfully against regulatory intervention for more than a decade. The Sackler family, Purdue's owners, extracted approximately $11 billion in personal wealth from the company before its bankruptcy (Keefe, 2021). The communities they targeted are still in crisis.</w:t>
      </w:r>
    </w:p>
    <w:p w:rsidR="00000000" w:rsidDel="00000000" w:rsidP="00000000" w:rsidRDefault="00000000" w:rsidRPr="00000000" w14:paraId="000000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is structurally identical to the scrip economy: a corporation identified a resource-rich environment, in this case, a population with high rates of untreated pain and limited medical alternatives, penetrated it with a product engineered to create dependency, captured the revenue, externalized the addiction, overdose deaths, family destruction, and public health costs onto the communities and the state, and then exited through bankruptcy reorganization that shielded much of the family's extracted wealth from creditor claims. Vance's cultural pathology is traceable, county by county, to a corporation's sales map. The extraction did not stop at the body. It reached into the community's capacity to imagine a future.</w:t>
      </w:r>
      <w:r w:rsidDel="00000000" w:rsidR="00000000" w:rsidRPr="00000000">
        <w:rPr>
          <w:rtl w:val="0"/>
        </w:rPr>
      </w:r>
    </w:p>
    <w:p w:rsidR="00000000" w:rsidDel="00000000" w:rsidP="00000000" w:rsidRDefault="00000000" w:rsidRPr="00000000" w14:paraId="0000003D">
      <w:pPr>
        <w:keepNext w:val="0"/>
        <w:keepLines w:val="0"/>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Healthcare as the Externalized Body</w:t>
      </w:r>
    </w:p>
    <w:p w:rsidR="00000000" w:rsidDel="00000000" w:rsidP="00000000" w:rsidRDefault="00000000" w:rsidRPr="00000000" w14:paraId="000000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coal industry's most enduring legacy of externalization is not economic but physical. Black lung disease, coal workers' pneumoconiosis, results from long-term inhalation of coal dust. It is progressive, irreversible, and fatal. It is also entirely the product of working conditions coal companies created and, for decades, actively denied and suppressed. The National Institute for Occupational Safety and Health documented a resurgence of severe black lung cases beginning in the 2000s, with a particularly virulent form affecting younger miners attributed to the cutting of silica-containing rock in thinner coal seams (Blackley et al., 2018). The companies that extracted profit from these miners' bodies did not fund treatment of the diseases those bodies acquired in service of that extraction. That cost was externalized onto miners, their families, state disability systems, and the federally funded Black Lung Benefits Program, which has faced chronic underfunding even as case rates have risen.</w:t>
      </w:r>
    </w:p>
    <w:p w:rsidR="00000000" w:rsidDel="00000000" w:rsidP="00000000" w:rsidRDefault="00000000" w:rsidRPr="00000000" w14:paraId="000000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of healthcare externalization is not confined to extractive industries. It is the structural norm of the American economy. The employer-based health insurance system ties healthcare access to employment status in ways that systematically shift risk onto workers. A full-time worker who loses their position loses healthcare coverage at the precise moment their need for it is likely to increase. Part-time workers are largely excluded from employer-sponsored coverage. Gig economy workers classified as independent contractors, a classification that platforms have spent enormous resources to preserve, including over $200 million on California's Proposition 22 alone, have no employer healthcare relationship whatsoever. The entire risk of illness, injury, and catastrophic medical cost falls on individuals providing labor that generates value for platform companies.</w:t>
      </w:r>
    </w:p>
    <w:p w:rsidR="00000000" w:rsidDel="00000000" w:rsidP="00000000" w:rsidRDefault="00000000" w:rsidRPr="00000000" w14:paraId="000000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consequences are visible in a phenomenon with no equivalent in peer nations: the medical crowdfunding campaign. Over one-third of all GoFundMe campaigns are for medical needs, and between 2016 and 2020 alone, nearly 438,000 medical campaigns raised more than $2 billion from over 21 million donations, yet only 12% of campaigns met their fundraising goals, and 16% received no donations at all (Howgego, 2019). GoFundMe's own CEO acknowledged that the platform was never designed to function as a healthcare financing mechanism but has become one by default (Klass, 2023). A for-profit company has been inadvertently built into the load-bearing wall of the American healthcare non-system.</w:t>
      </w:r>
    </w:p>
    <w:p w:rsidR="00000000" w:rsidDel="00000000" w:rsidP="00000000" w:rsidRDefault="00000000" w:rsidRPr="00000000" w14:paraId="0000004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cruelty of this arrangement compounds at the intersection of race and crowdfunding. Research indicates that campaigns organized by individuals with distinctively African American or Hispanic surnames raise significantly less and are less likely to meet their goals than those organized by individuals with names perceived as white, even after controlling for location and time period (Ly &amp; Soman, 2020). The replacement for a social safety net replicates the racial inequalities it was implicitly offered to address, while requiring people to publicly expose their worst moments to social networks whose size and wealth determine whether survival is possible.</w:t>
      </w:r>
    </w:p>
    <w:p w:rsidR="00000000" w:rsidDel="00000000" w:rsidP="00000000" w:rsidRDefault="00000000" w:rsidRPr="00000000" w14:paraId="00000042">
      <w:pPr>
        <w:keepNext w:val="0"/>
        <w:keepLines w:val="0"/>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$54 Conversation: Extraction at the End of Life</w:t>
      </w:r>
    </w:p>
    <w:p w:rsidR="00000000" w:rsidDel="00000000" w:rsidP="00000000" w:rsidRDefault="00000000" w:rsidRPr="00000000" w14:paraId="000000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externalization of healthcare costs does not conclude with the working body. It extends into the dying one. Journalist Katy Butler's account of her father's final years documents with surgical precision the financial architecture governing end-of-life medical decisions in the United States, demonstrating that the logic of accumulation by dispossession operates even at the threshold of death.</w:t>
      </w:r>
    </w:p>
    <w:p w:rsidR="00000000" w:rsidDel="00000000" w:rsidP="00000000" w:rsidRDefault="00000000" w:rsidRPr="00000000" w14:paraId="000000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Butler's elderly father, severely diminished by stroke, was evaluated for a pacemaker, the financial incentives structuring that conversation were as follows: Medicare would have reimbursed the cardiologist $54 for a long office visit to discuss treatment alternatives. The implant procedure itself generated $461 for the surgeon and a flat fee of approximately $12,000 for the hospital, of which nearly half flowed directly to the device manufacturer (Butler, 2010). The conversation that might have spared an elderly man years of diminished existence, and spared his 80-year-old wife from working 80-hour weeks as his unpaid caregiver, was worth $54 to the system. The procedure that foreclosed that conversation was worth $12,000, with the device company as a silent financial beneficiary.</w:t>
      </w:r>
    </w:p>
    <w:p w:rsidR="00000000" w:rsidDel="00000000" w:rsidP="00000000" w:rsidRDefault="00000000" w:rsidRPr="00000000" w14:paraId="000000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liability architecture reinforces this incentive with equal force. A physician who performs a procedure cannot be sued for doing so if the patient later dies of an unrelated cause. A physician who declines a procedure faces malpractice exposure if the patient subsequently experiences a cardiac event. Both incentives point in the same direction: toward the procedure, toward the device company's revenue, and away from the patient's actual wishes. Research confirms that fee-for-service reimbursement structures significantly influence treatment volume, with physicians disproportionately adjusting provision of intensive and elective treatments as reimbursements rise (Hadley, 2003). The National Commission on Physician Payment Reform concluded that fee-for-service reimbursement is the most important structural driver of high healthcare costs in the United States (NCPPR, 2012).</w:t>
      </w:r>
    </w:p>
    <w:p w:rsidR="00000000" w:rsidDel="00000000" w:rsidP="00000000" w:rsidRDefault="00000000" w:rsidRPr="00000000" w14:paraId="000000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Butler's family later sought to have the device deactivated, the cardiologist refused and said he could find no colleague willing to perform the procedure. Butler's father spent more than five years in profound decline before dying with the device still functioning. Her summary: her parents had lost control of their lives to financial incentives skewed toward maximum treatment, benefiting cardiologists, hospitals, and device manufacturers (Butler, 2010). The extraction does not stop at the grave. The system is organized around reaching into it.</w:t>
      </w:r>
    </w:p>
    <w:p w:rsidR="00000000" w:rsidDel="00000000" w:rsidP="00000000" w:rsidRDefault="00000000" w:rsidRPr="00000000" w14:paraId="000000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 Timothy Quill, whose 1991 New England Journal of Medicine account of assisting a terminally ill patient's death ignited a national debate, articulated the distinction the financial system works to suppress: the difference between prolonging life and prolonging dying (Quill, 1991). The reason this conversation remains structurally marginalized in American medicine is not primarily ethical, polling consistently shows majority public support for end-of-life autonomy (AMA, 2019). The reason is financial. Discussing withdrawal of treatment means discussing not billing for something the system is organized to bill for.</w:t>
      </w:r>
    </w:p>
    <w:p w:rsidR="00000000" w:rsidDel="00000000" w:rsidP="00000000" w:rsidRDefault="00000000" w:rsidRPr="00000000" w14:paraId="00000048">
      <w:pPr>
        <w:keepNext w:val="0"/>
        <w:keepLines w:val="0"/>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Housing as the Mechanism of Enforced Immobility</w:t>
      </w:r>
    </w:p>
    <w:p w:rsidR="00000000" w:rsidDel="00000000" w:rsidP="00000000" w:rsidRDefault="00000000" w:rsidRPr="00000000" w14:paraId="000000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bootstrap narrative's last refuge, when confronted with evidence of structural immobility, is the argument that people in struggling communities can simply relocate to places with better opportunities. The housing data forecloses this argument empirically.</w:t>
      </w:r>
    </w:p>
    <w:p w:rsidR="00000000" w:rsidDel="00000000" w:rsidP="00000000" w:rsidRDefault="00000000" w:rsidRPr="00000000" w14:paraId="0000004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2024, 22.7 million renter households, 49% of all renters, were cost-burdened, spending more than 30% of their income on housing, setting a record high for the fourth consecutive year (Harvard Joint Center for Housing Studies, 2024). Between 2019 and 2024, renters' median housing costs rose 38% while incomes increased just 28% (Harvard Joint Center for Housing Studies, 2024). More than 90% of Americans live in counties where median rents and home prices grew faster than median incomes from 2000 to 2020 (U.S. Department of the Treasury, 2021). This is not a local anomaly. It is the national condition.</w:t>
      </w:r>
    </w:p>
    <w:p w:rsidR="00000000" w:rsidDel="00000000" w:rsidP="00000000" w:rsidRDefault="00000000" w:rsidRPr="00000000" w14:paraId="000000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housing consumes 30 to 50% of income, there is mathematically no path to savings accumulation, no capacity to absorb a medical emergency, and no realistic possibility of financing relocation to a region with stronger economic opportunity. Geographic mobility, the mechanism by which the bootstrap narrative imagines struggling workers moving toward better outcomes, requires a savings cushion to absorb relocation costs and a period without income, neither of which is available to a household spending half its earnings on shelter. The housing market does not merely fail to help workers climb. It is priced in ways that prevent the accumulation that would make climbing possible. The landlord class captures the surplus that wages cannot absorb, and the intergenerational wealth gap compounds with each generation that cannot convert income into equity.</w:t>
      </w:r>
    </w:p>
    <w:p w:rsidR="00000000" w:rsidDel="00000000" w:rsidP="00000000" w:rsidRDefault="00000000" w:rsidRPr="00000000" w14:paraId="0000004C">
      <w:pPr>
        <w:keepNext w:val="0"/>
        <w:keepLines w:val="0"/>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2008 Financial Crisis: Dispossession at National Scale</w:t>
      </w:r>
    </w:p>
    <w:p w:rsidR="00000000" w:rsidDel="00000000" w:rsidP="00000000" w:rsidRDefault="00000000" w:rsidRPr="00000000" w14:paraId="000000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modern event demonstrates the core thesis of this paper more completely than the 2008 financial crisis and the federal response to it. It is the most publicly visible, most thoroughly documented, and most broadly experienced instance of profit privatization and cost socialization in contemporary American history, and it happened not to a specific community or industry sector but to the entire national economy simultaneously, making cultural or geographic explanations structurally unavailable.</w:t>
      </w:r>
    </w:p>
    <w:p w:rsidR="00000000" w:rsidDel="00000000" w:rsidP="00000000" w:rsidRDefault="00000000" w:rsidRPr="00000000" w14:paraId="0000004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operated as follows. Financial institutions created mortgage-backed securities and collateralized debt obligations composed of bundled home loans, including large quantities of subprime loans issued to borrowers with limited ability to service them under adverse conditions. These instruments were rated as safe by credit rating agencies with documented conflicts of interest, sold to pension funds, retirement accounts, and institutional investors globally, and used as collateral for leveraged positions that amplified the underlying risk by orders of magnitude. The fees generated at each stage of this process, origination, securitization, rating, trading, were captured as private profit during the boom. When the underlying loan quality deteriorated and the instruments collapsed in value, the losses propagated through the financial system with sufficient velocity to threaten systemic institutional failure.</w:t>
      </w:r>
    </w:p>
    <w:p w:rsidR="00000000" w:rsidDel="00000000" w:rsidP="00000000" w:rsidRDefault="00000000" w:rsidRPr="00000000" w14:paraId="000000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federal government responded with the Troubled Asset Relief Program, authorizing $700 billion in public funds to stabilize financial institutions (Financial Crisis Inquiry Commission, 2011). The Federal Reserve extended trillions in additional emergency lending facilities. The institutions that had generated the instruments, collected the fees, and distributed the risk were stabilized with public money. Within 18 months of receiving federal assistance, major financial institutions had resumed paying executive bonuses comparable to pre-crisis levels (Financial Crisis Inquiry Commission, 2011). Approximately 10 million American families lost their homes to foreclosure between 2008 and 2012 (Gruenberg, 2012). No comparable federal intervention was organized on their behalf.</w:t>
      </w:r>
    </w:p>
    <w:p w:rsidR="00000000" w:rsidDel="00000000" w:rsidP="00000000" w:rsidRDefault="00000000" w:rsidRPr="00000000" w14:paraId="0000005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compounding mechanism deserves particular attention. The 401(k) accounts that had replaced defined-benefit pensions, themselves a risk transfer from corporations to individuals, were among the primary vehicles through which working Americans absorbed the losses from Wall Street's collapse. The risk transfer happened twice on the same money: first when corporations shifted retirement risk from institutional balance sheets to individual workers, and again when those individual accounts absorbed the losses generated by the financial instruments that institutional actors had created, collected fees from, and then been rescued from with public funds. The privatization of profit and socialization of cost operated at every level of the same transaction simultaneously.</w:t>
      </w:r>
    </w:p>
    <w:p w:rsidR="00000000" w:rsidDel="00000000" w:rsidP="00000000" w:rsidRDefault="00000000" w:rsidRPr="00000000" w14:paraId="000000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Crisis Inquiry Commission, established by Congress to investigate the causes of the crisis, concluded that it was the result of human action and inaction, not of forces beyond human control, and that the failures of corporate governance, risk management, and regulatory oversight were widespread (Financial Crisis Inquiry Commission, 2011). The people who lost their homes were told they had borrowed irresponsibly. The institutions that had designed, marketed, and profited from the instruments that made those loans possible were told they were too big to fail.</w:t>
      </w:r>
    </w:p>
    <w:p w:rsidR="00000000" w:rsidDel="00000000" w:rsidP="00000000" w:rsidRDefault="00000000" w:rsidRPr="00000000" w14:paraId="00000052">
      <w:pPr>
        <w:keepNext w:val="0"/>
        <w:keepLines w:val="0"/>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Chesapeake Bay Watermen</w:t>
      </w:r>
    </w:p>
    <w:p w:rsidR="00000000" w:rsidDel="00000000" w:rsidP="00000000" w:rsidRDefault="00000000" w:rsidRPr="00000000" w14:paraId="000000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watermen of the Chesapeake Bay represent the same structural pattern applied to a commons rather than a wage labor relationship. Independent watermen fishing blue crab, oysters, and other species from the Bay operated within a commons that was historically self-sustaining when harvested at traditional scales. The industrialization of seafood harvesting corporate fleets with greater capital investment, access to political influence over licensing and regulation, and the capacity to absorb short-term losses enabled systematic overharvesting of the Bay's resources (Paolisso, 2002). Independent watermen could not compete with corporate capitalization, nor could most easily relocate or retrain given the geographic and cultural specificity of their livelihood. The commons was depleted. The private fleets captured the surplus extraction. The costs ecological collapse, loss of an independent livelihood culture, community dissolution, were absorbed by the watermen and the broader public, which now funds ongoing Bay restoration efforts. Profit privatized. Restoration costs are socialized.</w:t>
      </w:r>
    </w:p>
    <w:p w:rsidR="00000000" w:rsidDel="00000000" w:rsidP="00000000" w:rsidRDefault="00000000" w:rsidRPr="00000000" w14:paraId="00000054">
      <w:pPr>
        <w:keepNext w:val="0"/>
        <w:keepLines w:val="0"/>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 Extraction and the Hidden Economy of Time</w:t>
      </w:r>
    </w:p>
    <w:p w:rsidR="00000000" w:rsidDel="00000000" w:rsidP="00000000" w:rsidRDefault="00000000" w:rsidRPr="00000000" w14:paraId="000000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logic operates, less visibly, in standard employment relationships. Sociologists have documented the extraction of what Hochschild (1997) termed the "third shift", the domestic and emotional labor that makes wage workers available and functional for capitalist production. The costs of worker reproduction, family formation, healthcare, mental health maintenance, rest, are systematically pushed onto workers and households rather than reflected in compensation. The gig economy classification dodge crystallizes this arrangement in its most explicit contemporary form: platforms classify workers as independent contractors, exempting themselves from minimum wage requirements, overtime protections, workers' compensation, unemployment insurance, and employer healthcare contributions, while capturing the full value of the labor those workers provide. The worker absorbs every risk. The platform captures every margin.</w:t>
      </w:r>
    </w:p>
    <w:p w:rsidR="00000000" w:rsidDel="00000000" w:rsidP="00000000" w:rsidRDefault="00000000" w:rsidRPr="00000000" w14:paraId="00000056">
      <w:pPr>
        <w:keepNext w:val="0"/>
        <w:keepLines w:val="0"/>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Pension-to-401(k) Transition</w:t>
      </w:r>
    </w:p>
    <w:p w:rsidR="00000000" w:rsidDel="00000000" w:rsidP="00000000" w:rsidRDefault="00000000" w:rsidRPr="00000000" w14:paraId="0000005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policy transitions illustrate accumulation by dispossession more precisely than the shift from defined-benefit pension systems to defined-contribution retirement plans. Under defined-benefit pensions, corporations bore the long-term actuarial risk of funding retirement obligations. Under defined-contribution systems, that risk is transferred entirely to individual workers, now exposed to market volatility, responsible for investment decisions beyond the expertise of most households, and dependent on sustained employment and contribution capacity over multi-decade time horizons. As Hacker (2006) documented, this transition resulted from deliberate corporate lobbying and political choices that systematically moved risk from institutions capable of managing it to individuals far less equipped to do so. The 2008 financial crisis then demonstrated exactly what individual exposure to that risk looks like when the instruments managing it collapse: the same workers who had absorbed the pension risk absorbed the market collapse in the same accounts. Benefit privatized. Risk socialized. Twice.</w:t>
      </w:r>
    </w:p>
    <w:p w:rsidR="00000000" w:rsidDel="00000000" w:rsidP="00000000" w:rsidRDefault="00000000" w:rsidRPr="00000000" w14:paraId="00000058">
      <w:pPr>
        <w:keepNext w:val="0"/>
        <w:keepLines w:val="0"/>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Comparison: Nigeria and Saudi Arabia</w:t>
      </w:r>
    </w:p>
    <w:p w:rsidR="00000000" w:rsidDel="00000000" w:rsidP="00000000" w:rsidRDefault="00000000" w:rsidRPr="00000000" w14:paraId="000000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divergence between Nigeria and Saudi Arabia in managing petroleum resource wealth illustrates that dispossession is not the inevitable fate of resource-rich communities, it is the outcome of specific political and economic arrangements. Saudi Arabia, through state enterprise and sovereign wealth fund mechanisms, has historically retained substantial portions of petroleum revenue within the national economy (Karl, 1997). Nigeria, by contrast, has experienced petroleum wealth largely expatriated through multinational corporate structures, with producing regions like the Niger Delta bearing the health and ecological costs of extraction with minimal share of the revenue (Watts, 2004). The difference is not geological or cultural. It is whether the political economy captured the resource value for the community or allowed its privatization by external capital. What appears as a natural economic outcome in the American cases is in fact a political choice embedded in institutional arrangements.</w:t>
      </w:r>
    </w:p>
    <w:p w:rsidR="00000000" w:rsidDel="00000000" w:rsidP="00000000" w:rsidRDefault="00000000" w:rsidRPr="00000000" w14:paraId="0000005A">
      <w:pPr>
        <w:spacing w:after="0" w:before="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American Dream as Ideological Management</w:t>
      </w:r>
    </w:p>
    <w:p w:rsidR="00000000" w:rsidDel="00000000" w:rsidP="00000000" w:rsidRDefault="00000000" w:rsidRPr="00000000" w14:paraId="0000005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preceding cases raises an obvious question: why do the people bearing these costs not make collective demands to change the arrangements? The answer lies partly in what Gramsci (1971) termed </w:t>
      </w:r>
      <w:r w:rsidDel="00000000" w:rsidR="00000000" w:rsidRPr="00000000">
        <w:rPr>
          <w:rFonts w:ascii="Times New Roman" w:cs="Times New Roman" w:eastAsia="Times New Roman" w:hAnsi="Times New Roman"/>
          <w:i w:val="1"/>
          <w:iCs w:val="1"/>
          <w:sz w:val="24"/>
          <w:szCs w:val="24"/>
          <w:rtl w:val="0"/>
        </w:rPr>
        <w:t xml:space="preserve">hegemony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capacity of a dominant class to secure the consent of those it exploits by making its interests appear as common sense, natural, and morally legitimate.</w:t>
      </w:r>
    </w:p>
    <w:p w:rsidR="00000000" w:rsidDel="00000000" w:rsidP="00000000" w:rsidRDefault="00000000" w:rsidRPr="00000000" w14:paraId="000000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American Dream functions precisely as such a hegemonic narrative. By framing economic success and failure as the products of individual virtue, effort, and decision-making, it transforms structural outcomes into personal moral verdicts. The intergenerational wealth data makes the ideological function of this narrative explicit: if mobility is statistically rare and geography-dependent, then bootstrapping is not a description of the system, it is a story the system tells about itself to suppress demands for change. The wage stagnation data makes it doubly explicit: workers have been more productive for four consecutive decades while receiving a declining share of what they produce, and have been told this reflects their individual market value. The 2008 crisis makes it triply explicit: the institutions that designed the instruments that caused the collapse were rescued with public funds while the people who lost their homes were told they had borrowed irresponsibly.</w:t>
      </w:r>
    </w:p>
    <w:p w:rsidR="00000000" w:rsidDel="00000000" w:rsidP="00000000" w:rsidRDefault="00000000" w:rsidRPr="00000000" w14:paraId="0000005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structural failure is recast as personal failure, the person bearing the cost also bears the shame, and the institutions producing the cost remain unexamined. Environmental racism illustrates this at the community level: the documented pattern of toxic facilities and polluting industries being disproportionately sited in low-income communities and communities of color, with health costs absorbed by those communities while economic benefits flow elsewhere, is consistently framed as the consequence of property values rather than of deliberate siting decisions that treat certain communities as acceptable sacrifice zones (Bullard, 1990). The ideology that explains away individual poverty explains away community sacrifice with equal efficiency.</w:t>
      </w:r>
    </w:p>
    <w:p w:rsidR="00000000" w:rsidDel="00000000" w:rsidP="00000000" w:rsidRDefault="00000000" w:rsidRPr="00000000" w14:paraId="0000005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Vance's </w:t>
      </w:r>
      <w:r w:rsidDel="00000000" w:rsidR="00000000" w:rsidRPr="00000000">
        <w:rPr>
          <w:rFonts w:ascii="Times New Roman" w:cs="Times New Roman" w:eastAsia="Times New Roman" w:hAnsi="Times New Roman"/>
          <w:i w:val="1"/>
          <w:iCs w:val="1"/>
          <w:sz w:val="24"/>
          <w:szCs w:val="24"/>
          <w:rtl w:val="0"/>
        </w:rPr>
        <w:t xml:space="preserve">Hillbilly Elegy</w:t>
      </w:r>
      <w:r w:rsidDel="00000000" w:rsidR="00000000" w:rsidRPr="00000000">
        <w:rPr>
          <w:rFonts w:ascii="Times New Roman" w:cs="Times New Roman" w:eastAsia="Times New Roman" w:hAnsi="Times New Roman"/>
          <w:sz w:val="24"/>
          <w:szCs w:val="24"/>
          <w:rtl w:val="0"/>
        </w:rPr>
        <w:t xml:space="preserve"> is, in this sense, an artifact of this ideology, a narrative that translates structural dispossession into cultural pathology, and in doing so renders the system that produced that dispossession invisible.</w:t>
      </w:r>
    </w:p>
    <w:p w:rsidR="00000000" w:rsidDel="00000000" w:rsidP="00000000" w:rsidRDefault="00000000" w:rsidRPr="00000000" w14:paraId="0000005F">
      <w:pPr>
        <w:keepNext w:val="0"/>
        <w:keepLines w:val="0"/>
        <w:spacing w:after="0" w:before="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Division as System Maintenance</w:t>
      </w:r>
    </w:p>
    <w:p w:rsidR="00000000" w:rsidDel="00000000" w:rsidP="00000000" w:rsidRDefault="00000000" w:rsidRPr="00000000" w14:paraId="000000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important structural feature of extractive capitalism is its dependence on the failure of cross-community solidarity. The Appalachian coal miner, the Nigerian subsistence farmer, and the Chesapeake waterman occupy identical structural positions: communities whose resources, labor, or commons have been extracted by mobile capital, who have absorbed the externalized costs, and who have been provided with ideological explanations that prevent them from recognizing each other.</w:t>
      </w:r>
    </w:p>
    <w:p w:rsidR="00000000" w:rsidDel="00000000" w:rsidP="00000000" w:rsidRDefault="00000000" w:rsidRPr="00000000" w14:paraId="000000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explanations vary by available social divisions such as race, geography, culture, and political identity all serve as mechanisms for preventing cross-community recognition. A white Appalachian coal miner and a Black sharecropper in the Jim Crow South occupied nearly identical economic positions relative to the capital extracting value from both, but were provided with racial narratives that made solidarity not just unlikely but actively unthinkable. The GoFundMe racial disparity data illustrates the contemporary operation of this mechanism: even the charity that replaced the safety net replicates racial hierarchy, meaning the system's substitute for collective provision reproduces the divisions that collective provision might otherwise have dissolved. This is not a conspiracy. It is the ordinary operation of a system that benefits from division and requires no coordination to maintain it, only that existing social fractures remain available to activate whenever common interest threatens to become visible.</w:t>
      </w:r>
    </w:p>
    <w:p w:rsidR="00000000" w:rsidDel="00000000" w:rsidP="00000000" w:rsidRDefault="00000000" w:rsidRPr="00000000" w14:paraId="00000062">
      <w:pPr>
        <w:keepNext w:val="0"/>
        <w:keepLines w:val="0"/>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Hillbilly Elegy</w:t>
      </w:r>
      <w:r w:rsidDel="00000000" w:rsidR="00000000" w:rsidRPr="00000000">
        <w:rPr>
          <w:rFonts w:ascii="Times New Roman" w:cs="Times New Roman" w:eastAsia="Times New Roman" w:hAnsi="Times New Roman"/>
          <w:sz w:val="24"/>
          <w:szCs w:val="24"/>
          <w:rtl w:val="0"/>
        </w:rPr>
        <w:t xml:space="preserve"> is a symptom of the very ideology it unwittingly illustrates. By narrating Appalachian decline as cultural failure and individual redemption, Vance performs the precise operation that extractive capitalism requires of its cultural translators: the conversion of structural dispossession into personal moral narrative. The coal miner, the waterman, the overworked gig worker without health insurance, the family reduced to a GoFundMe campaign after a cancer diagnosis, the elderly stroke patient kept alive by a pacemaker generating revenue for a device company while his wife provides unpaid labor the system has no mechanism to compensate, the homeowner who lost their house in 2008 while the institution that sold them the instrument was rescued with public funds, the worker whose productivity has risen for four decades while their real wage has not, none of these are failures of culture or character. They are the predictable outputs of a system built on the systematic privatization of profit and socialization of cost.</w:t>
      </w:r>
    </w:p>
    <w:p w:rsidR="00000000" w:rsidDel="00000000" w:rsidP="00000000" w:rsidRDefault="00000000" w:rsidRPr="00000000" w14:paraId="0000006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Harvey's concept of accumulation by dispossession names the mechanism. The intergenerational mobility data and four decades of wage stagnation name the outcome. The scrip system, the opioid epidemic's corporate origins, the black lung epidemic, the $54 conversation versus the $12,000 procedure, the crowdfunded chemotherapy campaigns, the housing market designed to prevent savings accumulation, the 2008 bailout that rescued institutions while foreclosing on families, and the 401(k) transition that transferred risk twice on the same money all demonstrate its operation across vastly different contexts and across the full arc of a human life, from the labor of working years through the vulnerability of illness to the threshold of death itself. The American Dream names the ideological structure that sustains it. And the consistent activation of racial, cultural, and geographic divisions names the social technology that prevents its correction.</w:t>
      </w:r>
    </w:p>
    <w:p w:rsidR="00000000" w:rsidDel="00000000" w:rsidP="00000000" w:rsidRDefault="00000000" w:rsidRPr="00000000" w14:paraId="000000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these as connected phenomena, not as isolated economic circumstances or cultural failures, is a precondition for any serious engagement with the structures of American inequality. What would it take to change society? Rousseau's answer with “A Discourse on Inequality”, is that society changes when people no longer </w:t>
      </w:r>
      <w:r w:rsidDel="00000000" w:rsidR="00000000" w:rsidRPr="00000000">
        <w:rPr>
          <w:rFonts w:ascii="Times New Roman" w:cs="Times New Roman" w:eastAsia="Times New Roman" w:hAnsi="Times New Roman"/>
          <w:i w:val="1"/>
          <w:iCs w:val="1"/>
          <w:sz w:val="24"/>
          <w:szCs w:val="24"/>
          <w:rtl w:val="0"/>
        </w:rPr>
        <w:t xml:space="preserve">feel</w:t>
      </w:r>
      <w:r w:rsidDel="00000000" w:rsidR="00000000" w:rsidRPr="00000000">
        <w:rPr>
          <w:rFonts w:ascii="Times New Roman" w:cs="Times New Roman" w:eastAsia="Times New Roman" w:hAnsi="Times New Roman"/>
          <w:sz w:val="24"/>
          <w:szCs w:val="24"/>
          <w:rtl w:val="0"/>
        </w:rPr>
        <w:t xml:space="preserve"> the existing arrangement is natural. If nothing else after reading about this, I hope the existing arrangement is at least more visible.</w:t>
      </w:r>
    </w:p>
    <w:p w:rsidR="00000000" w:rsidDel="00000000" w:rsidP="00000000" w:rsidRDefault="00000000" w:rsidRPr="00000000" w14:paraId="0000006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spacing w:after="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8">
      <w:pPr>
        <w:spacing w:after="0" w:before="200" w:lineRule="auto"/>
        <w:ind w:left="270" w:hanging="27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American Medical Association. (2019). </w:t>
      </w:r>
      <w:r w:rsidDel="00000000" w:rsidR="00000000" w:rsidRPr="00000000">
        <w:rPr>
          <w:rFonts w:ascii="Times New Roman" w:cs="Times New Roman" w:eastAsia="Times New Roman" w:hAnsi="Times New Roman"/>
          <w:i w:val="1"/>
          <w:iCs w:val="1"/>
          <w:sz w:val="24"/>
          <w:szCs w:val="24"/>
          <w:rtl w:val="0"/>
        </w:rPr>
        <w:t xml:space="preserve">AMA principles on end-of-life care</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https://www.ama-assn.org</w:t>
        </w:r>
      </w:hyperlink>
      <w:r w:rsidDel="00000000" w:rsidR="00000000" w:rsidRPr="00000000">
        <w:rPr>
          <w:rtl w:val="0"/>
        </w:rPr>
      </w:r>
    </w:p>
    <w:p w:rsidR="00000000" w:rsidDel="00000000" w:rsidP="00000000" w:rsidRDefault="00000000" w:rsidRPr="00000000" w14:paraId="00000069">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Berliner, L. S., &amp; Kenworthy, N. J. (2017). Producing a worthy illness: Personal crowdfunding amidst financial crisis. </w:t>
      </w:r>
      <w:r w:rsidDel="00000000" w:rsidR="00000000" w:rsidRPr="00000000">
        <w:rPr>
          <w:rFonts w:ascii="Times New Roman" w:cs="Times New Roman" w:eastAsia="Times New Roman" w:hAnsi="Times New Roman"/>
          <w:i w:val="1"/>
          <w:iCs w:val="1"/>
          <w:sz w:val="24"/>
          <w:szCs w:val="24"/>
          <w:rtl w:val="0"/>
        </w:rPr>
        <w:t xml:space="preserve">Social Science &amp; Medicine, 187</w:t>
      </w:r>
      <w:r w:rsidDel="00000000" w:rsidR="00000000" w:rsidRPr="00000000">
        <w:rPr>
          <w:rFonts w:ascii="Times New Roman" w:cs="Times New Roman" w:eastAsia="Times New Roman" w:hAnsi="Times New Roman"/>
          <w:sz w:val="24"/>
          <w:szCs w:val="24"/>
          <w:rtl w:val="0"/>
        </w:rPr>
        <w:t xml:space="preserve">, 233–242.</w:t>
      </w:r>
    </w:p>
    <w:p w:rsidR="00000000" w:rsidDel="00000000" w:rsidP="00000000" w:rsidRDefault="00000000" w:rsidRPr="00000000" w14:paraId="0000006A">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Blackley, D. J., Crum, J. B., Behringer, R. D., Ruef, H., &amp; Laney, A. S. (2018). Resurgence of a debilitating and entirely preventable respiratory disease among working coal miners. </w:t>
      </w:r>
      <w:r w:rsidDel="00000000" w:rsidR="00000000" w:rsidRPr="00000000">
        <w:rPr>
          <w:rFonts w:ascii="Times New Roman" w:cs="Times New Roman" w:eastAsia="Times New Roman" w:hAnsi="Times New Roman"/>
          <w:i w:val="1"/>
          <w:iCs w:val="1"/>
          <w:sz w:val="24"/>
          <w:szCs w:val="24"/>
          <w:rtl w:val="0"/>
        </w:rPr>
        <w:t xml:space="preserve">American Journal of Respiratory and Critical Care Medicine, 197</w:t>
      </w:r>
      <w:r w:rsidDel="00000000" w:rsidR="00000000" w:rsidRPr="00000000">
        <w:rPr>
          <w:rFonts w:ascii="Times New Roman" w:cs="Times New Roman" w:eastAsia="Times New Roman" w:hAnsi="Times New Roman"/>
          <w:sz w:val="24"/>
          <w:szCs w:val="24"/>
          <w:rtl w:val="0"/>
        </w:rPr>
        <w:t xml:space="preserve">(12), 1500–1501.</w:t>
      </w:r>
    </w:p>
    <w:p w:rsidR="00000000" w:rsidDel="00000000" w:rsidP="00000000" w:rsidRDefault="00000000" w:rsidRPr="00000000" w14:paraId="0000006B">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Bullard, R. D. (1990). </w:t>
      </w:r>
      <w:r w:rsidDel="00000000" w:rsidR="00000000" w:rsidRPr="00000000">
        <w:rPr>
          <w:rFonts w:ascii="Times New Roman" w:cs="Times New Roman" w:eastAsia="Times New Roman" w:hAnsi="Times New Roman"/>
          <w:i w:val="1"/>
          <w:iCs w:val="1"/>
          <w:sz w:val="24"/>
          <w:szCs w:val="24"/>
          <w:rtl w:val="0"/>
        </w:rPr>
        <w:t xml:space="preserve">Dumping in Dixie: Race, class, and environmental quality</w:t>
      </w:r>
      <w:r w:rsidDel="00000000" w:rsidR="00000000" w:rsidRPr="00000000">
        <w:rPr>
          <w:rFonts w:ascii="Times New Roman" w:cs="Times New Roman" w:eastAsia="Times New Roman" w:hAnsi="Times New Roman"/>
          <w:sz w:val="24"/>
          <w:szCs w:val="24"/>
          <w:rtl w:val="0"/>
        </w:rPr>
        <w:t xml:space="preserve">. Westview Press.</w:t>
      </w:r>
    </w:p>
    <w:p w:rsidR="00000000" w:rsidDel="00000000" w:rsidP="00000000" w:rsidRDefault="00000000" w:rsidRPr="00000000" w14:paraId="0000006C">
      <w:pPr>
        <w:spacing w:after="0" w:before="200" w:lineRule="auto"/>
        <w:ind w:left="270" w:hanging="27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Bureau of Labor Statistics. (2024). </w:t>
      </w:r>
      <w:r w:rsidDel="00000000" w:rsidR="00000000" w:rsidRPr="00000000">
        <w:rPr>
          <w:rFonts w:ascii="Times New Roman" w:cs="Times New Roman" w:eastAsia="Times New Roman" w:hAnsi="Times New Roman"/>
          <w:i w:val="1"/>
          <w:iCs w:val="1"/>
          <w:sz w:val="24"/>
          <w:szCs w:val="24"/>
          <w:rtl w:val="0"/>
        </w:rPr>
        <w:t xml:space="preserve">Union members summary</w:t>
      </w:r>
      <w:r w:rsidDel="00000000" w:rsidR="00000000" w:rsidRPr="00000000">
        <w:rPr>
          <w:rFonts w:ascii="Times New Roman" w:cs="Times New Roman" w:eastAsia="Times New Roman" w:hAnsi="Times New Roman"/>
          <w:sz w:val="24"/>
          <w:szCs w:val="24"/>
          <w:rtl w:val="0"/>
        </w:rPr>
        <w:t xml:space="preserve">. U.S. Department of Labor. </w:t>
      </w:r>
      <w:hyperlink r:id="rId7">
        <w:r w:rsidDel="00000000" w:rsidR="00000000" w:rsidRPr="00000000">
          <w:rPr>
            <w:rFonts w:ascii="Times New Roman" w:cs="Times New Roman" w:eastAsia="Times New Roman" w:hAnsi="Times New Roman"/>
            <w:color w:val="1155cc"/>
            <w:sz w:val="24"/>
            <w:szCs w:val="24"/>
            <w:u w:val="single"/>
            <w:rtl w:val="0"/>
          </w:rPr>
          <w:t xml:space="preserve">https://www.bls.gov</w:t>
        </w:r>
      </w:hyperlink>
      <w:r w:rsidDel="00000000" w:rsidR="00000000" w:rsidRPr="00000000">
        <w:rPr>
          <w:rtl w:val="0"/>
        </w:rPr>
      </w:r>
    </w:p>
    <w:p w:rsidR="00000000" w:rsidDel="00000000" w:rsidP="00000000" w:rsidRDefault="00000000" w:rsidRPr="00000000" w14:paraId="0000006D">
      <w:pPr>
        <w:spacing w:after="0" w:before="200" w:lineRule="auto"/>
        <w:ind w:left="270" w:hanging="27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Butler, K. (2010, June 20). What broke my father's heart. </w:t>
      </w:r>
      <w:r w:rsidDel="00000000" w:rsidR="00000000" w:rsidRPr="00000000">
        <w:rPr>
          <w:rFonts w:ascii="Times New Roman" w:cs="Times New Roman" w:eastAsia="Times New Roman" w:hAnsi="Times New Roman"/>
          <w:i w:val="1"/>
          <w:iCs w:val="1"/>
          <w:sz w:val="24"/>
          <w:szCs w:val="24"/>
          <w:rtl w:val="0"/>
        </w:rPr>
        <w:t xml:space="preserve">The New York Times Magazine</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https://www.nytimes.com</w:t>
        </w:r>
      </w:hyperlink>
      <w:r w:rsidDel="00000000" w:rsidR="00000000" w:rsidRPr="00000000">
        <w:rPr>
          <w:rtl w:val="0"/>
        </w:rPr>
      </w:r>
    </w:p>
    <w:p w:rsidR="00000000" w:rsidDel="00000000" w:rsidP="00000000" w:rsidRDefault="00000000" w:rsidRPr="00000000" w14:paraId="0000006E">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Chetty, R., Hendren, N., Kline, P., &amp; Saez, E. (2014). Where is the land of opportunity? The geography of intergenerational mobility in the United States. </w:t>
      </w:r>
      <w:r w:rsidDel="00000000" w:rsidR="00000000" w:rsidRPr="00000000">
        <w:rPr>
          <w:rFonts w:ascii="Times New Roman" w:cs="Times New Roman" w:eastAsia="Times New Roman" w:hAnsi="Times New Roman"/>
          <w:i w:val="1"/>
          <w:iCs w:val="1"/>
          <w:sz w:val="24"/>
          <w:szCs w:val="24"/>
          <w:rtl w:val="0"/>
        </w:rPr>
        <w:t xml:space="preserve">Quarterly Journal of Economics, 129</w:t>
      </w:r>
      <w:r w:rsidDel="00000000" w:rsidR="00000000" w:rsidRPr="00000000">
        <w:rPr>
          <w:rFonts w:ascii="Times New Roman" w:cs="Times New Roman" w:eastAsia="Times New Roman" w:hAnsi="Times New Roman"/>
          <w:sz w:val="24"/>
          <w:szCs w:val="24"/>
          <w:rtl w:val="0"/>
        </w:rPr>
        <w:t xml:space="preserve">(4), 1553–1623.</w:t>
      </w:r>
    </w:p>
    <w:p w:rsidR="00000000" w:rsidDel="00000000" w:rsidP="00000000" w:rsidRDefault="00000000" w:rsidRPr="00000000" w14:paraId="0000006F">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Chetty, R., Hendren, N., Jones, M. R., &amp; Porter, S. R. (2018). Race and economic opportunity in the United States: An intergenerational perspective. </w:t>
      </w:r>
      <w:r w:rsidDel="00000000" w:rsidR="00000000" w:rsidRPr="00000000">
        <w:rPr>
          <w:rFonts w:ascii="Times New Roman" w:cs="Times New Roman" w:eastAsia="Times New Roman" w:hAnsi="Times New Roman"/>
          <w:i w:val="1"/>
          <w:iCs w:val="1"/>
          <w:sz w:val="24"/>
          <w:szCs w:val="24"/>
          <w:rtl w:val="0"/>
        </w:rPr>
        <w:t xml:space="preserve">National Bureau of Economic Research Working Paper No. 24441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Eller, R. D. (1982). </w:t>
      </w:r>
      <w:r w:rsidDel="00000000" w:rsidR="00000000" w:rsidRPr="00000000">
        <w:rPr>
          <w:rFonts w:ascii="Times New Roman" w:cs="Times New Roman" w:eastAsia="Times New Roman" w:hAnsi="Times New Roman"/>
          <w:i w:val="1"/>
          <w:iCs w:val="1"/>
          <w:sz w:val="24"/>
          <w:szCs w:val="24"/>
          <w:rtl w:val="0"/>
        </w:rPr>
        <w:t xml:space="preserve">Miners, millhands, and mountaineers: Industrialization of the Appalachian South, 1880–1930</w:t>
      </w:r>
      <w:r w:rsidDel="00000000" w:rsidR="00000000" w:rsidRPr="00000000">
        <w:rPr>
          <w:rFonts w:ascii="Times New Roman" w:cs="Times New Roman" w:eastAsia="Times New Roman" w:hAnsi="Times New Roman"/>
          <w:sz w:val="24"/>
          <w:szCs w:val="24"/>
          <w:rtl w:val="0"/>
        </w:rPr>
        <w:t xml:space="preserve">. University of Tennessee Press.</w:t>
      </w:r>
    </w:p>
    <w:p w:rsidR="00000000" w:rsidDel="00000000" w:rsidP="00000000" w:rsidRDefault="00000000" w:rsidRPr="00000000" w14:paraId="00000071">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Crisis Inquiry Commission. (2011). </w:t>
      </w:r>
      <w:r w:rsidDel="00000000" w:rsidR="00000000" w:rsidRPr="00000000">
        <w:rPr>
          <w:rFonts w:ascii="Times New Roman" w:cs="Times New Roman" w:eastAsia="Times New Roman" w:hAnsi="Times New Roman"/>
          <w:i w:val="1"/>
          <w:iCs w:val="1"/>
          <w:sz w:val="24"/>
          <w:szCs w:val="24"/>
          <w:rtl w:val="0"/>
        </w:rPr>
        <w:t xml:space="preserve">The financial crisis inquiry report</w:t>
      </w:r>
      <w:r w:rsidDel="00000000" w:rsidR="00000000" w:rsidRPr="00000000">
        <w:rPr>
          <w:rFonts w:ascii="Times New Roman" w:cs="Times New Roman" w:eastAsia="Times New Roman" w:hAnsi="Times New Roman"/>
          <w:sz w:val="24"/>
          <w:szCs w:val="24"/>
          <w:rtl w:val="0"/>
        </w:rPr>
        <w:t xml:space="preserve">. U.S. Government Printing Office.</w:t>
      </w:r>
    </w:p>
    <w:p w:rsidR="00000000" w:rsidDel="00000000" w:rsidP="00000000" w:rsidRDefault="00000000" w:rsidRPr="00000000" w14:paraId="00000072">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Gramsci, A. (1971). </w:t>
      </w:r>
      <w:r w:rsidDel="00000000" w:rsidR="00000000" w:rsidRPr="00000000">
        <w:rPr>
          <w:rFonts w:ascii="Times New Roman" w:cs="Times New Roman" w:eastAsia="Times New Roman" w:hAnsi="Times New Roman"/>
          <w:i w:val="1"/>
          <w:iCs w:val="1"/>
          <w:sz w:val="24"/>
          <w:szCs w:val="24"/>
          <w:rtl w:val="0"/>
        </w:rPr>
        <w:t xml:space="preserve">Selections from the prison notebooks</w:t>
      </w:r>
      <w:r w:rsidDel="00000000" w:rsidR="00000000" w:rsidRPr="00000000">
        <w:rPr>
          <w:rFonts w:ascii="Times New Roman" w:cs="Times New Roman" w:eastAsia="Times New Roman" w:hAnsi="Times New Roman"/>
          <w:sz w:val="24"/>
          <w:szCs w:val="24"/>
          <w:rtl w:val="0"/>
        </w:rPr>
        <w:t xml:space="preserve"> (Q. Hoare &amp; G. N. Smith, Trans.). International Publishers. (Original work published 1947)</w:t>
      </w:r>
    </w:p>
    <w:p w:rsidR="00000000" w:rsidDel="00000000" w:rsidP="00000000" w:rsidRDefault="00000000" w:rsidRPr="00000000" w14:paraId="00000073">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Gruenberg, M. (2012). </w:t>
      </w:r>
      <w:r w:rsidDel="00000000" w:rsidR="00000000" w:rsidRPr="00000000">
        <w:rPr>
          <w:rFonts w:ascii="Times New Roman" w:cs="Times New Roman" w:eastAsia="Times New Roman" w:hAnsi="Times New Roman"/>
          <w:i w:val="1"/>
          <w:iCs w:val="1"/>
          <w:sz w:val="24"/>
          <w:szCs w:val="24"/>
          <w:rtl w:val="0"/>
        </w:rPr>
        <w:t xml:space="preserve">Foreclosure crisis: Lessons learned</w:t>
      </w:r>
      <w:r w:rsidDel="00000000" w:rsidR="00000000" w:rsidRPr="00000000">
        <w:rPr>
          <w:rFonts w:ascii="Times New Roman" w:cs="Times New Roman" w:eastAsia="Times New Roman" w:hAnsi="Times New Roman"/>
          <w:sz w:val="24"/>
          <w:szCs w:val="24"/>
          <w:rtl w:val="0"/>
        </w:rPr>
        <w:t xml:space="preserve">. Federal Deposit Insurance Corporation.</w:t>
      </w:r>
    </w:p>
    <w:p w:rsidR="00000000" w:rsidDel="00000000" w:rsidP="00000000" w:rsidRDefault="00000000" w:rsidRPr="00000000" w14:paraId="00000074">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Hacker, J. S. (2006). </w:t>
      </w:r>
      <w:r w:rsidDel="00000000" w:rsidR="00000000" w:rsidRPr="00000000">
        <w:rPr>
          <w:rFonts w:ascii="Times New Roman" w:cs="Times New Roman" w:eastAsia="Times New Roman" w:hAnsi="Times New Roman"/>
          <w:i w:val="1"/>
          <w:iCs w:val="1"/>
          <w:sz w:val="24"/>
          <w:szCs w:val="24"/>
          <w:rtl w:val="0"/>
        </w:rPr>
        <w:t xml:space="preserve">The great risk shift: The new economic insecurity and the decline of the American dream</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75">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Hadley, J. (2003). Sicker and poorer - the consequences of being uninsured. </w:t>
      </w:r>
      <w:r w:rsidDel="00000000" w:rsidR="00000000" w:rsidRPr="00000000">
        <w:rPr>
          <w:rFonts w:ascii="Times New Roman" w:cs="Times New Roman" w:eastAsia="Times New Roman" w:hAnsi="Times New Roman"/>
          <w:i w:val="1"/>
          <w:iCs w:val="1"/>
          <w:sz w:val="24"/>
          <w:szCs w:val="24"/>
          <w:rtl w:val="0"/>
        </w:rPr>
        <w:t xml:space="preserve">Medical Care Research and Review, 60</w:t>
      </w:r>
      <w:r w:rsidDel="00000000" w:rsidR="00000000" w:rsidRPr="00000000">
        <w:rPr>
          <w:rFonts w:ascii="Times New Roman" w:cs="Times New Roman" w:eastAsia="Times New Roman" w:hAnsi="Times New Roman"/>
          <w:sz w:val="24"/>
          <w:szCs w:val="24"/>
          <w:rtl w:val="0"/>
        </w:rPr>
        <w:t xml:space="preserve">(2), 3S-75S.</w:t>
      </w:r>
    </w:p>
    <w:p w:rsidR="00000000" w:rsidDel="00000000" w:rsidP="00000000" w:rsidRDefault="00000000" w:rsidRPr="00000000" w14:paraId="00000076">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Harvard Joint Center for Housing Studies. (2024). </w:t>
      </w:r>
      <w:r w:rsidDel="00000000" w:rsidR="00000000" w:rsidRPr="00000000">
        <w:rPr>
          <w:rFonts w:ascii="Times New Roman" w:cs="Times New Roman" w:eastAsia="Times New Roman" w:hAnsi="Times New Roman"/>
          <w:i w:val="1"/>
          <w:iCs w:val="1"/>
          <w:sz w:val="24"/>
          <w:szCs w:val="24"/>
          <w:rtl w:val="0"/>
        </w:rPr>
        <w:t xml:space="preserve">The state of the nation's housing 2024</w:t>
      </w:r>
      <w:r w:rsidDel="00000000" w:rsidR="00000000" w:rsidRPr="00000000">
        <w:rPr>
          <w:rFonts w:ascii="Times New Roman" w:cs="Times New Roman" w:eastAsia="Times New Roman" w:hAnsi="Times New Roman"/>
          <w:sz w:val="24"/>
          <w:szCs w:val="24"/>
          <w:rtl w:val="0"/>
        </w:rPr>
        <w:t xml:space="preserve">. Harvard University.</w:t>
      </w:r>
    </w:p>
    <w:p w:rsidR="00000000" w:rsidDel="00000000" w:rsidP="00000000" w:rsidRDefault="00000000" w:rsidRPr="00000000" w14:paraId="00000077">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Harvey, D. (2004). The "new" imperialism: Accumulation by dispossession. </w:t>
      </w:r>
      <w:r w:rsidDel="00000000" w:rsidR="00000000" w:rsidRPr="00000000">
        <w:rPr>
          <w:rFonts w:ascii="Times New Roman" w:cs="Times New Roman" w:eastAsia="Times New Roman" w:hAnsi="Times New Roman"/>
          <w:i w:val="1"/>
          <w:iCs w:val="1"/>
          <w:sz w:val="24"/>
          <w:szCs w:val="24"/>
          <w:rtl w:val="0"/>
        </w:rPr>
        <w:t xml:space="preserve">Socialist Register, 40</w:t>
      </w:r>
      <w:r w:rsidDel="00000000" w:rsidR="00000000" w:rsidRPr="00000000">
        <w:rPr>
          <w:rFonts w:ascii="Times New Roman" w:cs="Times New Roman" w:eastAsia="Times New Roman" w:hAnsi="Times New Roman"/>
          <w:sz w:val="24"/>
          <w:szCs w:val="24"/>
          <w:rtl w:val="0"/>
        </w:rPr>
        <w:t xml:space="preserve">, 63–87.</w:t>
      </w:r>
    </w:p>
    <w:p w:rsidR="00000000" w:rsidDel="00000000" w:rsidP="00000000" w:rsidRDefault="00000000" w:rsidRPr="00000000" w14:paraId="00000078">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Hochschild, A. R. (1997). </w:t>
      </w:r>
      <w:r w:rsidDel="00000000" w:rsidR="00000000" w:rsidRPr="00000000">
        <w:rPr>
          <w:rFonts w:ascii="Times New Roman" w:cs="Times New Roman" w:eastAsia="Times New Roman" w:hAnsi="Times New Roman"/>
          <w:i w:val="1"/>
          <w:iCs w:val="1"/>
          <w:sz w:val="24"/>
          <w:szCs w:val="24"/>
          <w:rtl w:val="0"/>
        </w:rPr>
        <w:t xml:space="preserve">The time bind: When work becomes home and home becomes work</w:t>
      </w:r>
      <w:r w:rsidDel="00000000" w:rsidR="00000000" w:rsidRPr="00000000">
        <w:rPr>
          <w:rFonts w:ascii="Times New Roman" w:cs="Times New Roman" w:eastAsia="Times New Roman" w:hAnsi="Times New Roman"/>
          <w:sz w:val="24"/>
          <w:szCs w:val="24"/>
          <w:rtl w:val="0"/>
        </w:rPr>
        <w:t xml:space="preserve">. Metropolitan Books.</w:t>
      </w:r>
    </w:p>
    <w:p w:rsidR="00000000" w:rsidDel="00000000" w:rsidP="00000000" w:rsidRDefault="00000000" w:rsidRPr="00000000" w14:paraId="00000079">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Howgego, J. (2019). GoFundMe health campaigns: When charity replaces insurance. </w:t>
      </w:r>
      <w:r w:rsidDel="00000000" w:rsidR="00000000" w:rsidRPr="00000000">
        <w:rPr>
          <w:rFonts w:ascii="Times New Roman" w:cs="Times New Roman" w:eastAsia="Times New Roman" w:hAnsi="Times New Roman"/>
          <w:i w:val="1"/>
          <w:iCs w:val="1"/>
          <w:sz w:val="24"/>
          <w:szCs w:val="24"/>
          <w:rtl w:val="0"/>
        </w:rPr>
        <w:t xml:space="preserve">New Scientist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 T. L. (1997). </w:t>
      </w:r>
      <w:r w:rsidDel="00000000" w:rsidR="00000000" w:rsidRPr="00000000">
        <w:rPr>
          <w:rFonts w:ascii="Times New Roman" w:cs="Times New Roman" w:eastAsia="Times New Roman" w:hAnsi="Times New Roman"/>
          <w:i w:val="1"/>
          <w:iCs w:val="1"/>
          <w:sz w:val="24"/>
          <w:szCs w:val="24"/>
          <w:rtl w:val="0"/>
        </w:rPr>
        <w:t xml:space="preserve">The paradox of plenty: Oil booms and petro-states</w:t>
      </w:r>
      <w:r w:rsidDel="00000000" w:rsidR="00000000" w:rsidRPr="00000000">
        <w:rPr>
          <w:rFonts w:ascii="Times New Roman" w:cs="Times New Roman" w:eastAsia="Times New Roman" w:hAnsi="Times New Roman"/>
          <w:sz w:val="24"/>
          <w:szCs w:val="24"/>
          <w:rtl w:val="0"/>
        </w:rPr>
        <w:t xml:space="preserve">. University of California Press.</w:t>
      </w:r>
    </w:p>
    <w:p w:rsidR="00000000" w:rsidDel="00000000" w:rsidP="00000000" w:rsidRDefault="00000000" w:rsidRPr="00000000" w14:paraId="0000007B">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Keefe, P. R. (2021). </w:t>
      </w:r>
      <w:r w:rsidDel="00000000" w:rsidR="00000000" w:rsidRPr="00000000">
        <w:rPr>
          <w:rFonts w:ascii="Times New Roman" w:cs="Times New Roman" w:eastAsia="Times New Roman" w:hAnsi="Times New Roman"/>
          <w:i w:val="1"/>
          <w:iCs w:val="1"/>
          <w:sz w:val="24"/>
          <w:szCs w:val="24"/>
          <w:rtl w:val="0"/>
        </w:rPr>
        <w:t xml:space="preserve">Empire of pain: The secret history of the Sackler dynasty</w:t>
      </w:r>
      <w:r w:rsidDel="00000000" w:rsidR="00000000" w:rsidRPr="00000000">
        <w:rPr>
          <w:rFonts w:ascii="Times New Roman" w:cs="Times New Roman" w:eastAsia="Times New Roman" w:hAnsi="Times New Roman"/>
          <w:sz w:val="24"/>
          <w:szCs w:val="24"/>
          <w:rtl w:val="0"/>
        </w:rPr>
        <w:t xml:space="preserve">. Doubleday.</w:t>
      </w:r>
    </w:p>
    <w:p w:rsidR="00000000" w:rsidDel="00000000" w:rsidP="00000000" w:rsidRDefault="00000000" w:rsidRPr="00000000" w14:paraId="0000007C">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Klass, P. (2023). When GoFundMe becomes the safety net. </w:t>
      </w:r>
      <w:r w:rsidDel="00000000" w:rsidR="00000000" w:rsidRPr="00000000">
        <w:rPr>
          <w:rFonts w:ascii="Times New Roman" w:cs="Times New Roman" w:eastAsia="Times New Roman" w:hAnsi="Times New Roman"/>
          <w:i w:val="1"/>
          <w:iCs w:val="1"/>
          <w:sz w:val="24"/>
          <w:szCs w:val="24"/>
          <w:rtl w:val="0"/>
        </w:rPr>
        <w:t xml:space="preserve">KFF Health News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 T., &amp; Soman, D. (2020). Race and crowdfunding success. </w:t>
      </w:r>
      <w:r w:rsidDel="00000000" w:rsidR="00000000" w:rsidRPr="00000000">
        <w:rPr>
          <w:rFonts w:ascii="Times New Roman" w:cs="Times New Roman" w:eastAsia="Times New Roman" w:hAnsi="Times New Roman"/>
          <w:i w:val="1"/>
          <w:iCs w:val="1"/>
          <w:sz w:val="24"/>
          <w:szCs w:val="24"/>
          <w:rtl w:val="0"/>
        </w:rPr>
        <w:t xml:space="preserve">Journal of Marketing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Mead, R. (2016, September 19). Vance's elegy. </w:t>
      </w:r>
      <w:r w:rsidDel="00000000" w:rsidR="00000000" w:rsidRPr="00000000">
        <w:rPr>
          <w:rFonts w:ascii="Times New Roman" w:cs="Times New Roman" w:eastAsia="Times New Roman" w:hAnsi="Times New Roman"/>
          <w:i w:val="1"/>
          <w:iCs w:val="1"/>
          <w:sz w:val="24"/>
          <w:szCs w:val="24"/>
          <w:rtl w:val="0"/>
        </w:rPr>
        <w:t xml:space="preserve">The New Yorker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Mishel, L., &amp; Bivens, J. (2021). </w:t>
      </w:r>
      <w:r w:rsidDel="00000000" w:rsidR="00000000" w:rsidRPr="00000000">
        <w:rPr>
          <w:rFonts w:ascii="Times New Roman" w:cs="Times New Roman" w:eastAsia="Times New Roman" w:hAnsi="Times New Roman"/>
          <w:i w:val="1"/>
          <w:iCs w:val="1"/>
          <w:sz w:val="24"/>
          <w:szCs w:val="24"/>
          <w:rtl w:val="0"/>
        </w:rPr>
        <w:t xml:space="preserve">Identifying the policy levers generating wage suppression and wage inequality</w:t>
      </w:r>
      <w:r w:rsidDel="00000000" w:rsidR="00000000" w:rsidRPr="00000000">
        <w:rPr>
          <w:rFonts w:ascii="Times New Roman" w:cs="Times New Roman" w:eastAsia="Times New Roman" w:hAnsi="Times New Roman"/>
          <w:sz w:val="24"/>
          <w:szCs w:val="24"/>
          <w:rtl w:val="0"/>
        </w:rPr>
        <w:t xml:space="preserve">. Economic Policy Institute.</w:t>
      </w:r>
    </w:p>
    <w:p w:rsidR="00000000" w:rsidDel="00000000" w:rsidP="00000000" w:rsidRDefault="00000000" w:rsidRPr="00000000" w14:paraId="00000080">
      <w:pPr>
        <w:spacing w:after="0" w:before="200" w:lineRule="auto"/>
        <w:ind w:left="270" w:hanging="27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Commission on Physician Payment Reform. (2012). </w:t>
      </w:r>
      <w:r w:rsidDel="00000000" w:rsidR="00000000" w:rsidRPr="00000000">
        <w:rPr>
          <w:rFonts w:ascii="Times New Roman" w:cs="Times New Roman" w:eastAsia="Times New Roman" w:hAnsi="Times New Roman"/>
          <w:i w:val="1"/>
          <w:iCs w:val="1"/>
          <w:sz w:val="24"/>
          <w:szCs w:val="24"/>
          <w:rtl w:val="0"/>
        </w:rPr>
        <w:t xml:space="preserve">Report of the National Commission on Physician Payment Reform</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https://physicianpaymentcommission.org</w:t>
        </w:r>
      </w:hyperlink>
      <w:r w:rsidDel="00000000" w:rsidR="00000000" w:rsidRPr="00000000">
        <w:rPr>
          <w:rtl w:val="0"/>
        </w:rPr>
      </w:r>
    </w:p>
    <w:p w:rsidR="00000000" w:rsidDel="00000000" w:rsidP="00000000" w:rsidRDefault="00000000" w:rsidRPr="00000000" w14:paraId="00000081">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Paolisso, M. (2002). Blue crabs and controversy on the Chesapeake Bay. </w:t>
      </w:r>
      <w:r w:rsidDel="00000000" w:rsidR="00000000" w:rsidRPr="00000000">
        <w:rPr>
          <w:rFonts w:ascii="Times New Roman" w:cs="Times New Roman" w:eastAsia="Times New Roman" w:hAnsi="Times New Roman"/>
          <w:i w:val="1"/>
          <w:iCs w:val="1"/>
          <w:sz w:val="24"/>
          <w:szCs w:val="24"/>
          <w:rtl w:val="0"/>
        </w:rPr>
        <w:t xml:space="preserve">Human Organization, 61</w:t>
      </w:r>
      <w:r w:rsidDel="00000000" w:rsidR="00000000" w:rsidRPr="00000000">
        <w:rPr>
          <w:rFonts w:ascii="Times New Roman" w:cs="Times New Roman" w:eastAsia="Times New Roman" w:hAnsi="Times New Roman"/>
          <w:sz w:val="24"/>
          <w:szCs w:val="24"/>
          <w:rtl w:val="0"/>
        </w:rPr>
        <w:t xml:space="preserve">(3), 226–239.</w:t>
      </w:r>
    </w:p>
    <w:p w:rsidR="00000000" w:rsidDel="00000000" w:rsidP="00000000" w:rsidRDefault="00000000" w:rsidRPr="00000000" w14:paraId="00000082">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Quill, T. E. (1991). Death and dignity: A case of individualized decision making. </w:t>
      </w:r>
      <w:r w:rsidDel="00000000" w:rsidR="00000000" w:rsidRPr="00000000">
        <w:rPr>
          <w:rFonts w:ascii="Times New Roman" w:cs="Times New Roman" w:eastAsia="Times New Roman" w:hAnsi="Times New Roman"/>
          <w:i w:val="1"/>
          <w:iCs w:val="1"/>
          <w:sz w:val="24"/>
          <w:szCs w:val="24"/>
          <w:rtl w:val="0"/>
        </w:rPr>
        <w:t xml:space="preserve">New England Journal of Medicine, 324</w:t>
      </w:r>
      <w:r w:rsidDel="00000000" w:rsidR="00000000" w:rsidRPr="00000000">
        <w:rPr>
          <w:rFonts w:ascii="Times New Roman" w:cs="Times New Roman" w:eastAsia="Times New Roman" w:hAnsi="Times New Roman"/>
          <w:sz w:val="24"/>
          <w:szCs w:val="24"/>
          <w:rtl w:val="0"/>
        </w:rPr>
        <w:t xml:space="preserve">(10), 691–694.</w:t>
      </w:r>
    </w:p>
    <w:p w:rsidR="00000000" w:rsidDel="00000000" w:rsidP="00000000" w:rsidRDefault="00000000" w:rsidRPr="00000000" w14:paraId="00000083">
      <w:pPr>
        <w:spacing w:after="0" w:before="200" w:lineRule="auto"/>
        <w:ind w:left="270" w:hanging="27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Tax Foundation. (2024). </w:t>
      </w:r>
      <w:r w:rsidDel="00000000" w:rsidR="00000000" w:rsidRPr="00000000">
        <w:rPr>
          <w:rFonts w:ascii="Times New Roman" w:cs="Times New Roman" w:eastAsia="Times New Roman" w:hAnsi="Times New Roman"/>
          <w:i w:val="1"/>
          <w:iCs w:val="1"/>
          <w:sz w:val="24"/>
          <w:szCs w:val="24"/>
          <w:rtl w:val="0"/>
        </w:rPr>
        <w:t xml:space="preserve">International tax competitiveness index</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https://taxfoundation.org</w:t>
        </w:r>
      </w:hyperlink>
      <w:r w:rsidDel="00000000" w:rsidR="00000000" w:rsidRPr="00000000">
        <w:rPr>
          <w:rtl w:val="0"/>
        </w:rPr>
      </w:r>
    </w:p>
    <w:p w:rsidR="00000000" w:rsidDel="00000000" w:rsidP="00000000" w:rsidRDefault="00000000" w:rsidRPr="00000000" w14:paraId="00000084">
      <w:pPr>
        <w:spacing w:after="0" w:before="200" w:lineRule="auto"/>
        <w:ind w:left="270" w:hanging="27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U.S. Department of the Treasury. (2021). </w:t>
      </w:r>
      <w:r w:rsidDel="00000000" w:rsidR="00000000" w:rsidRPr="00000000">
        <w:rPr>
          <w:rFonts w:ascii="Times New Roman" w:cs="Times New Roman" w:eastAsia="Times New Roman" w:hAnsi="Times New Roman"/>
          <w:i w:val="1"/>
          <w:iCs w:val="1"/>
          <w:sz w:val="24"/>
          <w:szCs w:val="24"/>
          <w:rtl w:val="0"/>
        </w:rPr>
        <w:t xml:space="preserve">Housing supply and affordability</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https://home.treasury.gov</w:t>
        </w:r>
      </w:hyperlink>
      <w:r w:rsidDel="00000000" w:rsidR="00000000" w:rsidRPr="00000000">
        <w:rPr>
          <w:rtl w:val="0"/>
        </w:rPr>
      </w:r>
    </w:p>
    <w:p w:rsidR="00000000" w:rsidDel="00000000" w:rsidP="00000000" w:rsidRDefault="00000000" w:rsidRPr="00000000" w14:paraId="00000085">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Vance, J. D. (2016). </w:t>
      </w:r>
      <w:r w:rsidDel="00000000" w:rsidR="00000000" w:rsidRPr="00000000">
        <w:rPr>
          <w:rFonts w:ascii="Times New Roman" w:cs="Times New Roman" w:eastAsia="Times New Roman" w:hAnsi="Times New Roman"/>
          <w:i w:val="1"/>
          <w:iCs w:val="1"/>
          <w:sz w:val="24"/>
          <w:szCs w:val="24"/>
          <w:rtl w:val="0"/>
        </w:rPr>
        <w:t xml:space="preserve">Hillbilly elegy: A memoir of a family and culture in crisis</w:t>
      </w:r>
      <w:r w:rsidDel="00000000" w:rsidR="00000000" w:rsidRPr="00000000">
        <w:rPr>
          <w:rFonts w:ascii="Times New Roman" w:cs="Times New Roman" w:eastAsia="Times New Roman" w:hAnsi="Times New Roman"/>
          <w:sz w:val="24"/>
          <w:szCs w:val="24"/>
          <w:rtl w:val="0"/>
        </w:rPr>
        <w:t xml:space="preserve">. Harper.</w:t>
      </w:r>
    </w:p>
    <w:p w:rsidR="00000000" w:rsidDel="00000000" w:rsidP="00000000" w:rsidRDefault="00000000" w:rsidRPr="00000000" w14:paraId="00000086">
      <w:pPr>
        <w:spacing w:after="0" w:before="20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Watts, M. (2004). Resource curse? Governmentality, oil and power in the Niger Delta, Nigeria. </w:t>
      </w:r>
      <w:r w:rsidDel="00000000" w:rsidR="00000000" w:rsidRPr="00000000">
        <w:rPr>
          <w:rFonts w:ascii="Times New Roman" w:cs="Times New Roman" w:eastAsia="Times New Roman" w:hAnsi="Times New Roman"/>
          <w:i w:val="1"/>
          <w:iCs w:val="1"/>
          <w:sz w:val="24"/>
          <w:szCs w:val="24"/>
          <w:rtl w:val="0"/>
        </w:rPr>
        <w:t xml:space="preserve">Geopolitics, 9</w:t>
      </w:r>
      <w:r w:rsidDel="00000000" w:rsidR="00000000" w:rsidRPr="00000000">
        <w:rPr>
          <w:rFonts w:ascii="Times New Roman" w:cs="Times New Roman" w:eastAsia="Times New Roman" w:hAnsi="Times New Roman"/>
          <w:sz w:val="24"/>
          <w:szCs w:val="24"/>
          <w:rtl w:val="0"/>
        </w:rPr>
        <w:t xml:space="preserve">(1), 50–80.</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ome.treasury.gov/" TargetMode="External"/><Relationship Id="rId10" Type="http://schemas.openxmlformats.org/officeDocument/2006/relationships/hyperlink" Target="https://taxfoundation.org/" TargetMode="External"/><Relationship Id="rId12" Type="http://schemas.openxmlformats.org/officeDocument/2006/relationships/header" Target="header1.xml"/><Relationship Id="rId9" Type="http://schemas.openxmlformats.org/officeDocument/2006/relationships/hyperlink" Target="https://physicianpaymentcommission.org/" TargetMode="External"/><Relationship Id="rId5" Type="http://schemas.openxmlformats.org/officeDocument/2006/relationships/styles" Target="styles.xml"/><Relationship Id="rId6" Type="http://schemas.openxmlformats.org/officeDocument/2006/relationships/hyperlink" Target="https://www.ama-assn.org/" TargetMode="External"/><Relationship Id="rId7" Type="http://schemas.openxmlformats.org/officeDocument/2006/relationships/hyperlink" Target="https://www.bls.gov/" TargetMode="External"/><Relationship Id="rId8" Type="http://schemas.openxmlformats.org/officeDocument/2006/relationships/hyperlink" Target="https://www.nyti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