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Commons Bonds Publishing Strategy - Consolidated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Winn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April 18,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Commons Bonds Project employs a two-track publishing strategy: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NOEMA TRACK: Lead essay submission (7,200 words, currently in response window)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BERGGRUEN TRACK: Independent rewrite for August 17 deadline (AI-free)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competitive advantages: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Cross-spectrum, non-partisan framing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Original conceptual contribution ("cost severance")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Practitioner's credibility from healthcare IT executive background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Rigorous mathematical framework with historical case verification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CURRENT STATUS &amp; IMMEDIATE PRIORITIES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Noema Track (In Process)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Status: Essay completed and submitted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Current action: In Noema's 30-day response windowâ€” Next steps: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Monitor for Noema response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If accepted: Publication process &amp; platform amplification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If declined: Immediate Boston Review submission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Content details: 7,200 words, inline citations, pitch letter, AI disclosure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Policy compliance: No-simultaneous-submissions policy respected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Berggruen Track (Needs Attention)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Â Deadline: August 17, 2026 (5 months remaining)â€” Approach: Independent rewrite in your own voiceâ€” Policy: AI-free (no Claude assistance in final drafting)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Status: Needs to be started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Length: TBD (competition guidelines to be checked)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PUBLICATION CASCADE STRATEGY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Primary Track (Noema)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#1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Noema represents the optimal first-mover advantage for cross-spectrum reach: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Prestigious intellectual platform with policy maker audience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Long-form format allows for rigorous argument development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Cross-disciplinary reach aligns with content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Competitive review process ensures quality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NOEAM DECLINES: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â˜† Immediate move to Boston Review (forum format)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â€† No simultaneous submission restrictions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â†– Timeline: 24-48 hours max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Secondary Outlets (Decline Cascade)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#2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BOSTON REVIEW (Forum Format)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Expected profile fit: Excellent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 advantage: Shorter pieces, dialogue-oriented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Strategy: Initiate conversation, engage responders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ATLANTIC IDEAS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Profile: Policy and culture intersection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Strength: Broad audience reach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Consideration: Slightly centrist slant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AEON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Target audience: General intellectual audience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Long-form essays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Strength: Accessibility for elegant arguments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Book Platform (Long-Term)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#3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BEACON PRESS: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âš‚ Progressive imprint aligns with content themes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â�‚ Strong backlist in political economy/policy â„‚ Accepts unsolicited manuscripts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â�„ Format: 60,000-75,000 words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â€¤ Alternatives: PublicAffairs, Chelsea Green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â†– Timeline: Post-initial publication traction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COMPETITBVE POSITIONING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Unique Value Proposition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ADVANTAGES: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ORIGINAL CONCEPTUAL CONTRIBUTION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 severance as a universal mechanism that transcends capitalism, applies across all economic systems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CROSS-SPECTRUM APPEAL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Deliberately non-partisan framing attracts both conservative and progressive audiences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PRACTITIONER CREDIBILITY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Insider knowledge of extractive systems from 20+ years as healthcare IT executive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RIGOROUS METHODOLOGY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Triangulated three-method RCV model, historical case verification, formal mathematical framework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Message Positioning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LEXICON: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Cost Severance: The mechanism by which costs are separated from those who bear them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Residual Commons Value (RCV): Quantification of societal value outside market capture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Commons Bonds: Financial instruments that capture and redistribute externality value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FRAMING: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Non-ideological: Focus on mechanistic analysis, not systemic critique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â†” Universal: Applies across all economic systems and historical periods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Pragmatic: Focus on implementable solutions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CONTENT &lt;&amp; FORMAT AD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10-Chapter Book Scaffold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 - FOUNDATIONS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1: Introduction and Core Concepts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2: The Mechanism of Cost Severance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3: Residual Commons Value (Developing the Model)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 - HISTORICAL ANALYSIS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4: Opium Wars and Extractive Trade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Pnapter 5: Colonial Mining and Environmental Cost Transfer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6: Modern Financialization and Housing Markets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7: Digital Platforms and Data Extraction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III - SOLUTIONS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8: Commons Bond Mechanism and Implementation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9: Case Studies and Pilot Programs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IV - IMPLICATIONS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10: Policy Implications and Implementation Pathways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POST-PUBLICATION AMPLIFICATION: Technical Appendix (Mathematical Framework)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Historical Case Verification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Ivan III and extension of Moscovy's tax base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British coal industry and environmental cost export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2008 Financial Crisis and mortgage-backed securities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European colonial mining and cost imposition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Modern digital platforms and data extraction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Archival case: [To be determined]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Mathematical Framework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1: POLICY-ACCESSIBLE MODEL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Basic arithmetic and intuition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Replacement cost methodâ€¢ Norway revealed-preference method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Scarcity-adjusted option value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2: TECHNICAL APPENDBX</w:t>
        <w:br w:type="textWrapping"/>
        <w:t xml:space="preserve">â™– Formal inductive and deductive proofs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Differential equations and systems modeling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Full-economy simulation data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â‚– Universality test: interplanetary mining scenarios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RISK MITIGATION &amp; NUANCE CONSIDERATIONS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Political Poharization Mitigation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PRINCIPLE: Maintain cross-spectrum appeal at all costs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APPEAL: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â€¥ Emphasize market-based mechanisms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â„� Highlight economic efficiency benefits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â„� Stress fiscal conservatism (allocative efficiency)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APPEAL: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âšž Emphasize equity and environmental justice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âš¥ â–– Highlight power correction and community control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âš¢ â–– Stress equitable distribution of benefits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Commons Bonds are NOT taxation (avoid tax polarization)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Commons Bonds are NOT redistribution (avoid ideological framing)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Commons Bonds are accounting and cost allocation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Academic Rigor Vs. Accessibility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BALANCING ACT: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Maintain technical rigor for credibility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Ensure broad accessibility for impact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â… âŒŽ Policy-friendly front-end with technical appendix support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Counterargument Steelmanning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MAJOR CHALLENGES: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Implementation complexity and administrative costs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Measurement challenges and data requirements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Political economy concerns (capture and lobbying)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International coordination and competitiveness concerns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Scalability from pilot to system-wide implementation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Behavioral economics and unintended consequences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Financial market stability and systemic risk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Existing legal frameworks and institutional compatibility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Community resistance and cultural adoption challenges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Address each counterargument head-on with credible, evidence-based responses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POST-PU@¥ÉCATION AMPLIFICATION PLAN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Media Platforms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PODCAST APPEARANCES: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â†‚ Sam Harris Making Sense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â…¦ EZra Klein Show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â…¦ â†‚ Planet Money Podcast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â‚„ Economic Talk shows (Economic Simplified, Economic Update)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SPEAKING: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Bookings policy events â€” Perpetual and other think tank forums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Conference panels (ARE and AEA)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Policy Engagement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BRIEFINGS: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â€‚ Congressional staff briefings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â„‚ State and local government presentations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â€‚ International policy forums (IFC, Wef, etc.)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ENGAGEMENT: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environmental groups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â‚Št labor organizations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â‚„  compeur -based reform groups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PRFKRAMS: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â€‚ Small scale implementation (county or city level)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â€‚ Academic modeling partnerships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Non-profit and foundation collaboration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Academic Engagement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AFFILIATION8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â†‚ University research centers in economics and policy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â†‚ â†¤ Brookings, Urban, AEI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â€¡ â–� Rockefeller, Ford (grant opportunities)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PQER REVIEW: â€¢ Submit for refereed journals in economics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âœ˜ International conference presentations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â‚„ i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Doctoral program entry (long-term)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TIMELINE AND MILESTONES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Immediate (Next 30-60 days)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2026 - MAY 2026: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â””â†’ Monitor Noema response (any day)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â†‚ â†„â®™ Prepare Boston Review version (if Noema declines)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â†† Start Berggruen independent draft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â�¤ Complete chapter-by-chapter revision pass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Near-term (0-6 months)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ADMA!!: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â””â€‚ Put Noema response (after 30 days)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Sâª¥ Boston Review submission (if Noema declines)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JUME 2026: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Berggruen draft in progress (AI-free authoring)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2026: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Berggruen draft completion and final revision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2026: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Berggruen submission (August 17 deadline)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2026: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Post-publication amplification if Noema accepted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Long-term (6-18 months)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2026 IF NOEAMA ACCEPTED: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â”´â†„ Publication month (Noema lead time)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â–� Podcast and media campaign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â€¢ Conference and speaking bookings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â†„ z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policy engagement process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2027: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4â””â€¢â�’â€¢â€¢:J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proposal to Beacon Press (if essay traction)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- APRIL 2027: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Complete book manuscript drafting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- AUGUST 2027: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  kj&lt;â€„ Author and editorial revision process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2027 - MARCH 2028: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â”„â†† Book publication and launch campaign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VIII. CRITICAL SUCCESS FACTORS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Quality and Rigor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MERIT: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â”„â†† Independently verifiable mathematical frameworkâ”€â€¢â†† â€¢Iâ�„Historical case verification across multiple eras/systems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â…Š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\validated counterargument steelmanning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VRITING QUALITY: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â€¢ Clear, accessible prose that avoids jargon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Yâ„€ â€¢ Compelling narrative that connects abstract concepts to real impact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â„„ Balanced tone that maintains cross-spectrum appeal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Timing and Sequencing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SEQUENCING: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Noema as the premier entry point (first-mover advantage)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Boston Review as immediate fallback (no delay)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Independent Berggruen track maximizes total surface area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BENCHMARKING: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â†‚ Monitor competitive scholarly publications in economics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â�Šâ‡¤ Track policy publication and discussion trends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â€‚ â€€ Adjust messaging and placement based on landscape changes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Relationship Management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EDITORIAL RELATIONS: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Maintain professional relationships with all publication contacts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â„€ â€¢ Keep doors open for future collaborations even after declines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  â†† Build network of allied scholars and practitioners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DACKENGAGEMENT: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â†‚ Early outreach to key economic policy actors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â„¤ â€¢â†† Bradle cross-sector coalition badchabqtion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Vâ„¡ dEn SenIst small scale demonstration projects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CHALLENGES AND MITIGATIONS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MATRIX: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RISK: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Political polarization defelts cross-spectrum appeal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Measurement/validation challenges undermine credibility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â€” Timing: Misses election cycle or policy window opportunities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RISK: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â†‚ ê«° Competing academic publiv/panaU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on similar topics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â†” â€¢â†„Funding limitation s for sK+ le-scale implementation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â†žâ€‚ns. complexity agentncies slow adoption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RISK: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â†� Editorial preferences and journal fit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 ””â†€Fechnical accuracy and reproducibility â””â†€nCopyright and attribution issues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MITIGATIOND\  ESS: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â”” PsevSt�¦HÅ+  èÈÄ‘ñÉá‰…É”�…ÑÑB¹¹Ñ¥Ù”�…É�Õµ•¹ÑÌ8Â Pƒ PI¹˜‚@CÀ�…¹���…Í”�ÍÑÕ‘¥•Îê7 R #Ës.vU ozukÂ—@å‡andon sectboqò|ú P Sº?sWŒÍDopeîz¹œ�ó&gt;®Jˆ¨i?Ž O$M.T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dÓ½Ò øœ c7Â�‚ör" I 8ptwenjn specwEœ• â†€Maintainc œ¦ö é³’»» í‹™0   ity! MitigatiThDoæ€NC’-  ™›–ú5Î‰B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