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he-100-barrel"/>
    <w:p>
      <w:pPr>
        <w:pStyle w:val="Heading1"/>
      </w:pPr>
      <w:r>
        <w:t xml:space="preserve">The $100 Barrel</w:t>
      </w:r>
    </w:p>
    <w:p>
      <w:pPr>
        <w:pStyle w:val="FirstParagraph"/>
      </w:pPr>
      <w:r>
        <w:t xml:space="preserve">Gas is expensive again. You have seen the numbers on the signs, watched them climb a few cents at a time, and felt the small recalculations that follow at the end of the month. The price moves for the usual reasons, and the usual experts will tell you which reason is operating this week. I want to set all of that aside, because the number on the sign is not the number I am interested in. The number I am interested in is one we never see, and I want to build a way to imagine it.</w:t>
      </w:r>
    </w:p>
    <w:p>
      <w:pPr>
        <w:pStyle w:val="BodyText"/>
      </w:pPr>
      <w:r>
        <w:t xml:space="preserve">So picture a barrel of crude, still in the ground, somewhere under the floor of the North Sea or the silt of a river delta. Picture someone walking up to it and putting a price on it. Say the price is one hundred dollars. That is roughly the spot price, more or less, depending on the week, and I am using a round figure on purpose because the exact number is not the point. The point is what that one hundred dollars is supposed to cover.</w:t>
      </w:r>
    </w:p>
    <w:p>
      <w:pPr>
        <w:pStyle w:val="BodyText"/>
      </w:pPr>
      <w:r>
        <w:t xml:space="preserve">When the barrel is pumped, refined, and burned, the hundred dollars changes hands. The seller is paid. The buyer drives. The transaction looks complete. Both parties walked away satisfied, and an economist watching the exchange would record it as efficient: a willing seller, a willing buyer, a price that cleared the market. Nothing in that picture is wrong. What the picture leaves out is everyone who was not at the table.</w:t>
      </w:r>
    </w:p>
    <w:p>
      <w:pPr>
        <w:pStyle w:val="BodyText"/>
      </w:pPr>
      <w:r>
        <w:t xml:space="preserve">A barrel of oil is not a loaf of bread. The bread will be baked again tomorrow. The oil will not. When it is gone, it is gone, not for a season but for the length of the human future, because the geological process that made it runs on a clock measured in tens of millions of years and we are emptying the reservoir in a few centuries. The hundred-dollar price is a price for the present moment. The thing being priced extends to permanence. That mismatch is the subject of this essay, and I am going to argue that it is the most expensive thing economics does not measure.</w:t>
      </w:r>
    </w:p>
    <w:p>
      <w:pPr>
        <w:pStyle w:val="BodyText"/>
      </w:pPr>
      <w:r>
        <w:t xml:space="preserve">I should be careful about what kind of resource I mean. There are three ways a commons can be used up, and only one of them concerns me here. A forest can be cut and grow back, if you cut slowly enough. A fishery can be harvested and replenish itself, if you take less than it breeds. These are renewable, and the question they pose is one of rate. Take too much too fast and you collapse the stock, but take it patiently and the stock persists. Oil is different. Oil is not harvested and regrown. It is liquidated. There is no rate slow enough to make an oil field sustainable, because the field does not breed. Every barrel removed is a barrel removed forever. The hundred dollars buys the present its tank of gas. It does not buy back the barrel for anyone who comes after.</w:t>
      </w:r>
    </w:p>
    <w:p>
      <w:pPr>
        <w:pStyle w:val="BodyText"/>
      </w:pPr>
      <w:r>
        <w:t xml:space="preserve">That leaves the third way, the one I set aside, and it is worth a moment, because it shows the ledger has no thumb on the scale. Some sources are not used up at all. Sunlight on a desert, wind across a ridge: these are not drawn down when you capture them. The sun shines and the wind blows, one way or the other, and the energy you take today removes nothing from the energy that arrives tomorrow. Run the same accounting over them and the residual commons value comes back at nearly zero, not because the framework prefers them but because there is no foreclosure to price. That is the cleanest proof that what I am building is an accounting and not an argument in disguise: the identical arithmetic that returns a large and uncomfortable number for the barrel returns almost nothing for the sunlight, for the same reason in both cases. It prices what is permanently removed, and the sun removes nothing. The hardware is a different ledger, and the framework keeps it separate. The rare earths and the lithium in a turbine or a panel are extracted like anything else and carry their own severed costs, which it would price in their own right. Renewable energy is not free. Its source simply forecloses nothing, and an honest ledger says so without being asked.</w:t>
      </w:r>
    </w:p>
    <w:bookmarkStart w:id="20" w:name="what-the-price-leaves-out"/>
    <w:p>
      <w:pPr>
        <w:pStyle w:val="Heading2"/>
      </w:pPr>
      <w:r>
        <w:t xml:space="preserve">What the price leaves out</w:t>
      </w:r>
    </w:p>
    <w:p>
      <w:pPr>
        <w:pStyle w:val="FirstParagraph"/>
      </w:pPr>
      <w:r>
        <w:t xml:space="preserve">Mainstream economics has a clean and confident answer to all of this, and it deserves to be stated fairly before it is questioned. The answer is substitution. A resource, in the standard account, is an input like any other, with a price set by supply and demand. When the input grows scarce, its price rises, and the rising price does two things at once. It rations the remaining supply, and it summons alternatives. Whale oil gave way to kerosene; kerosene to electricity. The market, left alone, will find the next thing before the current thing runs out, because the profit in finding it grows as the scarcity grows. On this view there is no missing price at all. The future is taken care of by the same mechanism that takes care of the present.</w:t>
      </w:r>
    </w:p>
    <w:p>
      <w:pPr>
        <w:pStyle w:val="BodyText"/>
      </w:pPr>
      <w:r>
        <w:t xml:space="preserve">This may be true. It has often enough been true that dismissing it would be foolish. But notice what kind of claim it is. It is a forecast, not a fact. It says that technology will deliver a substitute in time, and it asks the future to accept that forecast as collateral. If the forecast holds, the future inherits the alternative and loses nothing. If it fails, the future inherits neither the resource nor a replacement, and no part of the original hundred-dollar transaction set anything aside against that possibility. There is no escrow. There is no one who has agreed, on the future’s behalf, to be liable if the substitute does not arrive. We are running an enormous wager on the future’s account, and the future was not asked.</w:t>
      </w:r>
    </w:p>
    <w:p>
      <w:pPr>
        <w:pStyle w:val="BodyText"/>
      </w:pPr>
      <w:r>
        <w:t xml:space="preserve">That is the gap. The price covers the bet that everything works out. It does not cover the cost if it does not. And once you see the gap, the natural question is whether anyone in the long history of economic thought has tried to price it. The answer is that many of the best minds in the discipline have circled the territory, each naming a piece of the problem, and each, for reasons worth understanding, stopping just short of the piece I am after.</w:t>
      </w:r>
    </w:p>
    <w:bookmarkEnd w:id="20"/>
    <w:bookmarkStart w:id="21" w:name="a-lineage-of-near-misses"/>
    <w:p>
      <w:pPr>
        <w:pStyle w:val="Heading2"/>
      </w:pPr>
      <w:r>
        <w:t xml:space="preserve">A lineage of near-misses</w:t>
      </w:r>
    </w:p>
    <w:p>
      <w:pPr>
        <w:pStyle w:val="FirstParagraph"/>
      </w:pPr>
      <w:r>
        <w:t xml:space="preserve">Begin with Marx, since he is the one most likely to be read as a tell rather than a citation. I am treating the figures in this section as an inventory of what serious economic thought has and has not addressed, the way you would survey a field before noticing the empty plot in it. So: Marx, in the first volume of</w:t>
      </w:r>
      <w:r>
        <w:t xml:space="preserve"> </w:t>
      </w:r>
      <w:r>
        <w:rPr>
          <w:iCs/>
          <w:i/>
        </w:rPr>
        <w:t xml:space="preserve">Capital</w:t>
      </w:r>
      <w:r>
        <w:t xml:space="preserve">, located the central injustice of industrial production in the surplus extracted from labor. The worker produces more value than the wage returns; the difference is captured by the owner. It is a theory about distribution, about who pockets the gain from a productive act. Whatever you make of it, notice its boundary. Marx is asking who captures the surplus. He is not asking what happens to the resource itself once it is consumed. The barrel of oil could be burned with the proceeds split perfectly evenly between owner and worker, every penny of surplus returned to the people who labored, and the barrel would still be gone forever. The injustice Marx names is real and is not the injustice I am chasing. His critique runs along the axis of class. Mine runs along the axis of time.</w:t>
      </w:r>
    </w:p>
    <w:p>
      <w:pPr>
        <w:pStyle w:val="BodyText"/>
      </w:pPr>
      <w:r>
        <w:t xml:space="preserve">Move to Elinor Ostrom, who won the Nobel in 2009 for the work in</w:t>
      </w:r>
      <w:r>
        <w:t xml:space="preserve"> </w:t>
      </w:r>
      <w:r>
        <w:rPr>
          <w:iCs/>
          <w:i/>
        </w:rPr>
        <w:t xml:space="preserve">Governing the Commons</w:t>
      </w:r>
      <w:r>
        <w:t xml:space="preserve">. Ostrom did something the textbooks had said could not be done: she showed, with field evidence from fisheries and forests and irrigation systems around the world, that communities can govern shared resources without either privatizing them or handing them to the state. She catalogued the design principles that separate the commons that survive from the commons that collapse. It is among the most important bodies of work in modern political economy. But look at what her resources have in common. A fishery, a forest, a grazing meadow, an aquifer: these are renewable. They reward good governance with continued yield. Ostrom’s design principles are principles for sustaining a harvest over time, and they presuppose that a harvest can be sustained. Oil cannot be sustained at any harvest. It sits outside the world her principles were built for, not because she was wrong about that world, but because the non-renewable resource is a different kind of thing.</w:t>
      </w:r>
    </w:p>
    <w:p>
      <w:pPr>
        <w:pStyle w:val="BodyText"/>
      </w:pPr>
      <w:r>
        <w:t xml:space="preserve">Then Herman Daly, who died in 2022, and who spent a career insisting that the economy is not a closed loop floating in a void but a subsystem of a finite biosphere. In</w:t>
      </w:r>
      <w:r>
        <w:t xml:space="preserve"> </w:t>
      </w:r>
      <w:r>
        <w:rPr>
          <w:iCs/>
          <w:i/>
        </w:rPr>
        <w:t xml:space="preserve">Steady-State Economics</w:t>
      </w:r>
      <w:r>
        <w:t xml:space="preserve"> </w:t>
      </w:r>
      <w:r>
        <w:t xml:space="preserve">and the ecological-economics tradition he helped found, Daly drew the distinction between the stock of natural capital and the flow of services it provides, and he argued that an economy which consumes its throughput faster than the biosphere regenerates is steering toward a wall. He is right, and the framework I am building rests on his foundation. But Daly’s argument operates at the level of aggregate throughput and planetary limits. It tells us we are taking too much from the system as a whole. It does not hand us a number for the permanent loss of one specific non-renewable thing, the way an accountant hands you a figure. Daly gives us the warning. He does not give us the invoice.</w:t>
      </w:r>
    </w:p>
    <w:p>
      <w:pPr>
        <w:pStyle w:val="BodyText"/>
      </w:pPr>
      <w:r>
        <w:t xml:space="preserve">The closest anyone has come is John Hartwick. In a short and elegant 1977 paper in the</w:t>
      </w:r>
      <w:r>
        <w:t xml:space="preserve"> </w:t>
      </w:r>
      <w:r>
        <w:rPr>
          <w:iCs/>
          <w:i/>
        </w:rPr>
        <w:t xml:space="preserve">American Economic Review</w:t>
      </w:r>
      <w:r>
        <w:t xml:space="preserve">, Hartwick proved a result that should be more famous than it is. If you take the rents earned from extracting a non-renewable resource and you invest those rents fully into reproducible capital, then consumption can be sustained indefinitely even as the resource runs out. The oil disappears, but the wealth it generated is converted into something that keeps producing, and the standard of living it supported does not have to fall. Hartwick’s rule is the intellectual blueprint for every sovereign wealth fund that takes the long view, and I will come to the country that built itself on it. But hold the rule up to the light and see precisely what it conserves. It conserves the revenue. It takes the hundred dollars and refuses to let it be eaten, planting it instead so that it keeps yielding. That is a real and valuable discipline. It is not the same as pricing the barrel. Even under a perfect Hartwick regime, where every cent of rent is reinvested forever, the barrel is still gone. Hartwick saves the proceeds of the sale. The thing that was sold is not coming back, and Hartwick’s rule, for all its rigor, never put a price on its absence.</w:t>
      </w:r>
    </w:p>
    <w:p>
      <w:pPr>
        <w:pStyle w:val="BodyText"/>
      </w:pPr>
      <w:r>
        <w:t xml:space="preserve">So here is the shape of the field. Marx priced the surplus. Ostrom governed the renewable. Daly warned about the throughput. Hartwick saved the rent. Each of them stood near the empty plot. None of them built on it. What none of them priced is the worth of what is permanently foreclosed, the value that the future loses when the barrel is liquidated and no substitute is guaranteed. I am going to call that the residual commons value, the residue of worth that remains after the sale is done and the proceeds are counted, the part of the barrel that belonged to no one at the table because it belonged to people not yet born.</w:t>
      </w:r>
    </w:p>
    <w:bookmarkEnd w:id="21"/>
    <w:bookmarkStart w:id="22" w:name="the-price-seen-from-no-particular-time"/>
    <w:p>
      <w:pPr>
        <w:pStyle w:val="Heading2"/>
      </w:pPr>
      <w:r>
        <w:t xml:space="preserve">The price seen from no particular time</w:t>
      </w:r>
    </w:p>
    <w:p>
      <w:pPr>
        <w:pStyle w:val="FirstParagraph"/>
      </w:pPr>
      <w:r>
        <w:t xml:space="preserve">Why should we think there is any such value to price? The intuition is easiest to reach through John Rawls, though I want to be clear that I am borrowing one of his tools, not signing the whole of his program.</w:t>
      </w:r>
    </w:p>
    <w:p>
      <w:pPr>
        <w:pStyle w:val="BodyText"/>
      </w:pPr>
      <w:r>
        <w:t xml:space="preserve">Rawls, in</w:t>
      </w:r>
      <w:r>
        <w:t xml:space="preserve"> </w:t>
      </w:r>
      <w:r>
        <w:rPr>
          <w:iCs/>
          <w:i/>
        </w:rPr>
        <w:t xml:space="preserve">A Theory of Justice</w:t>
      </w:r>
      <w:r>
        <w:t xml:space="preserve">, proposed a test for whether an arrangement is fair. Imagine designing the rules of a society from behind a veil of ignorance, not knowing in advance which position in that society you will occupy, whether you will be rich or poor, talented or struggling, born into advantage or into none. Rules you would agree to without knowing your place are rules that are fair, because they cannot be rigged in favor of a position you know you will hold. It is a device for stripping out self-interest by hiding from yourself the facts that self-interest would exploit.</w:t>
      </w:r>
    </w:p>
    <w:p>
      <w:pPr>
        <w:pStyle w:val="BodyText"/>
      </w:pPr>
      <w:r>
        <w:t xml:space="preserve">Now widen the veil along the dimension that matters here. Suppose you do not know which generation you will be born into. You might arrive in the century doing the extracting, or in a century three hundred years downstream, inheriting whatever that extraction left behind. From that position, behind that wider veil, you would not agree to a rule that lets the early generations consume a finite inheritance at full value while charging the later ones nothing for it and guaranteeing them nothing in return. You would not knowingly endorse a system that makes your interests worth less for the accident of arriving later. You would insist that the worth foreclosed be reckoned with, set aside, accounted for, because you might be the one to whom the foreclosure happens. The gap between the hundred-dollar market price and the price you would demand from behind that wider veil is the residual commons value made visible. Naming it is the first move. You cannot reckon with a cost you have not named, and economics has not named this one.</w:t>
      </w:r>
    </w:p>
    <w:p>
      <w:pPr>
        <w:pStyle w:val="BodyText"/>
      </w:pPr>
      <w:r>
        <w:t xml:space="preserve">I lean on Rawls because his device makes the intuition vivid, but I do not want the argument to stand on him alone, because then it would stand or fall on whether you accept the rest of his theory, and many serious readers do not. So notice that the same intuition arrives by other roads. Michael Sandel, working the moral limits of markets rather than the architecture of justice, has spent years on the difference between what we can buy and what we owe, between the price a market sets and the obligations a price cannot discharge. The permanent foreclosure of a shared inheritance is squarely the kind of thing Sandel argues a market price fails to capture. Derek Parfit, coming from population ethics in</w:t>
      </w:r>
      <w:r>
        <w:t xml:space="preserve"> </w:t>
      </w:r>
      <w:r>
        <w:rPr>
          <w:iCs/>
          <w:i/>
        </w:rPr>
        <w:t xml:space="preserve">Reasons and Persons</w:t>
      </w:r>
      <w:r>
        <w:t xml:space="preserve">, worked through the strange logic of obligations to people who do not yet exist and whose very existence depends on the choices we make, and he too concluded that the non-existence of future people now is no license to discount their interests to nothing. Three thinkers, three different starting points, one convergent result. When a frame from justice, a frame from moral philosophy, and a frame from population ethics all point at the same missing number, the number is probably real, and it is probably not an artifact of any one philosopher’s commitments.</w:t>
      </w:r>
    </w:p>
    <w:bookmarkEnd w:id="22"/>
    <w:bookmarkStart w:id="23" w:name="the-battleground-that-already-exists"/>
    <w:p>
      <w:pPr>
        <w:pStyle w:val="Heading2"/>
      </w:pPr>
      <w:r>
        <w:t xml:space="preserve">The battleground that already exists</w:t>
      </w:r>
    </w:p>
    <w:p>
      <w:pPr>
        <w:pStyle w:val="FirstParagraph"/>
      </w:pPr>
      <w:r>
        <w:t xml:space="preserve">Anyone who has followed climate economics will object that there is, in fact, a long-running and very technical fight about exactly how to value the distant future, and that I have so far ignored it. The objection is fair, and the fight is the one I want to engage, because it shows both how close the discipline has come and why it has not arrived.</w:t>
      </w:r>
    </w:p>
    <w:p>
      <w:pPr>
        <w:pStyle w:val="BodyText"/>
      </w:pPr>
      <w:r>
        <w:t xml:space="preserve">The fight is about the discount rate, and it is most cleanly drawn between two figures. On one side, Nicholas Stern, whose seven-hundred-page review for the British government, released in 2006 and published the following year, called climate change the greatest market failure the world has seen and argued for acting now at a cost of roughly one percent of global output per year. Stern reached that conclusion in part by choosing a very low discount rate, around one and a half percent, on the moral ground that a future person’s wellbeing should count for very nearly as much as a present person’s, and that to discount it steeply is to commit an ethical error dressed as a technical one. On the other side, William Nordhaus, whose work on integrating climate into long-run economic models earned the 2018 Nobel, used a substantially higher rate, in the range of four percent, drawn from observed market returns on capital, and arrived at a far more gradual prescription with a much lower price on carbon.</w:t>
      </w:r>
    </w:p>
    <w:p>
      <w:pPr>
        <w:pStyle w:val="BodyText"/>
      </w:pPr>
      <w:r>
        <w:t xml:space="preserve">The stakes hidden in that gap are enormous, and a single illustration makes them concrete. Take a benefit of one hundred dollars that will land a century from now. At Stern’s discount rate, that future hundred dollars is worth about twenty-five dollars to us today, a sum substantial enough to motivate real present sacrifice. At Nordhaus’s rate, the same future hundred dollars is worth about a dollar and a half. The two economists are looking at the identical future benefit. The choice of rate alone moves its present worth from twenty-five dollars to pocket change. The discount rate, in other words, is not a measurement of how much the future is worth. It is a decision about how much the future is worth, made by the analyst, and then carried through the arithmetic as if it were a fact of nature. Martin Weitzman, working the adjacent problem of catastrophic and deeply uncertain damages, pressed a related point from another angle: when the worst outcomes are unlikely but ruinous, the expected cost is dominated by that fat tail, and a model that prices only the likely middle of the distribution will systematically understate what is really at risk.</w:t>
      </w:r>
    </w:p>
    <w:p>
      <w:pPr>
        <w:pStyle w:val="BodyText"/>
      </w:pPr>
      <w:r>
        <w:t xml:space="preserve">Here is the move I want to make, and it is the move that distinguishes this argument from a vote in the Stern-Nordhaus contest. I am not claiming Stern is right and Nordhaus is wrong. The residual commons value does not depend on winning that fight, and that is exactly the point. Both Stern and Nordhaus are pricing a flow. Stern prices the future stream of climate damages from burning the oil; Nordhaus prices the same stream at a different rate. Both are asking what the consequences of consumption are worth, discounted back to now. Neither is pricing the resource itself, the barrel as a permanently foreclosed thing, distinct from the damages its combustion causes. You could resolve the discount-rate war tomorrow, settle on a single rate that both camps accepted, run the climate damages through it with perfect precision, and the worth of the foreclosed barrel would still sit there unpriced, because it was never the quantity either model was built to measure. The residual commons value lives outside the discount-rate axis. It is not a smaller or larger number on that axis. It is a number the axis does not have a column for. And it survives even Stern’s already-low rate, because it is not a discounted future flow at all. It is the present absence of a thing that will not return.</w:t>
      </w:r>
    </w:p>
    <w:bookmarkEnd w:id="23"/>
    <w:bookmarkStart w:id="24" w:name="honest-accounting"/>
    <w:p>
      <w:pPr>
        <w:pStyle w:val="Heading2"/>
      </w:pPr>
      <w:r>
        <w:t xml:space="preserve">Honest accounting</w:t>
      </w:r>
    </w:p>
    <w:p>
      <w:pPr>
        <w:pStyle w:val="FirstParagraph"/>
      </w:pPr>
      <w:r>
        <w:t xml:space="preserve">None of this would matter if pricing the foreclosure were impossible, a philosopher’s wish with no engineering behind it. So it is worth saying plainly that a country has already done the practical half of the job, even if it has not done it under this description.</w:t>
      </w:r>
    </w:p>
    <w:p>
      <w:pPr>
        <w:pStyle w:val="BodyText"/>
      </w:pPr>
      <w:r>
        <w:t xml:space="preserve">When oil was confirmed under the North Sea just before Christmas in 1969, at the Ekofisk field, Norway faced the choice every resource-rich country faces and most fail. It could treat the windfall as income and spend it, the way a household spends a lottery win and finds itself, a few years later, with nothing but the memory. Instead Norway treated the oil as the conversion of one form of wealth into another. It built a fund. The Government Petroleum Fund, established in 1990 and renamed the Government Pension Fund Global in 2006, takes the state’s petroleum revenues and invests them, deliberately abroad so as not to distort the home economy, across a diversified spread of equities and bonds and real estate. A fiscal rule adopted in 2001 holds the discipline in place: the government may spend only the expected real return on the fund, roughly three percent in a normal year, and the capital itself is treated as untouchable. The principal is not income. It is the oil, transmuted.</w:t>
      </w:r>
    </w:p>
    <w:p>
      <w:pPr>
        <w:pStyle w:val="BodyText"/>
      </w:pPr>
      <w:r>
        <w:t xml:space="preserve">The fund now holds well over two trillion dollars, more than three hundred and ninety thousand dollars for every Norwegian citizen. That is Hartwick’s rule made real at the scale of a nation, the rents reinvested rather than eaten. It is also, and this is the part that matters most for my argument, durable across the entire political spectrum. The fiscal rule was adopted by a Labour government and has been honored by every government since, Labour and Conservative and center-right coalition alike, through changes of power that turned over the rest of the country’s policy. No party has raided the principal. Whatever else divides Norwegian politics, the proposition that you do not eat the inheritance has not been up for partisan grabs. That is the signature of good architecture. It outlasts the builders and is defended by people who agree on almost nothing else.</w:t>
      </w:r>
    </w:p>
    <w:p>
      <w:pPr>
        <w:pStyle w:val="BodyText"/>
      </w:pPr>
      <w:r>
        <w:t xml:space="preserve">Set against Norway is the Niger Delta, where oil has been pumped since the 1950s under arrangements struck between the state and a handful of international companies, and where the wealth produced is measured in hundreds of billions of dollars of petroleum revenue. Very little of that wealth was converted into anything that stayed. The fishing grounds and farmland of the delta absorbed the spills and the flares; the communities that lived on top of the oil were largely not the communities that benefited from it. When the Ogoni people organized in protest, the writer Ken Saro-Wiwa and eight others were executed by the Nigerian state in 1995, an act that drew international condemnation and Nigeria’s suspension from the Commonwealth. Years later, a United Nations environmental assessment of Ogoniland estimated that cleaning up the contamination would require an initial billion dollars and somewhere between twenty-five and thirty years of work, and that was only to begin. The cost of the oil did not vanish in the Niger Delta. It was simply paid by people who did not sell it and could not bill anyone for it.</w:t>
      </w:r>
    </w:p>
    <w:p>
      <w:pPr>
        <w:pStyle w:val="BodyText"/>
      </w:pPr>
      <w:r>
        <w:t xml:space="preserve">That phrase is the mechanism, stated without jargon. Someone creates a cost; someone else absorbs it; and the second party has no way to send the bill back to the first. The oil was extracted and sold at its market price, and the long downstream cost, the foreclosed fishery, the poisoned ground, the future that could no longer make a living off the delta, fell on people with no seat at the transaction and no standing to invoice it. Norway and Nigeria are not a parable of virtuous North and unlucky South. They are the same physical act, the removal of oil from the ground, run through two different institutional architectures, with two different answers to one question: when the cost outlives the sale, who carries it, and is anything set aside to carry it with? Norway built the escrow. Nigeria did not. The difference was a choice, and the choice was institutional, which means it was available to both.</w:t>
      </w:r>
    </w:p>
    <w:p>
      <w:pPr>
        <w:pStyle w:val="BodyText"/>
      </w:pPr>
      <w:r>
        <w:t xml:space="preserve">This is where I want to be exact about what kind of argument I am making, because the center-right reader has every reason by now to suspect a familiar tune. Let me head off the suspicion directly. What I am calling for is not revolution. I do not think revolution solves this, and I do not think the problem is best understood as a villain to be defeated. The principle underneath the whole argument is one of the oldest and least partisan in the book: whoever creates a cost should bear it. That is not a left-wing idea. It is the idea behind a security deposit, behind a performance bond on a construction contract, behind the simple expectation that you leave a campsite as you found it. A conservative who believes in personal responsibility and a liberal who believes in collective obligation can both arrive at it, and in Norway both did. The residual commons value is not a slogan. It is a missing line on a balance sheet, and balance sheets do not have politics. The work of putting a defensible number on that line is genuinely hard, harder than anything I have done in this essay, and it is the work of economists and not of pundits. But the first requirement for solving a problem is to admit that it has a name.</w:t>
      </w:r>
    </w:p>
    <w:bookmarkEnd w:id="24"/>
    <w:bookmarkStart w:id="25" w:name="what-remains-to-be-built"/>
    <w:p>
      <w:pPr>
        <w:pStyle w:val="Heading2"/>
      </w:pPr>
      <w:r>
        <w:t xml:space="preserve">What remains to be built</w:t>
      </w:r>
    </w:p>
    <w:p>
      <w:pPr>
        <w:pStyle w:val="FirstParagraph"/>
      </w:pPr>
      <w:r>
        <w:t xml:space="preserve">I have not produced the number, and I will not pretend that naming a gap is the same as closing it; a figure an economist would defend and a finance minister could levy is the labor of years, the next chapter and not this one. But do not mistake the difficulty of the arithmetic for the absence of the thing. What this essay has established is not a hunch that something is missing. It is a structural claim, and a precise one. The worth of a permanently foreclosed resource is real, it is owed to people who were never at the table, and it lives entirely outside the fight the discipline has been having. The discount-rate war prices the damage a burned barrel does on its way into the future. It has no column for the barrel’s plain absence, the present fact that a finite thing is gone and will not return, and that absence survives even Stern’s generous rate, because it is not a future flow to be discounted toward zero. It is here, now, and we have priced it at nothing.</w:t>
      </w:r>
    </w:p>
    <w:p>
      <w:pPr>
        <w:pStyle w:val="BodyText"/>
      </w:pPr>
      <w:r>
        <w:t xml:space="preserve">And we have priced it at nothing despite a century of people who saw the edges of it. Marx mapped who captures the surplus; Ostrom showed how renewable commons can be governed; Daly insisted the economy sits inside a finite world; Hartwick proved the rents can be saved; Rawls and Sandel and Parfit established that the future holds a claim no market price discharges; Stern and Nordhaus and Weitzman taught the discipline to argue about the worth of the distant future, even as they argued about the wrong quantity. Every one of them worked the ground around the empty plot. The residual commons value is the load-bearing piece they all left unbuilt, the price of what we take and do not return. We have been selling the barrel for the present’s hundred dollars, writing zero in the column that should hold the rest, and calling the difference cheap. It was never cheap. The number is hard, and it is coming. The first honest thing is to stop writing zero.</w:t>
      </w:r>
    </w:p>
    <w:bookmarkEnd w:id="25"/>
    <w:bookmarkEnd w:id="26"/>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2026-06-03T17:46:56Z</dcterms:created>
  <dcterms:modified xsi:type="dcterms:W3CDTF">2026-06-03T17:46:56Z</dcterms:modified>
</cp:coreProperties>
</file>

<file path=docProps/custom.xml><?xml version="1.0" encoding="utf-8"?>
<Properties xmlns="http://schemas.openxmlformats.org/officeDocument/2006/custom-properties" xmlns:vt="http://schemas.openxmlformats.org/officeDocument/2006/docPropsVTypes"/>
</file>