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&lt;!DOCTYPE html&gt;</w:t>
      </w:r>
    </w:p>
    <w:p>
      <w:pPr>
        <w:pStyle w:val="BodyText"/>
      </w:pPr>
      <w:r>
        <w:t xml:space="preserve">Technical Appendix — Commons Bonds</w:t>
      </w:r>
    </w:p>
    <w:p>
      <w:pPr>
        <w:pStyle w:val="BodyText"/>
      </w:pPr>
      <w:r>
        <w:t xml:space="preserve">Technical Appendix — Commons Bonds</w:t>
      </w:r>
    </w:p>
    <w:p>
      <w:pPr>
        <w:pStyle w:val="BodyText"/>
      </w:pPr>
      <w:r>
        <w:t xml:space="preserve">By Chris Winn</w:t>
      </w:r>
    </w:p>
    <w:p>
      <w:pPr>
        <w:pStyle w:val="BodyText"/>
      </w:pPr>
      <w:r>
        <w:t xml:space="preserve">Contents</w:t>
      </w:r>
    </w:p>
    <w:p>
      <w:pPr>
        <w:pStyle w:val="BodyText"/>
      </w:pPr>
      <w:r>
        <w:t xml:space="preserve"> </w:t>
      </w:r>
      <w:r>
        <w:t xml:space="preserve">§1. Foundations — Formal Definitions and Primitives</w:t>
      </w:r>
      <w:r>
        <w:t xml:space="preserve"> </w:t>
      </w:r>
    </w:p>
    <w:p>
      <w:pPr>
        <w:pStyle w:val="SourceCode"/>
      </w:pPr>
      <w:r>
        <w:rPr>
          <w:rStyle w:val="VerbatimChar"/>
        </w:rPr>
        <w:t xml:space="preserve">  Core symbols (R, t&amp;#8320;, S, U, Q, E, D, RCV, B); Definitions 1.1&amp;ndash;1.9; central equation CS = RCV &amp;minus; B; RCV integrand; per-category commons profiles.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href="#sec-2-two-instrument-architecture"&gt;</w:t>
      </w:r>
      <w:r>
        <w:br/>
      </w:r>
      <w:r>
        <w:rPr>
          <w:rStyle w:val="VerbatimChar"/>
        </w:rPr>
        <w:t xml:space="preserve">  &amp;sect;2. Two-Instrument Architecture (CSD &amp;harr; B&amp;#8321;; RCV &amp;harr; B&amp;#8322;)</w:t>
      </w:r>
      <w:r>
        <w:br/>
      </w:r>
      <w:r>
        <w:rPr>
          <w:rStyle w:val="VerbatimChar"/>
        </w:rPr>
        <w:t xml:space="preserve"> &lt;/a&gt;</w:t>
      </w:r>
      <w:r>
        <w:br/>
      </w:r>
      <w:r>
        <w:rPr>
          <w:rStyle w:val="VerbatimChar"/>
        </w:rPr>
        <w:t xml:space="preserve"> &lt;div class="toc-annotation"&gt;</w:t>
      </w:r>
      <w:r>
        <w:br/>
      </w:r>
      <w:r>
        <w:rPr>
          <w:rStyle w:val="VerbatimChar"/>
        </w:rPr>
        <w:t xml:space="preserve">  Restitution Bond pairs with Cost Severance Decomposition; Foreclosure Bond pairs with Residual Commons Value. CSD&amp;ndash;RCV correlation hypothesis.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href="#sec-3-rcv-quantification"&gt;</w:t>
      </w:r>
      <w:r>
        <w:br/>
      </w:r>
      <w:r>
        <w:rPr>
          <w:rStyle w:val="VerbatimChar"/>
        </w:rPr>
        <w:t xml:space="preserve">  &amp;sect;3. RCV Quantification &amp;mdash; Three Ways of Counting</w:t>
      </w:r>
      <w:r>
        <w:br/>
      </w:r>
      <w:r>
        <w:rPr>
          <w:rStyle w:val="VerbatimChar"/>
        </w:rPr>
        <w:t xml:space="preserve"> &lt;/a&gt;</w:t>
      </w:r>
      <w:r>
        <w:br/>
      </w:r>
      <w:r>
        <w:rPr>
          <w:rStyle w:val="VerbatimChar"/>
        </w:rPr>
        <w:t xml:space="preserve"> &lt;div class="toc-annotation"&gt;</w:t>
      </w:r>
      <w:r>
        <w:br/>
      </w:r>
      <w:r>
        <w:rPr>
          <w:rStyle w:val="VerbatimChar"/>
        </w:rPr>
        <w:t xml:space="preserve">  Core formula term-by-term + Intergenerational Pricing Gap (IPG); Method 1 (Replacement Cost), Method 2 (Revealed Preference), Method 3 (Scarcity-Adjusted Option Value); triangulation logic.</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href="#sec-4-hotelling-identity"&gt;</w:t>
      </w:r>
      <w:r>
        <w:br/>
      </w:r>
      <w:r>
        <w:rPr>
          <w:rStyle w:val="VerbatimChar"/>
        </w:rPr>
        <w:t xml:space="preserve">  &amp;sect;4. Hotelling Identity (extension of Hotelling 1931)</w:t>
      </w:r>
      <w:r>
        <w:br/>
      </w:r>
      <w:r>
        <w:rPr>
          <w:rStyle w:val="VerbatimChar"/>
        </w:rPr>
        <w:t xml:space="preserve"> &lt;/a&gt;</w:t>
      </w:r>
      <w:r>
        <w:br/>
      </w:r>
      <w:r>
        <w:rPr>
          <w:rStyle w:val="VerbatimChar"/>
        </w:rPr>
        <w:t xml:space="preserve"> &lt;div class="toc-annotation"&gt;</w:t>
      </w:r>
      <w:r>
        <w:br/>
      </w:r>
      <w:r>
        <w:rPr>
          <w:rStyle w:val="VerbatimChar"/>
        </w:rPr>
        <w:t xml:space="preserve">  What's Hotelling's and what the framework adds; citation discipline.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href="#sec-5-accountability-bond-decomposition"&gt;</w:t>
      </w:r>
      <w:r>
        <w:br/>
      </w:r>
      <w:r>
        <w:rPr>
          <w:rStyle w:val="VerbatimChar"/>
        </w:rPr>
        <w:t xml:space="preserve">  &amp;sect;5. Accountability Bond Decomposition (B = B&amp;#8321; + B&amp;#8322;)</w:t>
      </w:r>
      <w:r>
        <w:br/>
      </w:r>
      <w:r>
        <w:rPr>
          <w:rStyle w:val="VerbatimChar"/>
        </w:rPr>
        <w:t xml:space="preserve"> &lt;/a&gt;</w:t>
      </w:r>
      <w:r>
        <w:br/>
      </w:r>
      <w:r>
        <w:rPr>
          <w:rStyle w:val="VerbatimChar"/>
        </w:rPr>
        <w:t xml:space="preserve"> &lt;div class="toc-annotation"&gt;</w:t>
      </w:r>
      <w:r>
        <w:br/>
      </w:r>
      <w:r>
        <w:rPr>
          <w:rStyle w:val="VerbatimChar"/>
        </w:rPr>
        <w:t xml:space="preserve">  Restitution Bond + Foreclosure Bond sub-instrument definitions; Darity-Mullen reparations-typology positioning for B&amp;#8321;; independence note; Parfit (1984) intergenerational moral grounding for B&amp;#8322;; bidirectional application of the framework apparatus (forward direction documented in &amp;sect;11; backward direction for legacy-effect pricing via Three Ways applied in reverse).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href="#sec-6-commons-inversion-test"&gt;</w:t>
      </w:r>
      <w:r>
        <w:br/>
      </w:r>
      <w:r>
        <w:rPr>
          <w:rStyle w:val="VerbatimChar"/>
        </w:rPr>
        <w:t xml:space="preserve">  &amp;sect;6. Commons Inversion Test (CIT)</w:t>
      </w:r>
      <w:r>
        <w:br/>
      </w:r>
      <w:r>
        <w:rPr>
          <w:rStyle w:val="VerbatimChar"/>
        </w:rPr>
        <w:t xml:space="preserve"> &lt;/a&gt;</w:t>
      </w:r>
      <w:r>
        <w:br/>
      </w:r>
      <w:r>
        <w:rPr>
          <w:rStyle w:val="VerbatimChar"/>
        </w:rPr>
        <w:t xml:space="preserve"> &lt;div class="toc-annotation"&gt;</w:t>
      </w:r>
      <w:r>
        <w:br/>
      </w:r>
      <w:r>
        <w:rPr>
          <w:rStyle w:val="VerbatimChar"/>
        </w:rPr>
        <w:t xml:space="preserve">  Methodological principle; the Seven Abundance Dimensions; two sub-forms (CAI / CCI); seven worked walkthroughs (McDowell coal, the commute trade, Norwegian oil, 2008 crisis, asteroid miner, pacemaker case, opioid Appalachia).</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href="#sec-7-four-gates"&gt;</w:t>
      </w:r>
      <w:r>
        <w:br/>
      </w:r>
      <w:r>
        <w:rPr>
          <w:rStyle w:val="VerbatimChar"/>
        </w:rPr>
        <w:t xml:space="preserve">  &amp;sect;7. Four Gates Admission Apparatus</w:t>
      </w:r>
      <w:r>
        <w:br/>
      </w:r>
      <w:r>
        <w:rPr>
          <w:rStyle w:val="VerbatimChar"/>
        </w:rPr>
        <w:t xml:space="preserve"> &lt;/a&gt;</w:t>
      </w:r>
      <w:r>
        <w:br/>
      </w:r>
      <w:r>
        <w:rPr>
          <w:rStyle w:val="VerbatimChar"/>
        </w:rPr>
        <w:t xml:space="preserve"> &lt;div class="toc-annotation"&gt;</w:t>
      </w:r>
      <w:r>
        <w:br/>
      </w:r>
      <w:r>
        <w:rPr>
          <w:rStyle w:val="VerbatimChar"/>
        </w:rPr>
        <w:t xml:space="preserve">  The discipline for admitting cost terms to the RCV integrand: Gate 1 (CIT), Gate 2 (Units), Gate 3 (Boundedness), Gate 4 (Independence). Worked example: community-transition-reserve cost.</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href="#sec-8-asymmetric-regret-rule"&gt;</w:t>
      </w:r>
      <w:r>
        <w:br/>
      </w:r>
      <w:r>
        <w:rPr>
          <w:rStyle w:val="VerbatimChar"/>
        </w:rPr>
        <w:t xml:space="preserve">  &amp;sect;8. Asymmetric Regret Rule (ARR)</w:t>
      </w:r>
      <w:r>
        <w:br/>
      </w:r>
      <w:r>
        <w:rPr>
          <w:rStyle w:val="VerbatimChar"/>
        </w:rPr>
        <w:t xml:space="preserve"> &lt;/a&gt;</w:t>
      </w:r>
      <w:r>
        <w:br/>
      </w:r>
      <w:r>
        <w:rPr>
          <w:rStyle w:val="VerbatimChar"/>
        </w:rPr>
        <w:t xml:space="preserve"> &lt;div class="toc-annotation"&gt;</w:t>
      </w:r>
      <w:r>
        <w:br/>
      </w:r>
      <w:r>
        <w:rPr>
          <w:rStyle w:val="VerbatimChar"/>
        </w:rPr>
        <w:t xml:space="preserve">  Decision rule under uncertainty: when one direction of error is irreversible, choose the smaller-maximum-regret direction. Savage (1951), Loomes &amp;amp; Sugden (1982), Rio Declaration 1992 lineage.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href="#sec-9-three-model-convergence"&gt;</w:t>
      </w:r>
      <w:r>
        <w:br/>
      </w:r>
      <w:r>
        <w:rPr>
          <w:rStyle w:val="VerbatimChar"/>
        </w:rPr>
        <w:t xml:space="preserve">  &amp;sect;9. Three-Model Convergence Framework</w:t>
      </w:r>
      <w:r>
        <w:br/>
      </w:r>
      <w:r>
        <w:rPr>
          <w:rStyle w:val="VerbatimChar"/>
        </w:rPr>
        <w:t xml:space="preserve"> &lt;/a&gt;</w:t>
      </w:r>
      <w:r>
        <w:br/>
      </w:r>
      <w:r>
        <w:rPr>
          <w:rStyle w:val="VerbatimChar"/>
        </w:rPr>
        <w:t xml:space="preserve"> &lt;div class="toc-annotation"&gt;</w:t>
      </w:r>
      <w:r>
        <w:br/>
      </w:r>
      <w:r>
        <w:rPr>
          <w:rStyle w:val="VerbatimChar"/>
        </w:rPr>
        <w:t xml:space="preserve">  Damage Function vs. Real Options vs. RCV models; convergence table; backtesting against implicit social pricing.</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href="#sec-10-theorems-and-proofs"&gt;</w:t>
      </w:r>
      <w:r>
        <w:br/>
      </w:r>
      <w:r>
        <w:rPr>
          <w:rStyle w:val="VerbatimChar"/>
        </w:rPr>
        <w:t xml:space="preserve">  &amp;sect;10. Theorems and Proofs</w:t>
      </w:r>
      <w:r>
        <w:br/>
      </w:r>
      <w:r>
        <w:rPr>
          <w:rStyle w:val="VerbatimChar"/>
        </w:rPr>
        <w:t xml:space="preserve"> &lt;/a&gt;</w:t>
      </w:r>
      <w:r>
        <w:br/>
      </w:r>
      <w:r>
        <w:rPr>
          <w:rStyle w:val="VerbatimChar"/>
        </w:rPr>
        <w:t xml:space="preserve"> &lt;div class="toc-annotation"&gt;</w:t>
      </w:r>
      <w:r>
        <w:br/>
      </w:r>
      <w:r>
        <w:rPr>
          <w:rStyle w:val="VerbatimChar"/>
        </w:rPr>
        <w:t xml:space="preserve">  Theorem 10.1a (Cost Severance Identity), 10.1b (Structural Cost Severance under Current Institutions), Empirical Observation 10.2 (Cross-Model Convergence), Theorem 10.3 (Abundance Masking), 10.4 (RCV Integral Convergence), 10.5 (Substitution Dominance), Corollary 10.5.1 (Optimal Extraction Sequencing).</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href="#sec-11-empirical-validation"&gt;</w:t>
      </w:r>
      <w:r>
        <w:br/>
      </w:r>
      <w:r>
        <w:rPr>
          <w:rStyle w:val="VerbatimChar"/>
        </w:rPr>
        <w:t xml:space="preserve">  &amp;sect;11. Empirical Validation Cases</w:t>
      </w:r>
      <w:r>
        <w:br/>
      </w:r>
      <w:r>
        <w:rPr>
          <w:rStyle w:val="VerbatimChar"/>
        </w:rPr>
        <w:t xml:space="preserve"> &lt;/a&gt;</w:t>
      </w:r>
      <w:r>
        <w:br/>
      </w:r>
      <w:r>
        <w:rPr>
          <w:rStyle w:val="VerbatimChar"/>
        </w:rPr>
        <w:t xml:space="preserve"> &lt;div class="toc-annotation"&gt;</w:t>
      </w:r>
      <w:r>
        <w:br/>
      </w:r>
      <w:r>
        <w:rPr>
          <w:rStyle w:val="VerbatimChar"/>
        </w:rPr>
        <w:t xml:space="preserve">  Case prefaces (11.1&amp;ndash;11.4): McDowell coal, Deepwater Horizon, Libby, Baotou. Deep calibrations (11.5&amp;ndash;11.11): Norway petroleum, Appalachian coal, CSD&amp;ndash;RCV correlation test, Method 3 &amp;alpha;-dominance sensitivity, DAC anchor, space-economics anchors, IPG-table reconciliation.</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href="#sec-12-boundary-awareness-scope-claim"&gt;</w:t>
      </w:r>
      <w:r>
        <w:br/>
      </w:r>
      <w:r>
        <w:rPr>
          <w:rStyle w:val="VerbatimChar"/>
        </w:rPr>
        <w:t xml:space="preserve">  &amp;sect;12. Boundary-Awareness Scope Claim (Mars/Europa illustrations)</w:t>
      </w:r>
      <w:r>
        <w:br/>
      </w:r>
      <w:r>
        <w:rPr>
          <w:rStyle w:val="VerbatimChar"/>
        </w:rPr>
        <w:t xml:space="preserve"> &lt;/a&gt;</w:t>
      </w:r>
      <w:r>
        <w:br/>
      </w:r>
      <w:r>
        <w:rPr>
          <w:rStyle w:val="VerbatimChar"/>
        </w:rPr>
        <w:t xml:space="preserve"> &lt;div class="toc-annotation"&gt;</w:t>
      </w:r>
      <w:r>
        <w:br/>
      </w:r>
      <w:r>
        <w:rPr>
          <w:rStyle w:val="VerbatimChar"/>
        </w:rPr>
        <w:t xml:space="preserve">  What the framework can and cannot reach; thought-experiment cases for substitutability-gap classification.</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href="#sec-13-substitutability-function-and-gap"&gt;</w:t>
      </w:r>
      <w:r>
        <w:br/>
      </w:r>
      <w:r>
        <w:rPr>
          <w:rStyle w:val="VerbatimChar"/>
        </w:rPr>
        <w:t xml:space="preserve">  &amp;sect;13. Substitutability Function (S) + Industrial-Existential Substitutability Gap</w:t>
      </w:r>
      <w:r>
        <w:br/>
      </w:r>
      <w:r>
        <w:rPr>
          <w:rStyle w:val="VerbatimChar"/>
        </w:rPr>
        <w:t xml:space="preserve"> &lt;/a&gt;</w:t>
      </w:r>
      <w:r>
        <w:br/>
      </w:r>
      <w:r>
        <w:rPr>
          <w:rStyle w:val="VerbatimChar"/>
        </w:rPr>
        <w:t xml:space="preserve"> &lt;div class="toc-annotation"&gt;</w:t>
      </w:r>
      <w:r>
        <w:br/>
      </w:r>
      <w:r>
        <w:rPr>
          <w:rStyle w:val="VerbatimChar"/>
        </w:rPr>
        <w:t xml:space="preserve">  Resource classification by substitutability gap; the insurance cost argument; four-step implementation sequence connecting to Ch 9.</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href="#sec-14-literature-engagement"&gt;</w:t>
      </w:r>
      <w:r>
        <w:br/>
      </w:r>
      <w:r>
        <w:rPr>
          <w:rStyle w:val="VerbatimChar"/>
        </w:rPr>
        <w:t xml:space="preserve">  &amp;sect;14. Engagement with Existing Literature</w:t>
      </w:r>
      <w:r>
        <w:br/>
      </w:r>
      <w:r>
        <w:rPr>
          <w:rStyle w:val="VerbatimChar"/>
        </w:rPr>
        <w:t xml:space="preserve"> &lt;/a&gt;</w:t>
      </w:r>
      <w:r>
        <w:br/>
      </w:r>
      <w:r>
        <w:rPr>
          <w:rStyle w:val="VerbatimChar"/>
        </w:rPr>
        <w:t xml:space="preserve"> &lt;div class="toc-annotation"&gt;</w:t>
      </w:r>
      <w:r>
        <w:br/>
      </w:r>
      <w:r>
        <w:rPr>
          <w:rStyle w:val="VerbatimChar"/>
        </w:rPr>
        <w:t xml:space="preserve">  Hotelling (1931), Hartwick (1977), Weitzman (2001), Rawls (1971), Ostrom (1990), Daly (1990s), Harvey (2003) &amp;mdash; what each gets right and where each stops short.</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href="#sec-15-limitations"&gt;</w:t>
      </w:r>
      <w:r>
        <w:br/>
      </w:r>
      <w:r>
        <w:rPr>
          <w:rStyle w:val="VerbatimChar"/>
        </w:rPr>
        <w:t xml:space="preserve">  &amp;sect;15. Limitations and Boundary Conditions</w:t>
      </w:r>
      <w:r>
        <w:br/>
      </w:r>
      <w:r>
        <w:rPr>
          <w:rStyle w:val="VerbatimChar"/>
        </w:rPr>
        <w:t xml:space="preserve"> &lt;/a&gt;</w:t>
      </w:r>
      <w:r>
        <w:br/>
      </w:r>
      <w:r>
        <w:rPr>
          <w:rStyle w:val="VerbatimChar"/>
        </w:rPr>
        <w:t xml:space="preserve"> &lt;div class="toc-annotation"&gt;</w:t>
      </w:r>
      <w:r>
        <w:br/>
      </w:r>
      <w:r>
        <w:rPr>
          <w:rStyle w:val="VerbatimChar"/>
        </w:rPr>
        <w:t xml:space="preserve">  Methodology-defense consolidation (academic-reviewer depth); methodological framing footnotes.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href="#sec-16-mathematical-extensions"&gt;</w:t>
      </w:r>
      <w:r>
        <w:br/>
      </w:r>
      <w:r>
        <w:rPr>
          <w:rStyle w:val="VerbatimChar"/>
        </w:rPr>
        <w:t xml:space="preserve">  &amp;sect;16. Mathematical Extensions</w:t>
      </w:r>
      <w:r>
        <w:br/>
      </w:r>
      <w:r>
        <w:rPr>
          <w:rStyle w:val="VerbatimChar"/>
        </w:rPr>
        <w:t xml:space="preserve"> &lt;/a&gt;</w:t>
      </w:r>
      <w:r>
        <w:br/>
      </w:r>
      <w:r>
        <w:rPr>
          <w:rStyle w:val="VerbatimChar"/>
        </w:rPr>
        <w:t xml:space="preserve"> &lt;div class="toc-annotation"&gt;</w:t>
      </w:r>
      <w:r>
        <w:br/>
      </w:r>
      <w:r>
        <w:rPr>
          <w:rStyle w:val="VerbatimChar"/>
        </w:rPr>
        <w:t xml:space="preserve">  Variable discount rates (Weitzman specification); stock-dependent substitutability; spatial cost severance formalization; sensitivity analysis summary.</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href="#sec-17-formula-generalization"&gt;</w:t>
      </w:r>
      <w:r>
        <w:br/>
      </w:r>
      <w:r>
        <w:rPr>
          <w:rStyle w:val="VerbatimChar"/>
        </w:rPr>
        <w:t xml:space="preserve">  &amp;sect;17. Formula Generalization &amp;mdash; Sum-of-Costs Form</w:t>
      </w:r>
      <w:r>
        <w:br/>
      </w:r>
      <w:r>
        <w:rPr>
          <w:rStyle w:val="VerbatimChar"/>
        </w:rPr>
        <w:t xml:space="preserve"> &lt;/a&gt;</w:t>
      </w:r>
      <w:r>
        <w:br/>
      </w:r>
      <w:r>
        <w:rPr>
          <w:rStyle w:val="VerbatimChar"/>
        </w:rPr>
        <w:t xml:space="preserve"> &lt;div class="toc-annotation"&gt;</w:t>
      </w:r>
      <w:r>
        <w:br/>
      </w:r>
      <w:r>
        <w:rPr>
          <w:rStyle w:val="VerbatimChar"/>
        </w:rPr>
        <w:t xml:space="preserve">  Generalization of the two-term RCV to n-term sum; convergence, units, and CS=RCV&amp;minus;B preservation; worked derivation showing the two-term form as n=2 special case; generative property for admitting new variables.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href="#sec-18-bibliography"&gt;</w:t>
      </w:r>
      <w:r>
        <w:br/>
      </w:r>
      <w:r>
        <w:rPr>
          <w:rStyle w:val="VerbatimChar"/>
        </w:rPr>
        <w:t xml:space="preserve">  &amp;sect;18. Bibliography</w:t>
      </w:r>
      <w:r>
        <w:br/>
      </w:r>
      <w:r>
        <w:rPr>
          <w:rStyle w:val="VerbatimChar"/>
        </w:rPr>
        <w:t xml:space="preserve"> &lt;/a&gt;</w:t>
      </w:r>
      <w:r>
        <w:br/>
      </w:r>
      <w:r>
        <w:rPr>
          <w:rStyle w:val="VerbatimChar"/>
        </w:rPr>
        <w:t xml:space="preserve"> &lt;div class="toc-annotation"&gt;</w:t>
      </w:r>
      <w:r>
        <w:br/>
      </w:r>
      <w:r>
        <w:rPr>
          <w:rStyle w:val="VerbatimChar"/>
        </w:rPr>
        <w:t xml:space="preserve">  Full reference list.</w:t>
      </w:r>
      <w:r>
        <w:br/>
      </w:r>
      <w:r>
        <w:rPr>
          <w:rStyle w:val="VerbatimChar"/>
        </w:rPr>
        <w:t xml:space="preserve"> &lt;/div&gt;</w:t>
      </w:r>
      <w:r>
        <w:br/>
      </w:r>
      <w:r>
        <w:rPr>
          <w:rStyle w:val="VerbatimChar"/>
        </w:rPr>
        <w:t xml:space="preserve">&lt;/li&gt;</w:t>
      </w:r>
    </w:p>
    <w:p>
      <w:pPr>
        <w:pStyle w:val="FirstParagraph"/>
      </w:pPr>
      <w:r>
        <w:t xml:space="preserve">§1. Foundations — Formal Definitions and Primitives</w:t>
      </w:r>
    </w:p>
    <w:p>
      <w:pPr>
        <w:pStyle w:val="BodyText"/>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pStyle w:val="BodyText"/>
      </w:pPr>
      <w:r>
        <w:t xml:space="preserve">When ρ = 0 (strict non-renewability), extraction is irreversible and foreclosure is permanent.</w:t>
      </w:r>
    </w:p>
    <w:p>
      <w:pPr>
        <w:pStyle w:val="BodyText"/>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BodyText"/>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r>
        <w:t xml:space="preserve"> </w:t>
      </w:r>
      <w:r>
        <w:t xml:space="preserve">]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t xml:space="preserve"> </w:t>
      </w:r>
      <w:r>
        <w:t xml:space="preserve">Acronym disambiguation (RCV first-introduction discipline).</w:t>
      </w:r>
      <w:r>
        <w:t xml:space="preserve"> </w:t>
      </w:r>
      <w:r>
        <w:t xml:space="preserve"> </w:t>
      </w:r>
      <w:r>
        <w:t xml:space="preserve">The framework uses RCV exclusively for Residual Commons Value as defined here. Three real-world acronym collisions are noted for first-encounter disambiguation:</w:t>
      </w:r>
    </w:p>
    <w:p>
      <w:pPr>
        <w:pStyle w:val="BodyText"/>
      </w:pPr>
      <w: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t xml:space="preserve">Democracy and Diversity: Political Engineering in the Asia-Pacific</w:t>
      </w:r>
      <w:r>
        <w:t xml:space="preserve"> </w:t>
      </w:r>
      <w:r>
        <w:t xml:space="preserve">(Oxford UP).</w:t>
      </w:r>
    </w:p>
    <w:p>
      <w:pPr>
        <w:pStyle w:val="BodyText"/>
      </w:pPr>
      <w: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t xml:space="preserve">Replacement Cost vs Actual Cash Value</w:t>
      </w:r>
      <w:r>
        <w:t xml:space="preserve"> </w:t>
      </w:r>
      <w:r>
        <w:t xml:space="preserve">consumer guide; Casualty Actuarial Society methodological texts.</w:t>
      </w:r>
    </w:p>
    <w:p>
      <w:pPr>
        <w:pStyle w:val="BodyText"/>
      </w:pPr>
      <w:r>
        <w:t xml:space="preserve">Risk Capital Value</w:t>
      </w:r>
      <w:r>
        <w:t xml:space="preserve"> </w:t>
      </w:r>
      <w:r>
        <w:t xml:space="preserve">— banking-regulatory usage (Basel III + FDIC capital adequacy frameworks). Reference: Basel Committee on Banking Supervision 2017</w:t>
      </w:r>
      <w:r>
        <w:t xml:space="preserve"> </w:t>
      </w:r>
      <w:r>
        <w:t xml:space="preserve">Basel III: Finalising Post-Crisis Reforms</w:t>
      </w:r>
      <w:r>
        <w:t xml:space="preserve"> </w:t>
      </w:r>
      <w:r>
        <w:t xml:space="preserve">(Bank for International Settlements).</w:t>
      </w:r>
    </w:p>
    <w:p>
      <w:pPr>
        <w:pStyle w:val="BodyText"/>
      </w:pPr>
      <w:r>
        <w:t xml:space="preserve">None of these usages fits the integrand-and-integral form above, so internal mathematical apparatus disambiguates after first formula encounter. To close pre-equation reading-friction, the framework’s discipline is to introduce the term as</w:t>
      </w:r>
      <w:r>
        <w:t xml:space="preserve"> </w:t>
      </w:r>
      <w:r>
        <w:t xml:space="preserve">“Residual Commons Value (RCV)”</w:t>
      </w:r>
      <w:r>
        <w:t xml:space="preserve"> </w:t>
      </w:r>
      <w:r>
        <w:t xml:space="preserve">on first appearance per chapter or major section before reusing the acronym.</w:t>
      </w:r>
    </w:p>
    <w:p>
      <w:pPr>
        <w:pStyle w:val="BodyText"/>
      </w:pPr>
      <w:r>
        <w:t xml:space="preserve">The integrand has two components:</w:t>
      </w:r>
    </w:p>
    <w:p>
      <w:pPr>
        <w:pStyle w:val="BodyText"/>
      </w:pPr>
      <w:r>
        <w:t xml:space="preserve">Foreclosure component: [1 − S(t | t₀)] · U(R, t, Q(t)) — the expected utility loss when no substitute exists, weighted by the probability that no substitute exists at time t.</w:t>
      </w:r>
    </w:p>
    <w:p>
      <w:pPr>
        <w:pStyle w:val="BodyText"/>
      </w:pPr>
      <w:r>
        <w:t xml:space="preserve">Externality component: E(R, t) — the ongoing damage costs regardless of substitution status. A substitute for coal does not remove carbon from the atmosphere; the externality tail runs independently.</w:t>
      </w:r>
    </w:p>
    <w:p>
      <w:pPr>
        <w:pStyle w:val="BodyText"/>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t xml:space="preserve"> </w:t>
      </w:r>
      <w:r>
        <w:t xml:space="preserve">Forward-pricing shorthand vs. full bidirectional form.</w:t>
      </w:r>
      <w:r>
        <w:t xml:space="preserve"> </w:t>
      </w:r>
      <w:r>
        <w:t xml:space="preserve"> </w:t>
      </w:r>
      <w:r>
        <w:t xml:space="preserve">The form above —</w:t>
      </w:r>
      <w:r>
        <w:t xml:space="preserve"> </w:t>
      </w:r>
      <w: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t xml:space="preserve"> </w:t>
      </w:r>
      <w: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r>
        <w:t xml:space="preserve"> </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pStyle w:val="BodyText"/>
      </w:pPr>
      <w:r>
        <w:t xml:space="preserve">Habitability commons (abundant state) → reveals oxygen processing, atmospheric regulation, and radiation shielding costs</w:t>
      </w:r>
    </w:p>
    <w:p>
      <w:pPr>
        <w:pStyle w:val="BodyText"/>
      </w:pPr>
      <w:r>
        <w:t xml:space="preserve">Spatial commons (abundant state) → reveals spatial displacement costs: distance from home, transport, community immobility</w:t>
      </w:r>
    </w:p>
    <w:p>
      <w:pPr>
        <w:pStyle w:val="BodyText"/>
      </w:pPr>
      <w:r>
        <w:t xml:space="preserve">Temporal commons (abundant state) → reveals acceleration costs: compressing multi-century availability into decades</w:t>
      </w:r>
    </w:p>
    <w:p>
      <w:pPr>
        <w:pStyle w:val="BodyText"/>
      </w:pPr>
      <w:r>
        <w:t xml:space="preserve">Institutional commons (abundant state) → reveals governance costs: enforcement, accountability, honest accounting infrastructure</w:t>
      </w:r>
    </w:p>
    <w:p>
      <w:pPr>
        <w:pStyle w:val="BodyText"/>
      </w:pPr>
      <w:r>
        <w:t xml:space="preserve">Kindred commons (abundant state) → reveals knowledge/cultural costs: transmission, continuity, community expertise below critical thresholds</w:t>
      </w:r>
    </w:p>
    <w:p>
      <w:pPr>
        <w:pStyle w:val="BodyText"/>
      </w:pPr>
      <w:r>
        <w:t xml:space="preserve">Ecosystem commons (abundant state) → reveals ecosystem service costs: pollination, hydrological cycles, soil formation, waste processing</w:t>
      </w:r>
    </w:p>
    <w:p>
      <w:pPr>
        <w:pStyle w:val="BodyText"/>
      </w:pPr>
      <w:r>
        <w:t xml:space="preserve">Political commons (abundant state) → reveals governance capture costs: lobbying-investment, regulatory capture, suppression of scientific findings, institutional corrosion</w:t>
      </w:r>
    </w:p>
    <w:p>
      <w:pPr>
        <w:pStyle w:val="BodyText"/>
      </w:pPr>
      <w:r>
        <w:t xml:space="preserve">Cohesion commons (abundant state) → reveals civic-trust erosion costs: stranger-coordination collapse, commons-governance failures, civic-institution defunding, platform-mediation displacing civic trust</w:t>
      </w:r>
    </w:p>
    <w:p>
      <w:pPr>
        <w:pStyle w:val="BodyText"/>
      </w:pPr>
      <w:r>
        <w:t xml:space="preserve">Epistemic commons (abundant state) → reveals epistemic-asymmetry costs: information suppression, AI-model opacity, algorithmic-accountability gaps, education-availability asymmetry</w:t>
      </w:r>
    </w:p>
    <w:p>
      <w:pPr>
        <w:pStyle w:val="BodyText"/>
      </w:pPr>
      <w:r>
        <w:t xml:space="preserve">Autonomy commons (abundant state) → reveals coercion-shield costs: employment-relationship power asymmetry, consent-normalization, behavioral-architecture manipulation, addiction-induced choice-restriction</w:t>
      </w:r>
    </w:p>
    <w:p>
      <w:pPr>
        <w:pStyle w:val="BodyText"/>
      </w:pPr>
      <w:r>
        <w:t xml:space="preserve">The test is complete when no further commons category can be identified whose removal reveals new costs.</w:t>
      </w:r>
    </w:p>
    <w:p>
      <w:pPr>
        <w:pStyle w:val="BodyText"/>
      </w:pPr>
      <w:r>
        <w:t xml:space="preserve"> </w:t>
      </w:r>
      <w:r>
        <w:t xml:space="preserve">Discipline note (commons categories as illustrative, not ontological).</w:t>
      </w:r>
      <w:r>
        <w:t xml:space="preserve"> </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p>
      <w:pPr>
        <w:pStyle w:val="BodyText"/>
      </w:pPr>
      <w:r>
        <w:t xml:space="preserve">§1.10 — Per-category commons profiles</w:t>
      </w:r>
    </w:p>
    <w:p>
      <w:pPr>
        <w:pStyle w:val="BodyText"/>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t xml:space="preserve"> </w:t>
      </w:r>
      <w:r>
        <w:t xml:space="preserve">Habitability commons.</w:t>
      </w:r>
      <w:r>
        <w:t xml:space="preserve"> </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t xml:space="preserve"> </w:t>
      </w:r>
      <w:r>
        <w:t xml:space="preserve">Spatial commons.</w:t>
      </w:r>
      <w:r>
        <w:t xml:space="preserve"> </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t xml:space="preserve">Space and Place</w:t>
      </w:r>
      <w:r>
        <w:t xml:space="preserve">); urban sociology (Jacobs 1961</w:t>
      </w:r>
      <w:r>
        <w:t xml:space="preserve"> </w:t>
      </w:r>
      <w:r>
        <w:t xml:space="preserve">The Death and Life of Great American Cities</w:t>
      </w:r>
      <w:r>
        <w:t xml:space="preserve">); environmental justice (Bullard 1990</w:t>
      </w:r>
      <w:r>
        <w:t xml:space="preserve"> </w:t>
      </w:r>
      <w:r>
        <w:t xml:space="preserve">Dumping in Dixie</w:t>
      </w:r>
      <w:r>
        <w:t xml:space="preserve">).</w:t>
      </w:r>
    </w:p>
    <w:p>
      <w:pPr>
        <w:pStyle w:val="BodyText"/>
      </w:pPr>
      <w:r>
        <w:t xml:space="preserve"> </w:t>
      </w:r>
      <w:r>
        <w:t xml:space="preserve">Temporal commons.</w:t>
      </w:r>
      <w:r>
        <w:t xml:space="preserve"> </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t xml:space="preserve">Our Common Future</w:t>
      </w:r>
      <w:r>
        <w:t xml:space="preserve">; intergenerational equity (Brown Weiss 1989</w:t>
      </w:r>
      <w:r>
        <w:t xml:space="preserve"> </w:t>
      </w:r>
      <w:r>
        <w:t xml:space="preserve">In Fairness to Future Generations</w:t>
      </w:r>
      <w:r>
        <w:t xml:space="preserve">).</w:t>
      </w:r>
    </w:p>
    <w:p>
      <w:pPr>
        <w:pStyle w:val="BodyText"/>
      </w:pPr>
      <w:r>
        <w:t xml:space="preserve"> </w:t>
      </w:r>
      <w:r>
        <w:t xml:space="preserve">Institutional commons.</w:t>
      </w:r>
      <w:r>
        <w:t xml:space="preserve"> </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t xml:space="preserve">Why Nations Fail</w:t>
      </w:r>
      <w:r>
        <w:t xml:space="preserve">); regulatory-capture theory (Stigler 1971); state-capacity literature (Mann 1984; Tilly 1990).</w:t>
      </w:r>
    </w:p>
    <w:p>
      <w:pPr>
        <w:pStyle w:val="BodyText"/>
      </w:pPr>
      <w:r>
        <w:t xml:space="preserve"> </w:t>
      </w:r>
      <w:r>
        <w:t xml:space="preserve">Kindred commons.</w:t>
      </w:r>
      <w:r>
        <w:t xml:space="preserve"> </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t xml:space="preserve">Families We Choose</w:t>
      </w:r>
      <w:r>
        <w:t xml:space="preserve">); decolonial theory (Coulthard 2014</w:t>
      </w:r>
      <w:r>
        <w:t xml:space="preserve"> </w:t>
      </w:r>
      <w:r>
        <w:t xml:space="preserve">Red Skin, White Masks</w:t>
      </w:r>
      <w:r>
        <w:t xml:space="preserve">; Tuck &amp; Yang 2012</w:t>
      </w:r>
      <w:r>
        <w:t xml:space="preserve"> </w:t>
      </w:r>
      <w:r>
        <w:t xml:space="preserve">“Decolonization is not a metaphor”</w:t>
      </w:r>
      <w:r>
        <w:t xml:space="preserve">); intergenerational-trauma scholarship.</w:t>
      </w:r>
    </w:p>
    <w:p>
      <w:pPr>
        <w:pStyle w:val="BodyText"/>
      </w:pPr>
      <w:r>
        <w:t xml:space="preserve"> </w:t>
      </w:r>
      <w:r>
        <w:t xml:space="preserve">Ecosystem commons.</w:t>
      </w:r>
      <w:r>
        <w:t xml:space="preserve"> </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t xml:space="preserve">Nature’s Services</w:t>
      </w:r>
      <w:r>
        <w:t xml:space="preserve">; Costanza et al. 1997</w:t>
      </w:r>
      <w:r>
        <w:t xml:space="preserve"> </w:t>
      </w:r>
      <w:r>
        <w:t xml:space="preserve">Nature</w:t>
      </w:r>
      <w:r>
        <w:t xml:space="preserve"> </w:t>
      </w:r>
      <w:r>
        <w:t xml:space="preserve">and Costanza et al. 2014 update; planetary boundaries (Rockström et al. 2009; Steffen et al. 2015).</w:t>
      </w:r>
    </w:p>
    <w:p>
      <w:pPr>
        <w:pStyle w:val="BodyText"/>
      </w:pPr>
      <w:r>
        <w:t xml:space="preserve"> </w:t>
      </w:r>
      <w:r>
        <w:t xml:space="preserve">Political commons.</w:t>
      </w:r>
      <w:r>
        <w:t xml:space="preserve"> </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t xml:space="preserve">The Logic of Collective Action</w:t>
      </w:r>
      <w:r>
        <w:t xml:space="preserve">; Acemoglu &amp; Robinson 2012 on inclusive vs extractive institutions.</w:t>
      </w:r>
    </w:p>
    <w:p>
      <w:pPr>
        <w:pStyle w:val="BodyText"/>
      </w:pPr>
      <w:r>
        <w:t xml:space="preserve"> </w:t>
      </w:r>
      <w:r>
        <w:t xml:space="preserve">Cohesion commons.</w:t>
      </w:r>
      <w:r>
        <w:t xml:space="preserve"> </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t xml:space="preserve">Bowling Alone</w:t>
      </w:r>
      <w:r>
        <w:t xml:space="preserve">; Coleman 1990</w:t>
      </w:r>
      <w:r>
        <w:t xml:space="preserve"> </w:t>
      </w:r>
      <w:r>
        <w:t xml:space="preserve">Foundations of Social Theory</w:t>
      </w:r>
      <w:r>
        <w:t xml:space="preserve">; Ostrom 1990</w:t>
      </w:r>
      <w:r>
        <w:t xml:space="preserve"> </w:t>
      </w:r>
      <w:r>
        <w:t xml:space="preserve">Governing the Commons</w:t>
      </w:r>
      <w:r>
        <w:t xml:space="preserve">; Tönnies 1887</w:t>
      </w:r>
      <w:r>
        <w:t xml:space="preserve"> </w:t>
      </w:r>
      <w:r>
        <w:t xml:space="preserve">Gemeinschaft und Gesellschaft</w:t>
      </w:r>
      <w:r>
        <w:t xml:space="preserve">; Klinenberg 2018</w:t>
      </w:r>
      <w:r>
        <w:t xml:space="preserve"> </w:t>
      </w:r>
      <w:r>
        <w:t xml:space="preserve">Palaces for the People</w:t>
      </w:r>
      <w:r>
        <w:t xml:space="preserve"> </w:t>
      </w:r>
      <w:r>
        <w:t xml:space="preserve">on social infrastructure.</w:t>
      </w:r>
    </w:p>
    <w:p>
      <w:pPr>
        <w:pStyle w:val="BodyText"/>
      </w:pPr>
      <w:r>
        <w:t xml:space="preserve"> </w:t>
      </w:r>
      <w:r>
        <w:t xml:space="preserve">Epistemic commons.</w:t>
      </w:r>
      <w:r>
        <w:t xml:space="preserve"> </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t xml:space="preserve">Epistemic Injustice</w:t>
      </w:r>
      <w:r>
        <w:t xml:space="preserve">; Hess &amp; Ostrom 2007</w:t>
      </w:r>
      <w:r>
        <w:t xml:space="preserve"> </w:t>
      </w:r>
      <w:r>
        <w:t xml:space="preserve">Understanding Knowledge as a Commons</w:t>
      </w:r>
      <w:r>
        <w:t xml:space="preserve">; Habermas 1981</w:t>
      </w:r>
      <w:r>
        <w:t xml:space="preserve"> </w:t>
      </w:r>
      <w:r>
        <w:t xml:space="preserve">Theory of Communicative Action</w:t>
      </w:r>
      <w:r>
        <w:t xml:space="preserve">; AI-ethics literature (Crawford 2021</w:t>
      </w:r>
      <w:r>
        <w:t xml:space="preserve"> </w:t>
      </w:r>
      <w:r>
        <w:t xml:space="preserve">Atlas of AI</w:t>
      </w:r>
      <w:r>
        <w:t xml:space="preserve">; Benjamin 2019</w:t>
      </w:r>
      <w:r>
        <w:t xml:space="preserve"> </w:t>
      </w:r>
      <w:r>
        <w:t xml:space="preserve">Race After Technology</w:t>
      </w:r>
      <w:r>
        <w:t xml:space="preserve">; O’Neil 2016</w:t>
      </w:r>
      <w:r>
        <w:t xml:space="preserve"> </w:t>
      </w:r>
      <w:r>
        <w:t xml:space="preserve">Weapons of Math Destruction</w:t>
      </w:r>
      <w:r>
        <w:t xml:space="preserve">).</w:t>
      </w:r>
    </w:p>
    <w:p>
      <w:pPr>
        <w:pStyle w:val="BodyText"/>
      </w:pPr>
      <w:r>
        <w:t xml:space="preserve"> </w:t>
      </w:r>
      <w:r>
        <w:t xml:space="preserve">Autonomy commons.</w:t>
      </w:r>
      <w:r>
        <w:t xml:space="preserve"> </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t xml:space="preserve">Groundwork of the Metaphysics of Morals</w:t>
      </w:r>
      <w:r>
        <w:t xml:space="preserve">; Mill 1859</w:t>
      </w:r>
      <w:r>
        <w:t xml:space="preserve"> </w:t>
      </w:r>
      <w:r>
        <w:t xml:space="preserve">On Liberty</w:t>
      </w:r>
      <w:r>
        <w:t xml:space="preserve">; Sen 1999</w:t>
      </w:r>
      <w:r>
        <w:t xml:space="preserve"> </w:t>
      </w:r>
      <w:r>
        <w:t xml:space="preserve">Development as Freedom</w:t>
      </w:r>
      <w:r>
        <w:t xml:space="preserve">; Nussbaum 2011</w:t>
      </w:r>
      <w:r>
        <w:t xml:space="preserve"> </w:t>
      </w:r>
      <w:r>
        <w:t xml:space="preserve">Creating Capabilities</w:t>
      </w:r>
      <w:r>
        <w:t xml:space="preserve">; Anderson 2017</w:t>
      </w:r>
      <w:r>
        <w:t xml:space="preserve"> </w:t>
      </w:r>
      <w:r>
        <w:t xml:space="preserve">Private Government</w:t>
      </w:r>
      <w:r>
        <w:t xml:space="preserve">.</w:t>
      </w:r>
    </w:p>
    <w:p>
      <w:pPr>
        <w:pStyle w:val="BodyText"/>
      </w:pPr>
      <w:r>
        <w:t xml:space="preserve"> </w:t>
      </w:r>
      <w:r>
        <w:t xml:space="preserve">Scope-of-applicability boundary at the extreme-scarcity end.</w:t>
      </w:r>
      <w:r>
        <w:t xml:space="preserve"> </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t xml:space="preserve">coercion vector itself</w:t>
      </w:r>
      <w:r>
        <w:t xml:space="preserve"> </w:t>
      </w:r>
      <w:r>
        <w:t xml:space="preserve">— what should be assigned to the coercive dimension as cost — remains methodologically unresolved in the reparations-economics field (Darity 2026). The framework’s methodology extends to coerced-extraction cases through the</w:t>
      </w:r>
      <w:r>
        <w:t xml:space="preserve"> </w:t>
      </w:r>
      <w: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t xml:space="preserve"> </w:t>
      </w:r>
      <w:r>
        <w:t xml:space="preserve">Heterogeneous-stakeholder commons scope.</w:t>
      </w:r>
      <w:r>
        <w:t xml:space="preserve"> </w:t>
      </w:r>
      <w:r>
        <w:t xml:space="preserve"> </w:t>
      </w:r>
      <w:r>
        <w:t xml:space="preserve">A second scope-of-applicability boundary the framework names explicitly is the heterogeneous-stakeholder commons. Where the cost-bearing community drawing from a shared commons is structurally divided along racial, class, ethnic, or analogous group lines, and carries conflicting use-preferences for the commons itself, the Ostrom-tradition apparatus does not produce a solution — Ostrom’s eight design principles (Ostrom 1990) presume substantially-aligned stakeholders capable of negotiating governance institutions, and structurally divided stakeholders fall outside that scope. This framework’s apparatus reaches such commons because the Commons Inversion Test operates on the commons-extraction relationship rather than on the stakeholder-coordination relationship; the cost severance the framework prices is measurable whether the cost-bearing community is internally aligned or divided. This break-point connects the framework to the analytical apparatus of</w:t>
      </w:r>
      <w:r>
        <w:t xml:space="preserve"> </w:t>
      </w:r>
      <w:r>
        <w:t xml:space="preserve">stratification economics</w:t>
      </w:r>
      <w:r>
        <w:t xml:space="preserve"> </w:t>
      </w:r>
      <w:r>
        <w:t xml:space="preserve">(Darity, Hamilton, and collaborators), which analyzes structural-extraction operating through hierarchical group-divisions of race, class, and ethnicity (Darity 2026). The framework’s commons-governance extension applies stratification-economics analysis of intergroup relationships to commons that are simultaneously contested across stakeholder-group lines and being extracted from by structural outsiders.</w:t>
      </w:r>
    </w:p>
    <w:p>
      <w:pPr>
        <w:pStyle w:val="BodyText"/>
      </w:pPr>
      <w:r>
        <w:t xml:space="preserve"> </w:t>
      </w:r>
      <w:r>
        <w:t xml:space="preserve">Scope: complementarity with Public Choice / rent-seeking analysis.</w:t>
      </w:r>
      <w:r>
        <w:t xml:space="preserve"> </w:t>
      </w:r>
      <w:r>
        <w:t xml:space="preserve"> </w:t>
      </w:r>
      <w:r>
        <w:t xml:space="preserve">The framework’s cost-severance accounting operates at the architecture level — identifying which parties absorb which costs given an institutional architecture’s distributive properties. A complementary analytical question — who shaped the institutional architecture, by what political-economic process, with what rent-seeking expenditure — is the domain of Public Choice analysis (Buchanan &amp; Tullock 1962; Tullock 1967; Mueller 2003 and successors). The framework is compatible with Public Choice analysis layered on top of it, and depends on it for cases where the architecture’s origins are part of the substantive analytical work. The framework does not attempt to replicate Public Choice’s actor-identification methodology; the framework’s apparatus is calibrated for cost-bearing-party identification + magnitude, not for political-coalition-of-architecture-shapers analysis. Applicability conditions:</w:t>
      </w:r>
      <w:r>
        <w:t xml:space="preserve"> </w:t>
      </w:r>
      <w:r>
        <w:t xml:space="preserve">sharpest application of Public Choice complementarity</w:t>
      </w:r>
      <w:r>
        <w:t xml:space="preserve"> </w:t>
      </w:r>
      <w:r>
        <w:t xml:space="preserve">— cases where extractor populations and cost-bearer populations are heterogeneous (corporate operator vs downstream community; industry lobbying vs unaffiliated household; financial-services concentration vs diffuse depositor base);</w:t>
      </w:r>
      <w:r>
        <w:t xml:space="preserve"> </w:t>
      </w:r>
      <w:r>
        <w:t xml:space="preserve">blurred application</w:t>
      </w:r>
      <w:r>
        <w:t xml:space="preserve"> </w:t>
      </w:r>
      <w:r>
        <w:t xml:space="preserve">— cases where extractor and cost-bearer populations overlap (consumer-good supply chains where consumers occupy both roles; intergenerational dynamics where temporal-distance creates an actor-identification challenge that present-tense Public Choice analysis is not optimized for);</w:t>
      </w:r>
      <w:r>
        <w:t xml:space="preserve"> </w:t>
      </w:r>
      <w:r>
        <w:t xml:space="preserve">out of scope of this Technical Appendix</w:t>
      </w:r>
      <w:r>
        <w:t xml:space="preserve"> </w:t>
      </w:r>
      <w:r>
        <w:t xml:space="preserve">— rent-seeking-actor-identification methodology; the Appendix does not develop this apparatus and refers readers to the Public Choice literature for it. Readers in the Public Choice tradition should read the framework’s cost-bearing-party identification as a foundation their apparatus can apply to, not as an alternative to their apparatus.</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p>
      <w:pPr>
        <w:pStyle w:val="BodyText"/>
      </w:pPr>
      <w:r>
        <w:t xml:space="preserve">§2. Two-Instrument Architecture (CSD ↔ B₁; RCV ↔ B₂)</w:t>
      </w:r>
    </w:p>
    <w:p>
      <w:pPr>
        <w:pStyle w:val="BodyText"/>
      </w:pPr>
      <w:r>
        <w:t xml:space="preserve">§2.1 Architecture overview</w:t>
      </w:r>
    </w:p>
    <w:p>
      <w:pPr>
        <w:pStyle w:val="BodyText"/>
      </w:pPr>
      <w:r>
        <w:t xml:space="preserve">The framework operates two distinct accounting instruments — one</w:t>
      </w:r>
      <w:r>
        <w:t xml:space="preserve"> </w:t>
      </w:r>
      <w:r>
        <w:t xml:space="preserve"> </w:t>
      </w:r>
      <w:r>
        <w:t xml:space="preserve">backward-looking</w:t>
      </w:r>
      <w:r>
        <w:t xml:space="preserve"> </w:t>
      </w:r>
      <w:r>
        <w:t xml:space="preserve"> </w:t>
      </w:r>
      <w:r>
        <w:t xml:space="preserve">(already-extracted commons), one</w:t>
      </w:r>
      <w:r>
        <w:t xml:space="preserve"> </w:t>
      </w:r>
      <w:r>
        <w:t xml:space="preserve"> </w:t>
      </w:r>
      <w:r>
        <w:t xml:space="preserve">forward-looking</w:t>
      </w:r>
      <w:r>
        <w:t xml:space="preserve"> </w:t>
      </w:r>
      <w:r>
        <w:t xml:space="preserve"> </w:t>
      </w:r>
      <w:r>
        <w:t xml:space="preserve">(potential / claim-bearing commons). Both are governed by the same central equation</w:t>
      </w:r>
      <w:r>
        <w:t xml:space="preserve"> </w:t>
      </w:r>
      <w:r>
        <w:t xml:space="preserve"> </w:t>
      </w:r>
      <w:r>
        <w:t xml:space="preserve">CS = RCV − B</w:t>
      </w:r>
      <w:r>
        <w:t xml:space="preserve"> </w:t>
      </w:r>
      <w:r>
        <w:t xml:space="preserve"> </w:t>
      </w:r>
      <w:r>
        <w:t xml:space="preserve">(Cost Severance equals Residual Commons Value minus Bond posting). The two instruments differ in which side of the equation is being measured.</w:t>
      </w:r>
    </w:p>
    <w:p>
      <w:pPr>
        <w:pStyle w:val="BodyText"/>
      </w:pPr>
      <w:r>
        <w:t xml:space="preserve"> </w:t>
      </w:r>
      <w:r>
        <w:t xml:space="preserve">CSD — Cost Severance Damages (backward-looking):</w:t>
      </w:r>
      <w:r>
        <w:t xml:space="preserve"> </w:t>
      </w:r>
    </w:p>
    <w:p>
      <w:pPr>
        <w:pStyle w:val="BodyText"/>
      </w:pPr>
      <w:r>
        <w:t xml:space="preserve">Question answered:</w:t>
      </w:r>
      <w:r>
        <w:t xml:space="preserve"> </w:t>
      </w:r>
      <w:r>
        <w:t xml:space="preserve"> </w:t>
      </w:r>
      <w:r>
        <w:t xml:space="preserve">What was severed?</w:t>
      </w:r>
      <w:r>
        <w:t xml:space="preserve"> </w:t>
      </w:r>
    </w:p>
    <w:p>
      <w:pPr>
        <w:pStyle w:val="BodyText"/>
      </w:pPr>
      <w:r>
        <w:t xml:space="preserve">Measures CS that has already accumulated through past extraction.</w:t>
      </w:r>
    </w:p>
    <w:p>
      <w:pPr>
        <w:pStyle w:val="BodyText"/>
      </w:pPr>
      <w:r>
        <w:t xml:space="preserve">Anchors restitution claims (B₁ Restitution Bond — see §4 below).</w:t>
      </w:r>
    </w:p>
    <w:p>
      <w:pPr>
        <w:pStyle w:val="BodyText"/>
      </w:pPr>
      <w:r>
        <w:t xml:space="preserve">Empirical input: realized extraction history; realized commons-degradation; realized cost-bearer claims.</w:t>
      </w:r>
    </w:p>
    <w:p>
      <w:pPr>
        <w:pStyle w:val="BodyText"/>
      </w:pPr>
      <w:r>
        <w:t xml:space="preserve">Discount-rate posture: low / zero / negative (already-realized harm; reparations-economics traditions per Darity &amp; Mullen 2020).</w:t>
      </w:r>
    </w:p>
    <w:p>
      <w:pPr>
        <w:pStyle w:val="BodyText"/>
      </w:pPr>
      <w:r>
        <w:t xml:space="preserve"> </w:t>
      </w:r>
      <w:r>
        <w:t xml:space="preserve">RCV — Residual Commons Value (forward-looking):</w:t>
      </w:r>
      <w:r>
        <w:t xml:space="preserve"> </w:t>
      </w:r>
    </w:p>
    <w:p>
      <w:pPr>
        <w:pStyle w:val="BodyText"/>
      </w:pPr>
      <w:r>
        <w:t xml:space="preserve">Question answered:</w:t>
      </w:r>
      <w:r>
        <w:t xml:space="preserve"> </w:t>
      </w:r>
      <w:r>
        <w:t xml:space="preserve"> </w:t>
      </w:r>
      <w:r>
        <w:t xml:space="preserve">What’s left, and what would severing it more cost?</w:t>
      </w:r>
      <w:r>
        <w:t xml:space="preserve"> </w:t>
      </w:r>
    </w:p>
    <w:p>
      <w:pPr>
        <w:pStyle w:val="BodyText"/>
      </w:pPr>
      <w:r>
        <w:t xml:space="preserve">Measures commons-value that the extraction relationship has NOT yet captured / consumed / extinguished.</w:t>
      </w:r>
    </w:p>
    <w:p>
      <w:pPr>
        <w:pStyle w:val="BodyText"/>
      </w:pPr>
      <w:r>
        <w:t xml:space="preserve">Anchors foreclosure-prevention claims (B₂ Foreclosure Bond — see §4 below).</w:t>
      </w:r>
    </w:p>
    <w:p>
      <w:pPr>
        <w:pStyle w:val="BodyText"/>
      </w:pPr>
      <w:r>
        <w:t xml:space="preserve">Empirical input: replacement cost (Method 1 — see §3.3) + revealed preference (Method 2 — §3.4) + scarcity-adjusted option value (Method 3 — §3.5).</w:t>
      </w:r>
    </w:p>
    <w:p>
      <w:pPr>
        <w:pStyle w:val="BodyText"/>
      </w:pPr>
      <w:r>
        <w:t xml:space="preserve">Discount-rate posture: option-value-bearing; scarcity-adjusted (commons-finite Hotelling-like rents — see §4 Hotelling Identity).</w:t>
      </w:r>
    </w:p>
    <w:p>
      <w:pPr>
        <w:pStyle w:val="BodyText"/>
      </w:pPr>
      <w:r>
        <w:t xml:space="preserve"> </w:t>
      </w:r>
      <w:r>
        <w:t xml:space="preserve">Why two instruments + one equation:</w:t>
      </w:r>
      <w:r>
        <w:t xml:space="preserve"> </w:t>
      </w:r>
      <w:r>
        <w:t xml:space="preserve"> </w:t>
      </w:r>
      <w:r>
        <w:t xml:space="preserve">the framework’s structural identity is</w:t>
      </w:r>
      <w:r>
        <w:t xml:space="preserve"> </w:t>
      </w:r>
      <w:r>
        <w:t xml:space="preserve"> </w:t>
      </w:r>
      <w:r>
        <w:t xml:space="preserve">commons-governance extended to extraction</w:t>
      </w:r>
      <w:r>
        <w:t xml:space="preserve"> </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p>
      <w:pPr>
        <w:pStyle w:val="BodyText"/>
      </w:pPr>
      <w:r>
        <w:t xml:space="preserve">§2.2 CSD–RCV correlation hypothesis</w:t>
      </w:r>
    </w:p>
    <w:p>
      <w:pPr>
        <w:pStyle w:val="BodyText"/>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t xml:space="preserve"> </w:t>
      </w:r>
      <w:r>
        <w:t xml:space="preserve">Empirical finding:</w:t>
      </w:r>
      <w:r>
        <w:t xml:space="preserve"> </w:t>
      </w:r>
      <w:r>
        <w:t xml:space="preserve"> </w:t>
      </w:r>
      <w:r>
        <w:t xml:space="preserve">two-case calibration (Norway + McDowell — see §11.5, §11.6) found the inverse-correlation hypothesis NOT SUPPORTED. Reframed hypothesis:</w:t>
      </w:r>
      <w:r>
        <w:t xml:space="preserve"> </w:t>
      </w:r>
      <w:r>
        <w:t xml:space="preserve"> </w:t>
      </w:r>
      <w:r>
        <w:t xml:space="preserve">extraction-history-driven co-elevation of CSD + RCV (positive correlation as severity-signature, not independence finding).</w:t>
      </w:r>
      <w:r>
        <w:t xml:space="preserve"> </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p>
      <w:pPr>
        <w:pStyle w:val="BodyText"/>
      </w:pPr>
      <w:r>
        <w:t xml:space="preserve">§3. RCV Quantification — Three Ways of Counting</w:t>
      </w:r>
    </w:p>
    <w:p>
      <w:pPr>
        <w:pStyle w:val="BodyText"/>
      </w:pPr>
      <w:r>
        <w:t xml:space="preserve">§3.1 — Core Formula (Term-by-Term Translation)</w:t>
      </w:r>
    </w:p>
    <w:p>
      <w:pPr>
        <w:pStyle w:val="BodyText"/>
      </w:pPr>
      <w:r>
        <w:t xml:space="preserve">RCV(R, t₀) = ∫t₀∞ { [1 − S(t | t₀)] · U(R, t, Q(t)) + E(R, t) } · D(t, t₀) dt</w:t>
      </w:r>
    </w:p>
    <w:p>
      <w:pPr>
        <w:pStyle w:val="BodyText"/>
      </w:pPr>
      <w:r>
        <w:t xml:space="preserve">Plain-language translation, term by term:</w:t>
      </w:r>
    </w:p>
    <w:p>
      <w:pPr>
        <w:pStyle w:val="BodyText"/>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pStyle w:val="BodyText"/>
      </w:pPr>
      <w:r>
        <w:t xml:space="preserve">U(R, t, Q(t)) is the utility future generation t derives from having R available in situ. This includes economic value, option value, and ecological function value. It is bounded below by the current market price and rises as Q declines.</w:t>
      </w:r>
    </w:p>
    <w:p>
      <w:pPr>
        <w:pStyle w:val="BodyText"/>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pStyle w:val="BodyText"/>
      </w:pPr>
      <w:r>
        <w:t xml:space="preserve">D(t, t₀) is the social discount factor — the weight we assign to the welfare of generation t. Following Weitzman (2001), this declines toward zero as t → ∞ but does so slowly enough that the integral converges (see Theorem 10.4).</w:t>
      </w:r>
    </w:p>
    <w:p>
      <w:pPr>
        <w:pStyle w:val="BodyText"/>
      </w:pPr>
      <w:r>
        <w:t xml:space="preserve">§3.2 — The Intergenerational Pricing Gap (IPG)</w:t>
      </w:r>
    </w:p>
    <w:p>
      <w:pPr>
        <w:pStyle w:val="BodyText"/>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p>
      <w:pPr>
        <w:pStyle w:val="BodyText"/>
      </w:pPr>
      <w:r>
        <w:t xml:space="preserve">§3.3 — Method 1: Replacement Cost</w:t>
      </w:r>
    </w:p>
    <w:p>
      <w:pPr>
        <w:pStyle w:val="BodyText"/>
      </w:pPr>
      <w:r>
        <w:t xml:space="preserve"> </w:t>
      </w:r>
      <w:r>
        <w:t xml:space="preserve">Question:</w:t>
      </w:r>
      <w:r>
        <w:t xml:space="preserve"> </w:t>
      </w:r>
      <w:r>
        <w:t xml:space="preserve"> </w:t>
      </w:r>
      <w:r>
        <w:t xml:space="preserve">What would it cost to engineer a substitute for the commons that extraction is consuming?</w:t>
      </w:r>
    </w:p>
    <w:p>
      <w:pPr>
        <w:pStyle w:val="BodyText"/>
      </w:pPr>
      <w:r>
        <w:t xml:space="preserve"> </w:t>
      </w:r>
      <w:r>
        <w:t xml:space="preserve">Formal:</w:t>
      </w:r>
      <w:r>
        <w:t xml:space="preserve"> </w:t>
      </w:r>
      <w:r>
        <w:t xml:space="preserve"> </w:t>
      </w:r>
      <w:r>
        <w:t xml:space="preserve">RCV</w:t>
      </w:r>
      <w:r>
        <w:t xml:space="preserve"> </w:t>
      </w:r>
      <w:r>
        <w:t xml:space="preserve"> </w:t>
      </w:r>
      <w:r>
        <w:t xml:space="preserve">M1</w:t>
      </w:r>
      <w:r>
        <w:t xml:space="preserve"> </w:t>
      </w:r>
      <w:r>
        <w:t xml:space="preserve"> </w:t>
      </w:r>
      <w:r>
        <w:t xml:space="preserve">= ∑</w:t>
      </w:r>
      <w:r>
        <w:t xml:space="preserve"> </w:t>
      </w:r>
      <w:r>
        <w:t xml:space="preserve"> </w:t>
      </w:r>
      <w:r>
        <w:t xml:space="preserve">i</w:t>
      </w:r>
      <w:r>
        <w:t xml:space="preserve"> </w:t>
      </w:r>
      <w:r>
        <w:t xml:space="preserve"> </w:t>
      </w:r>
      <w:r>
        <w:t xml:space="preserve">(replacement-cost per unit commons-i × commons-i remaining quantity)</w:t>
      </w:r>
    </w:p>
    <w:p>
      <w:pPr>
        <w:pStyle w:val="BodyText"/>
      </w:pPr>
      <w:r>
        <w:t xml:space="preserve"> </w:t>
      </w:r>
      <w:r>
        <w:t xml:space="preserve">Worked-example anchor (Habitability commons):</w:t>
      </w:r>
      <w:r>
        <w:t xml:space="preserve"> </w:t>
      </w:r>
      <w:r>
        <w:t xml:space="preserve"> </w:t>
      </w:r>
      <w:r>
        <w:t xml:space="preserve">direct-air-capture (DAC) cost per ton CO₂ at engineering scale. Three-horizon range across documented engineering scenarios:</w:t>
      </w:r>
    </w:p>
    <w:p>
      <w:pPr>
        <w:pStyle w:val="BodyText"/>
      </w:pPr>
      <w:r>
        <w:t xml:space="preserve"> </w:t>
      </w:r>
      <w:r>
        <w:t xml:space="preserve">Conservative (current operational; first-of-a-kind):</w:t>
      </w:r>
      <w:r>
        <w:t xml:space="preserve"> </w:t>
      </w:r>
      <w:r>
        <w:t xml:space="preserve"> </w:t>
      </w:r>
      <w:r>
        <w:t xml:space="preserve">$600–$1,000/ton CO₂ (Climeworks Orca, Mammoth)</w:t>
      </w:r>
    </w:p>
    <w:p>
      <w:pPr>
        <w:pStyle w:val="BodyText"/>
      </w:pPr>
      <w:r>
        <w:t xml:space="preserve"> </w:t>
      </w:r>
      <w:r>
        <w:t xml:space="preserve">Mid-range (at-scale commercial within next decade):</w:t>
      </w:r>
      <w:r>
        <w:t xml:space="preserve"> </w:t>
      </w:r>
      <w:r>
        <w:t xml:space="preserve"> </w:t>
      </w:r>
      <w:r>
        <w:t xml:space="preserve">$300–$600/ton CO₂ (Mammoth full-operation target; Carbon Engineering Stratos)</w:t>
      </w:r>
    </w:p>
    <w:p>
      <w:pPr>
        <w:pStyle w:val="BodyText"/>
      </w:pPr>
      <w:r>
        <w:t xml:space="preserve"> </w:t>
      </w:r>
      <w:r>
        <w:t xml:space="preserve">Optimistic (2050 nth-of-a-kind):</w:t>
      </w:r>
      <w:r>
        <w:t xml:space="preserve"> </w:t>
      </w:r>
      <w:r>
        <w:t xml:space="preserve"> </w:t>
      </w:r>
      <w:r>
        <w:t xml:space="preserve">$100–$300/ton CO₂ (IEA, IPCC AR6, US National Academies)</w:t>
      </w:r>
    </w:p>
    <w:p>
      <w:pPr>
        <w:pStyle w:val="BodyText"/>
      </w:pPr>
      <w:r>
        <w:t xml:space="preserve"> </w:t>
      </w:r>
      <w:r>
        <w:t xml:space="preserve">SCC-vs-DAC distinction:</w:t>
      </w:r>
      <w:r>
        <w:t xml:space="preserve"> </w:t>
      </w:r>
      <w:r>
        <w:t xml:space="preserve"> </w:t>
      </w:r>
      <w:r>
        <w:t xml:space="preserve">Method 1 uses DAC (substitution-side; engineering reversal cost). Social Cost of Carbon (currently US EPA $190/ton CO₂ central estimate; Rennert et al. 2022</w:t>
      </w:r>
      <w:r>
        <w:t xml:space="preserve"> </w:t>
      </w:r>
      <w:r>
        <w:t xml:space="preserve"> </w:t>
      </w:r>
      <w:r>
        <w:t xml:space="preserve">Nature</w:t>
      </w:r>
      <w:r>
        <w:t xml:space="preserve"> </w:t>
      </w:r>
      <w:r>
        <w:t xml:space="preserve"> </w:t>
      </w:r>
      <w:r>
        <w:t xml:space="preserve">) is the damage-side number. Both appear in the Ch 6 convergence-table walkthrough but answer different questions.</w:t>
      </w:r>
    </w:p>
    <w:p>
      <w:pPr>
        <w:pStyle w:val="BodyText"/>
      </w:pPr>
      <w:r>
        <w:t xml:space="preserve"> </w:t>
      </w:r>
      <w:r>
        <w:t xml:space="preserve">Strengths:</w:t>
      </w:r>
      <w:r>
        <w:t xml:space="preserve"> </w:t>
      </w:r>
      <w:r>
        <w:t xml:space="preserve"> </w:t>
      </w:r>
      <w:r>
        <w:t xml:space="preserve">Most directly priced; smallest epistemic-ambition step.</w:t>
      </w:r>
      <w:r>
        <w:t xml:space="preserve"> </w:t>
      </w:r>
      <w:r>
        <w:t xml:space="preserve"> </w:t>
      </w:r>
      <w:r>
        <w:t xml:space="preserve">Limits:</w:t>
      </w:r>
      <w:r>
        <w:t xml:space="preserve"> </w:t>
      </w:r>
      <w:r>
        <w:t xml:space="preserve"> </w:t>
      </w:r>
      <w:r>
        <w:t xml:space="preserve">Anchors floor only — replacement is rarely full functional substitute. Underprices irreplaceable commons.</w:t>
      </w:r>
    </w:p>
    <w:p>
      <w:pPr>
        <w:pStyle w:val="BodyText"/>
      </w:pPr>
      <w:r>
        <w:t xml:space="preserve">§3.4 — Method 2: Revealed Preference (Norway-Style)</w:t>
      </w:r>
    </w:p>
    <w:p>
      <w:pPr>
        <w:pStyle w:val="BodyText"/>
      </w:pPr>
      <w:r>
        <w:t xml:space="preserve"> </w:t>
      </w:r>
      <w:r>
        <w:t xml:space="preserve">Question:</w:t>
      </w:r>
      <w:r>
        <w:t xml:space="preserve"> </w:t>
      </w:r>
      <w:r>
        <w:t xml:space="preserve"> </w:t>
      </w:r>
      <w:r>
        <w:t xml:space="preserve">What does a polity that explicitly chose NOT to extract reveal about commons-value?</w:t>
      </w:r>
    </w:p>
    <w:p>
      <w:pPr>
        <w:pStyle w:val="BodyText"/>
      </w:pPr>
      <w:r>
        <w:t xml:space="preserve"> </w:t>
      </w:r>
      <w:r>
        <w:t xml:space="preserve">Formal:</w:t>
      </w:r>
      <w:r>
        <w:t xml:space="preserve"> </w:t>
      </w:r>
      <w:r>
        <w:t xml:space="preserve"> </w:t>
      </w:r>
      <w:r>
        <w:t xml:space="preserve">RCV</w:t>
      </w:r>
      <w:r>
        <w:t xml:space="preserve"> </w:t>
      </w:r>
      <w:r>
        <w:t xml:space="preserve"> </w:t>
      </w:r>
      <w:r>
        <w:t xml:space="preserve">M2</w:t>
      </w:r>
      <w:r>
        <w:t xml:space="preserve"> </w:t>
      </w:r>
      <w:r>
        <w:t xml:space="preserve"> </w:t>
      </w:r>
      <w:r>
        <w:t xml:space="preserve">= (foregone-extraction value at observed restraint) + (preserved commons-quality observed) − (substitute-revenue path)</w:t>
      </w:r>
    </w:p>
    <w:p>
      <w:pPr>
        <w:pStyle w:val="BodyText"/>
      </w:pPr>
      <w:r>
        <w:t xml:space="preserve"> </w:t>
      </w:r>
      <w:r>
        <w:t xml:space="preserve">Worked-example anchor:</w:t>
      </w:r>
      <w:r>
        <w:t xml:space="preserve"> </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t xml:space="preserve"> </w:t>
      </w:r>
      <w:r>
        <w:t xml:space="preserve">$50/BOE Method 2 anchor</w:t>
      </w:r>
      <w:r>
        <w:t xml:space="preserve"> </w:t>
      </w:r>
      <w:r>
        <w:t xml:space="preserve"> </w:t>
      </w:r>
      <w:r>
        <w:t xml:space="preserve">.</w:t>
      </w:r>
    </w:p>
    <w:p>
      <w:pPr>
        <w:pStyle w:val="BodyText"/>
      </w:pPr>
      <w:r>
        <w:t xml:space="preserve"> </w:t>
      </w:r>
      <w:r>
        <w:t xml:space="preserve">Strengths:</w:t>
      </w:r>
      <w:r>
        <w:t xml:space="preserve"> </w:t>
      </w:r>
      <w:r>
        <w:t xml:space="preserve"> </w:t>
      </w:r>
      <w:r>
        <w:t xml:space="preserve">Empirically grounded in actual policy choices (not hypothetical).</w:t>
      </w:r>
      <w:r>
        <w:t xml:space="preserve"> </w:t>
      </w:r>
      <w:r>
        <w:t xml:space="preserve"> </w:t>
      </w:r>
      <w:r>
        <w:t xml:space="preserve">Limits:</w:t>
      </w:r>
      <w:r>
        <w:t xml:space="preserve"> </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p>
      <w:pPr>
        <w:pStyle w:val="BodyText"/>
      </w:pPr>
      <w:r>
        <w:t xml:space="preserve">§3.5 — Method 3: Scarcity-Adjusted Option Value</w:t>
      </w:r>
    </w:p>
    <w:p>
      <w:pPr>
        <w:pStyle w:val="BodyText"/>
      </w:pPr>
      <w:r>
        <w:t xml:space="preserve"> </w:t>
      </w:r>
      <w:r>
        <w:t xml:space="preserve">Question:</w:t>
      </w:r>
      <w:r>
        <w:t xml:space="preserve"> </w:t>
      </w:r>
      <w:r>
        <w:t xml:space="preserve"> </w:t>
      </w:r>
      <w:r>
        <w:t xml:space="preserve">What is the option value of preserving the commons in irreversibility-aware scarcity-aware terms?</w:t>
      </w:r>
    </w:p>
    <w:p>
      <w:pPr>
        <w:pStyle w:val="BodyText"/>
      </w:pPr>
      <w:r>
        <w:t xml:space="preserve"> </w:t>
      </w:r>
      <w:r>
        <w:t xml:space="preserve">Formal specification:</w:t>
      </w:r>
      <w:r>
        <w:t xml:space="preserve"> </w:t>
      </w:r>
    </w:p>
    <w:p>
      <w:pPr>
        <w:pStyle w:val="BodyText"/>
      </w:pPr>
      <w:r>
        <w:t xml:space="preserve"> </w:t>
      </w:r>
      <w:r>
        <w:t xml:space="preserve">Functional-form motivation (scarcity_multiplier).</w:t>
      </w:r>
      <w:r>
        <w:t xml:space="preserve"> </w:t>
      </w:r>
      <w:r>
        <w:t xml:space="preserve"> </w:t>
      </w:r>
      <w:r>
        <w:t xml:space="preserve">The log(1 + σ) form is selected for four converging reasons:</w:t>
      </w:r>
    </w:p>
    <w:p>
      <w:pPr>
        <w:pStyle w:val="BodyText"/>
      </w:pPr>
      <w: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pStyle w:val="BodyText"/>
      </w:pPr>
      <w:r>
        <w:t xml:space="preserve">Welfare-economics log-utility lineage.</w:t>
      </w:r>
      <w:r>
        <w:t xml:space="preserve"> </w:t>
      </w:r>
      <w:r>
        <w:t xml:space="preserve">Atkinson 1970</w:t>
      </w:r>
      <w:r>
        <w:t xml:space="preserve"> </w:t>
      </w:r>
      <w:r>
        <w:t xml:space="preserve">Journal of Economic Theory</w:t>
      </w:r>
      <w:r>
        <w:t xml:space="preserve"> </w:t>
      </w:r>
      <w:r>
        <w:t xml:space="preserve">(</w:t>
      </w:r>
      <w:r>
        <w:t xml:space="preserve">“On the Measurement of Inequality”</w:t>
      </w:r>
      <w:r>
        <w:t xml:space="preserve">) + Cobb &amp; Douglas 1928</w:t>
      </w:r>
      <w:r>
        <w:t xml:space="preserve"> </w:t>
      </w:r>
      <w: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pStyle w:val="BodyText"/>
      </w:pPr>
      <w: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pStyle w:val="BodyText"/>
      </w:pPr>
      <w:r>
        <w:t xml:space="preserve">Adjacent intergenerational-equity lineage.</w:t>
      </w:r>
      <w:r>
        <w:t xml:space="preserve"> </w:t>
      </w:r>
      <w:r>
        <w:t xml:space="preserve">Solow 1956</w:t>
      </w:r>
      <w:r>
        <w:t xml:space="preserve"> </w:t>
      </w:r>
      <w:r>
        <w:t xml:space="preserve">Quarterly Journal of Economics</w:t>
      </w:r>
      <w:r>
        <w:t xml:space="preserve"> </w:t>
      </w:r>
      <w:r>
        <w:t xml:space="preserve">+ Bergson 1938</w:t>
      </w:r>
      <w:r>
        <w:t xml:space="preserve"> </w:t>
      </w:r>
      <w: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BodyText"/>
      </w:pPr>
      <w:r>
        <w:t xml:space="preserve"> </w:t>
      </w:r>
      <w:r>
        <w:t xml:space="preserve">Sensitivity finding (cross-case dominance map):</w:t>
      </w:r>
      <w:r>
        <w:t xml:space="preserve"> </w:t>
      </w:r>
    </w:p>
    <w:p>
      <w:pPr>
        <w:pStyle w:val="BodyText"/>
      </w:pPr>
      <w:r>
        <w:t xml:space="preserve">Regime</w:t>
      </w:r>
    </w:p>
    <w:p>
      <w:pPr>
        <w:pStyle w:val="BodyText"/>
      </w:pPr>
      <w:r>
        <w:t xml:space="preserve">σ</w:t>
      </w:r>
    </w:p>
    <w:p>
      <w:pPr>
        <w:pStyle w:val="BodyText"/>
      </w:pPr>
      <w:r>
        <w:t xml:space="preserve">α</w:t>
      </w:r>
    </w:p>
    <w:p>
      <w:pPr>
        <w:pStyle w:val="BodyText"/>
      </w:pPr>
      <w:r>
        <w:t xml:space="preserve">Dominant parameter</w:t>
      </w:r>
    </w:p>
    <w:p>
      <w:pPr>
        <w:pStyle w:val="BodyText"/>
      </w:pPr>
      <w:r>
        <w:t xml:space="preserve">Example case</w:t>
      </w:r>
    </w:p>
    <w:p>
      <w:pPr>
        <w:pStyle w:val="BodyText"/>
      </w:pPr>
      <w:r>
        <w:t xml:space="preserve">Commons-extinction-class</w:t>
      </w:r>
    </w:p>
    <w:p>
      <w:pPr>
        <w:pStyle w:val="BodyText"/>
      </w:pPr>
      <w:r>
        <w:t xml:space="preserve">any</w:t>
      </w:r>
    </w:p>
    <w:p>
      <w:pPr>
        <w:pStyle w:val="BodyText"/>
      </w:pPr>
      <w:r>
        <w:t xml:space="preserve">0.9–1.0</w:t>
      </w:r>
    </w:p>
    <w:p>
      <w:pPr>
        <w:pStyle w:val="BodyText"/>
      </w:pPr>
      <w:r>
        <w:t xml:space="preserve"> </w:t>
      </w:r>
      <w:r>
        <w:t xml:space="preserve">α</w:t>
      </w:r>
      <w:r>
        <w:t xml:space="preserve"> </w:t>
      </w:r>
    </w:p>
    <w:p>
      <w:pPr>
        <w:pStyle w:val="BodyText"/>
      </w:pPr>
      <w:r>
        <w:t xml:space="preserve">McDowell coal; biodiversity collapse; atmospheric tipping points</w:t>
      </w:r>
    </w:p>
    <w:p>
      <w:pPr>
        <w:pStyle w:val="BodyText"/>
      </w:pPr>
      <w:r>
        <w:t xml:space="preserve">Scarce-but-restorable</w:t>
      </w:r>
    </w:p>
    <w:p>
      <w:pPr>
        <w:pStyle w:val="BodyText"/>
      </w:pPr>
      <w:r>
        <w:t xml:space="preserve">100+</w:t>
      </w:r>
    </w:p>
    <w:p>
      <w:pPr>
        <w:pStyle w:val="BodyText"/>
      </w:pPr>
      <w:r>
        <w:t xml:space="preserve">0.1–0.5</w:t>
      </w:r>
    </w:p>
    <w:p>
      <w:pPr>
        <w:pStyle w:val="BodyText"/>
      </w:pPr>
      <w:r>
        <w:t xml:space="preserve"> </w:t>
      </w:r>
      <w:r>
        <w:t xml:space="preserve">σ</w:t>
      </w:r>
      <w:r>
        <w:t xml:space="preserve"> </w:t>
      </w:r>
    </w:p>
    <w:p>
      <w:pPr>
        <w:pStyle w:val="BodyText"/>
      </w:pPr>
      <w:r>
        <w:t xml:space="preserve">Aquifer overdraft; old-growth timber</w:t>
      </w:r>
    </w:p>
    <w:p>
      <w:pPr>
        <w:pStyle w:val="BodyText"/>
      </w:pPr>
      <w:r>
        <w:t xml:space="preserve">Abundant-restorable</w:t>
      </w:r>
    </w:p>
    <w:p>
      <w:pPr>
        <w:pStyle w:val="BodyText"/>
      </w:pPr>
      <w:r>
        <w:t xml:space="preserve">0.1–10</w:t>
      </w:r>
    </w:p>
    <w:p>
      <w:pPr>
        <w:pStyle w:val="BodyText"/>
      </w:pPr>
      <w:r>
        <w:t xml:space="preserve">0–0.1</w:t>
      </w:r>
    </w:p>
    <w:p>
      <w:pPr>
        <w:pStyle w:val="BodyText"/>
      </w:pPr>
      <w:r>
        <w:t xml:space="preserve"> </w:t>
      </w:r>
      <w:r>
        <w:t xml:space="preserve">V_option</w:t>
      </w:r>
      <w:r>
        <w:t xml:space="preserve"> </w:t>
      </w:r>
    </w:p>
    <w:p>
      <w:pPr>
        <w:pStyle w:val="BodyText"/>
      </w:pPr>
      <w:r>
        <w:t xml:space="preserve">Asteroid iron; cosmic-scale resources</w:t>
      </w:r>
    </w:p>
    <w:p>
      <w:pPr>
        <w:pStyle w:val="BodyText"/>
      </w:pPr>
      <w:r>
        <w:t xml:space="preserve">Hybrid (most real cases)</w:t>
      </w:r>
    </w:p>
    <w:p>
      <w:pPr>
        <w:pStyle w:val="BodyText"/>
      </w:pPr>
      <w:r>
        <w:t xml:space="preserve">10–100</w:t>
      </w:r>
    </w:p>
    <w:p>
      <w:pPr>
        <w:pStyle w:val="BodyText"/>
      </w:pPr>
      <w:r>
        <w:t xml:space="preserve">0.5–0.9</w:t>
      </w:r>
    </w:p>
    <w:p>
      <w:pPr>
        <w:pStyle w:val="BodyText"/>
      </w:pPr>
      <w:r>
        <w:t xml:space="preserve">mixed;</w:t>
      </w:r>
      <w:r>
        <w:t xml:space="preserve"> </w:t>
      </w:r>
      <w:r>
        <w:t xml:space="preserve"> </w:t>
      </w:r>
      <w:r>
        <w:t xml:space="preserve">α → σ → V_option</w:t>
      </w:r>
      <w:r>
        <w:t xml:space="preserve"> </w:t>
      </w:r>
    </w:p>
    <w:p>
      <w:pPr>
        <w:pStyle w:val="BodyText"/>
      </w:pPr>
      <w:r>
        <w:t xml:space="preserve">Norway oil; Deepwater Horizon; opioid Appalachia</w:t>
      </w:r>
    </w:p>
    <w:p>
      <w:pPr>
        <w:pStyle w:val="BodyText"/>
      </w:pPr>
      <w:r>
        <w:t xml:space="preserve"> </w:t>
      </w:r>
      <w:r>
        <w:t xml:space="preserve">Framework debate-narrowing implication:</w:t>
      </w:r>
      <w:r>
        <w:t xml:space="preserve"> </w:t>
      </w:r>
      <w:r>
        <w:t xml:space="preserve"> </w:t>
      </w:r>
      <w:r>
        <w:t xml:space="preserve">Earth-bound civilization-scale extractions cluster in α-dominance regime. The real debate about RCV for those cases is a debate about</w:t>
      </w:r>
      <w:r>
        <w:t xml:space="preserve"> </w:t>
      </w:r>
      <w:r>
        <w:t xml:space="preserve"> </w:t>
      </w:r>
      <w:r>
        <w:t xml:space="preserve">irreversibility</w:t>
      </w:r>
      <w:r>
        <w:t xml:space="preserve"> </w:t>
      </w:r>
      <w:r>
        <w:t xml:space="preserve"> </w:t>
      </w:r>
      <w:r>
        <w:t xml:space="preserve">— not about discount rates, scarcity, or option-value. Tractably empirical; aligned with Asymmetric Regret Rule (§8.2); aligned with climate-tipping-point + biodiversity-collapse + cultural-loss literatures.</w:t>
      </w:r>
    </w:p>
    <w:p>
      <w:pPr>
        <w:pStyle w:val="BodyText"/>
      </w:pPr>
      <w:r>
        <w:t xml:space="preserve">§3.6 — Triangulation logic</w:t>
      </w:r>
    </w:p>
    <w:p>
      <w:pPr>
        <w:pStyle w:val="BodyText"/>
      </w:pPr>
      <w:r>
        <w:t xml:space="preserve">The three methods price the same commons-claim from three independent directions: M1 prices</w:t>
      </w:r>
      <w:r>
        <w:t xml:space="preserve"> </w:t>
      </w:r>
      <w:r>
        <w:t xml:space="preserve"> </w:t>
      </w:r>
      <w:r>
        <w:t xml:space="preserve">substitution</w:t>
      </w:r>
      <w:r>
        <w:t xml:space="preserve"> </w:t>
      </w:r>
      <w:r>
        <w:t xml:space="preserve"> </w:t>
      </w:r>
      <w:r>
        <w:t xml:space="preserve">; M2 prices</w:t>
      </w:r>
      <w:r>
        <w:t xml:space="preserve"> </w:t>
      </w:r>
      <w:r>
        <w:t xml:space="preserve"> </w:t>
      </w:r>
      <w:r>
        <w:t xml:space="preserve">revealed restraint</w:t>
      </w:r>
      <w:r>
        <w:t xml:space="preserve"> </w:t>
      </w:r>
      <w:r>
        <w:t xml:space="preserve"> </w:t>
      </w:r>
      <w:r>
        <w:t xml:space="preserve">; M3 prices</w:t>
      </w:r>
      <w:r>
        <w:t xml:space="preserve"> </w:t>
      </w:r>
      <w:r>
        <w:t xml:space="preserve"> </w:t>
      </w:r>
      <w:r>
        <w:t xml:space="preserve">option-bearing scarcity</w:t>
      </w:r>
      <w:r>
        <w:t xml:space="preserve"> </w:t>
      </w:r>
      <w:r>
        <w:t xml:space="preserve"> </w:t>
      </w:r>
      <w:r>
        <w:t xml:space="preserve">.</w:t>
      </w:r>
      <w:r>
        <w:t xml:space="preserve"> </w:t>
      </w:r>
      <w:r>
        <w:t xml:space="preserve"> </w:t>
      </w:r>
      <w:r>
        <w:t xml:space="preserve">Triangulation rule:</w:t>
      </w:r>
      <w:r>
        <w:t xml:space="preserve"> </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t xml:space="preserve"> </w:t>
      </w:r>
      <w:r>
        <w:t xml:space="preserve">Reporting discipline:</w:t>
      </w:r>
      <w:r>
        <w:t xml:space="preserve"> </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t xml:space="preserve"> </w:t>
      </w:r>
      <w:r>
        <w:t xml:space="preserve">Worked-example results across calibration cases:</w:t>
      </w:r>
      <w:r>
        <w:t xml:space="preserve"> </w:t>
      </w:r>
    </w:p>
    <w:p>
      <w:pPr>
        <w:pStyle w:val="BodyText"/>
      </w:pPr>
      <w:r>
        <w:t xml:space="preserve">Case</w:t>
      </w:r>
    </w:p>
    <w:p>
      <w:pPr>
        <w:pStyle w:val="BodyText"/>
      </w:pPr>
      <w:r>
        <w:t xml:space="preserve">M1 (Replacement Cost)</w:t>
      </w:r>
    </w:p>
    <w:p>
      <w:pPr>
        <w:pStyle w:val="BodyText"/>
      </w:pPr>
      <w:r>
        <w:t xml:space="preserve">M2 (Revealed Preference)</w:t>
      </w:r>
    </w:p>
    <w:p>
      <w:pPr>
        <w:pStyle w:val="BodyText"/>
      </w:pPr>
      <w:r>
        <w:t xml:space="preserve">M3 (Option Value, β=1)</w:t>
      </w:r>
    </w:p>
    <w:p>
      <w:pPr>
        <w:pStyle w:val="BodyText"/>
      </w:pPr>
      <w:r>
        <w:t xml:space="preserve">Implied CS</w:t>
      </w:r>
    </w:p>
    <w:p>
      <w:pPr>
        <w:pStyle w:val="BodyText"/>
      </w:pPr>
      <w:r>
        <w:t xml:space="preserve">Norway oil</w:t>
      </w:r>
    </w:p>
    <w:p>
      <w:pPr>
        <w:pStyle w:val="BodyText"/>
      </w:pPr>
      <w:r>
        <w:t xml:space="preserve">$300–650/BOE</w:t>
      </w:r>
    </w:p>
    <w:p>
      <w:pPr>
        <w:pStyle w:val="BodyText"/>
      </w:pPr>
      <w:r>
        <w:t xml:space="preserve">$50/BOE</w:t>
      </w:r>
    </w:p>
    <w:p>
      <w:pPr>
        <w:pStyle w:val="BodyText"/>
      </w:pPr>
      <w:r>
        <w:t xml:space="preserve">$70–1,000/BOE; mid $280</w:t>
      </w:r>
    </w:p>
    <w:p>
      <w:pPr>
        <w:pStyle w:val="BodyText"/>
      </w:pPr>
      <w:r>
        <w:t xml:space="preserve">~$250/BOE; ~$12.5T cumulative</w:t>
      </w:r>
    </w:p>
    <w:p>
      <w:pPr>
        <w:pStyle w:val="BodyText"/>
      </w:pPr>
      <w:r>
        <w:t xml:space="preserve">Appalachian coal (McDowell)</w:t>
      </w:r>
    </w:p>
    <w:p>
      <w:pPr>
        <w:pStyle w:val="BodyText"/>
      </w:pPr>
      <w:r>
        <w:t xml:space="preserve">$310–$1,800/ton</w:t>
      </w:r>
    </w:p>
    <w:p>
      <w:pPr>
        <w:pStyle w:val="BodyText"/>
      </w:pPr>
      <w:r>
        <w:t xml:space="preserve">$8–$88/ton</w:t>
      </w:r>
    </w:p>
    <w:p>
      <w:pPr>
        <w:pStyle w:val="BodyText"/>
      </w:pPr>
      <w:r>
        <w:t xml:space="preserve">$420–$13,100/ton; mid $2,500</w:t>
      </w:r>
    </w:p>
    <w:p>
      <w:pPr>
        <w:pStyle w:val="BodyText"/>
      </w:pPr>
      <w:r>
        <w:t xml:space="preserve">~</w:t>
      </w:r>
      <w:r>
        <w:t xml:space="preserve">$2,400/ton; IPG ~50&amp;times; (2025$</w:t>
      </w:r>
      <w:r>
        <w:t xml:space="preserve">)</w:t>
      </w:r>
    </w:p>
    <w:p>
      <w:pPr>
        <w:pStyle w:val="BodyText"/>
      </w:pPr>
      <w:r>
        <w:t xml:space="preserve">§4. Hotelling Identity (extension of Hotelling 1931)</w:t>
      </w:r>
    </w:p>
    <w:p>
      <w:pPr>
        <w:pStyle w:val="BodyText"/>
      </w:pPr>
      <w:r>
        <w:t xml:space="preserve"> </w:t>
      </w:r>
      <w:r>
        <w:t xml:space="preserve">Attribution discipline:</w:t>
      </w:r>
      <w:r>
        <w:t xml:space="preserve"> </w:t>
      </w:r>
      <w:r>
        <w:t xml:space="preserve"> </w:t>
      </w:r>
      <w:r>
        <w:t xml:space="preserve">Hotelling 1931 (</w:t>
      </w:r>
      <w:r>
        <w:t xml:space="preserve"> </w:t>
      </w:r>
      <w:r>
        <w:t xml:space="preserve"> </w:t>
      </w:r>
      <w:r>
        <w:t xml:space="preserve">Journal of Political Economy</w:t>
      </w:r>
      <w:r>
        <w:t xml:space="preserve"> </w:t>
      </w:r>
      <w:r>
        <w:t xml:space="preserve"> </w:t>
      </w:r>
      <w:r>
        <w:t xml:space="preserve">39(2): 137–175) is the foundational source for the rent rule on exhaustible resources; that work is</w:t>
      </w:r>
      <w:r>
        <w:t xml:space="preserve"> </w:t>
      </w:r>
      <w:r>
        <w:t xml:space="preserve"> </w:t>
      </w:r>
      <w:r>
        <w:t xml:space="preserve">Hotelling’s</w:t>
      </w:r>
      <w:r>
        <w:t xml:space="preserve"> </w:t>
      </w:r>
      <w:r>
        <w:t xml:space="preserve"> </w:t>
      </w:r>
      <w:r>
        <w:t xml:space="preserve">and is cited per standard academic convention. The framework’s contribution is the</w:t>
      </w:r>
      <w:r>
        <w:t xml:space="preserve"> </w:t>
      </w:r>
      <w:r>
        <w:t xml:space="preserve"> </w:t>
      </w:r>
      <w:r>
        <w:t xml:space="preserve">identity articulation</w:t>
      </w:r>
      <w:r>
        <w:t xml:space="preserve"> </w:t>
      </w:r>
      <w:r>
        <w:t xml:space="preserve"> </w:t>
      </w:r>
      <w:r>
        <w:t xml:space="preserve">RCV − Hotelling rent = CS per unit, which pairs the framework’s commons-side measurement (RCV, defined within this Tech Appendix) with Hotelling’s extractor-side rent rule. Both contributions are clearly attributed below.</w:t>
      </w:r>
    </w:p>
    <w:p>
      <w:pPr>
        <w:pStyle w:val="BodyText"/>
      </w:pPr>
      <w:r>
        <w:t xml:space="preserve">§4.1 Hotelling 1931 — the part that’s Hotelling’s</w:t>
      </w:r>
    </w:p>
    <w:p>
      <w:pPr>
        <w:pStyle w:val="BodyText"/>
      </w:pPr>
      <w:r>
        <w:t xml:space="preserve">Hotelling (1931,</w:t>
      </w:r>
      <w:r>
        <w:t xml:space="preserve"> </w:t>
      </w:r>
      <w:r>
        <w:t xml:space="preserve">“The Economics of Exhaustible Resources,”</w:t>
      </w:r>
      <w:r>
        <w:t xml:space="preserve"> </w:t>
      </w:r>
      <w:r>
        <w:t xml:space="preserve"> </w:t>
      </w:r>
      <w:r>
        <w:t xml:space="preserve">Journal of Political Economy</w:t>
      </w:r>
      <w:r>
        <w:t xml:space="preserve"> </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t xml:space="preserve"> </w:t>
      </w:r>
      <w:r>
        <w:t xml:space="preserve">Hotelling rent rule</w:t>
      </w:r>
      <w:r>
        <w:t xml:space="preserve"> </w:t>
      </w:r>
      <w:r>
        <w:t xml:space="preserve"> </w:t>
      </w:r>
      <w:r>
        <w:t xml:space="preserve">— a foundational result in resource economics. Hotelling’s framing assumes: resource is exhaustible (finite stock); owner is private (extracts to maximize NPV of rent); cost is private extraction-cost (not commons-loss-cost).</w:t>
      </w:r>
    </w:p>
    <w:p>
      <w:pPr>
        <w:pStyle w:val="BodyText"/>
      </w:pPr>
      <w:r>
        <w:t xml:space="preserve">§4.2 What the Commons Bonds framework adds (the</w:t>
      </w:r>
      <w:r>
        <w:t xml:space="preserve"> </w:t>
      </w:r>
      <w:r>
        <w:t xml:space="preserve">“Identity”</w:t>
      </w:r>
      <w:r>
        <w:t xml:space="preserve"> </w:t>
      </w:r>
      <w:r>
        <w:t xml:space="preserve">extension)</w:t>
      </w:r>
    </w:p>
    <w:p>
      <w:pPr>
        <w:pStyle w:val="BodyText"/>
      </w:pPr>
      <w:r>
        <w:t xml:space="preserve">The Commons Bonds framework extends Hotelling 1931 with the following identity:</w:t>
      </w:r>
    </w:p>
    <w:p>
      <w:pPr>
        <w:pStyle w:val="BodyText"/>
      </w:pPr>
      <w:r>
        <w:t xml:space="preserve">In words:</w:t>
      </w:r>
      <w:r>
        <w:t xml:space="preserve"> </w:t>
      </w:r>
      <w:r>
        <w:t xml:space="preserve"> </w:t>
      </w:r>
      <w:r>
        <w:t xml:space="preserve">the residual commons value per unit of extraction, minus the standard Hotelling rent per unit, equals the cost severance per unit</w:t>
      </w:r>
      <w:r>
        <w:t xml:space="preserve"> </w:t>
      </w:r>
      <w:r>
        <w:t xml:space="preserve"> </w:t>
      </w:r>
      <w:r>
        <w:t xml:space="preserve">.</w:t>
      </w:r>
      <w:r>
        <w:t xml:space="preserve"> </w:t>
      </w:r>
      <w:r>
        <w:t xml:space="preserve"> </w:t>
      </w:r>
      <w:r>
        <w:t xml:space="preserve">What this surfaces:</w:t>
      </w:r>
      <w:r>
        <w:t xml:space="preserve"> </w:t>
      </w:r>
      <w:r>
        <w:t xml:space="preserve"> </w:t>
      </w:r>
      <w:r>
        <w:t xml:space="preserve">when extraction prices the standard Hotelling rent (i.e., honors private resource-economics rent-rules), the</w:t>
      </w:r>
      <w:r>
        <w:t xml:space="preserve"> </w:t>
      </w:r>
      <w:r>
        <w:t xml:space="preserve"> </w:t>
      </w:r>
      <w:r>
        <w:t xml:space="preserve">excess</w:t>
      </w:r>
      <w:r>
        <w:t xml:space="preserve"> </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t xml:space="preserve"> </w:t>
      </w:r>
      <w:r>
        <w:t xml:space="preserve">Worked-example anchor:</w:t>
      </w:r>
      <w:r>
        <w:t xml:space="preserve"> </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p>
      <w:pPr>
        <w:pStyle w:val="BodyText"/>
      </w:pPr>
      <w:r>
        <w:t xml:space="preserve">§4.3 Citation discipline</w:t>
      </w:r>
    </w:p>
    <w:p>
      <w:pPr>
        <w:pStyle w:val="BodyText"/>
      </w:pPr>
      <w:r>
        <w:t xml:space="preserve">Anywhere the framework references the Hotelling Identity, the canonical attribution form is:</w:t>
      </w:r>
    </w:p>
    <w:p>
      <w:pPr>
        <w:pStyle w:val="Body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p>
      <w:pPr>
        <w:pStyle w:val="BodyText"/>
      </w:pPr>
      <w:r>
        <w:t xml:space="preserve">§5. Accountability Bond Decomposition (B = B₁ + B₂; Restitution + Foreclosure Bonds)</w:t>
      </w:r>
    </w:p>
    <w:p>
      <w:pPr>
        <w:pStyle w:val="BodyText"/>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t xml:space="preserve"> </w:t>
      </w:r>
      <w:r>
        <w:t xml:space="preserve">total CS = (CSD − B₁) + (RCV − B₂)</w:t>
      </w:r>
      <w:r>
        <w:t xml:space="preserve">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p>
      <w:pPr>
        <w:pStyle w:val="BodyText"/>
      </w:pPr>
      <w:r>
        <w:t xml:space="preserve">§5.1 Sub-instrument formal definitions</w:t>
      </w:r>
    </w:p>
    <w:p>
      <w:pPr>
        <w:pStyle w:val="BodyText"/>
      </w:pPr>
      <w:r>
        <w:t xml:space="preserve">§5.1.1 — B₁ Restitution Bond</w:t>
      </w:r>
    </w:p>
    <w:p>
      <w:pPr>
        <w:pStyle w:val="BodyText"/>
      </w:pPr>
      <w:r>
        <w:t xml:space="preserve"> </w:t>
      </w:r>
      <w:r>
        <w:t xml:space="preserve">Definition.</w:t>
      </w:r>
      <w:r>
        <w:t xml:space="preserve"> </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t xml:space="preserve"> </w:t>
      </w:r>
      <w:r>
        <w:t xml:space="preserve">Mechanisms in cluster.</w:t>
      </w:r>
      <w:r>
        <w:t xml:space="preserve"> </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t xml:space="preserve"> </w:t>
      </w:r>
      <w:r>
        <w:t xml:space="preserve">Why</w:t>
      </w:r>
      <w:r>
        <w:t xml:space="preserve"> </w:t>
      </w:r>
      <w:r>
        <w:t xml:space="preserve">“Restitution”</w:t>
      </w:r>
      <w:r>
        <w:t xml:space="preserve"> </w:t>
      </w:r>
      <w:r>
        <w:t xml:space="preserve">over</w:t>
      </w:r>
      <w:r>
        <w:t xml:space="preserve"> </w:t>
      </w:r>
      <w:r>
        <w:t xml:space="preserve">“Reparations.”</w:t>
      </w:r>
      <w:r>
        <w:t xml:space="preserve"> </w:t>
      </w:r>
      <w:r>
        <w:t xml:space="preserve"> </w:t>
      </w:r>
      <w:r>
        <w:t xml:space="preserve">Legal-register-clear; cross-political-tradition adoption potential.</w:t>
      </w:r>
      <w:r>
        <w:t xml:space="preserve"> </w:t>
      </w:r>
      <w:r>
        <w:t xml:space="preserve">“Reparations”</w:t>
      </w:r>
      <w:r>
        <w:t xml:space="preserve"> </w:t>
      </w:r>
      <w:r>
        <w:t xml:space="preserve">carries political-loading that narrows framework adoption to politically-progressive audiences;</w:t>
      </w:r>
      <w:r>
        <w:t xml:space="preserve"> </w:t>
      </w:r>
      <w:r>
        <w:t xml:space="preserve">“Restitution”</w:t>
      </w:r>
      <w:r>
        <w:t xml:space="preserve"> </w:t>
      </w:r>
      <w:r>
        <w:t xml:space="preserve">preserves the same restoration-of-what-was-taken meaning while reaching center-right, libertarian, and politically-cautious institutional audiences who would disengage at</w:t>
      </w:r>
      <w:r>
        <w:t xml:space="preserve"> </w:t>
      </w:r>
      <w:r>
        <w:t xml:space="preserve">“Reparations.”</w:t>
      </w:r>
      <w:r>
        <w:t xml:space="preserve"> </w:t>
      </w:r>
      <w:r>
        <w:t xml:space="preserve">Restitution-law scope is broader than damages-law (encompasses monetary + legal + structural + rights-based restoration), fitting CSD’s broader scope.</w:t>
      </w:r>
    </w:p>
    <w:p>
      <w:pPr>
        <w:pStyle w:val="BodyText"/>
      </w:pPr>
      <w:r>
        <w:t xml:space="preserve"> </w:t>
      </w:r>
      <w:r>
        <w:t xml:space="preserve">Lineage.</w:t>
      </w:r>
      <w:r>
        <w:t xml:space="preserve"> </w:t>
      </w:r>
      <w:r>
        <w:t xml:space="preserve"> </w:t>
      </w:r>
      <w:r>
        <w:t xml:space="preserve">Restitution-law tradition (general legal vocabulary); Darity &amp; Mullen 2020</w:t>
      </w:r>
      <w:r>
        <w:t xml:space="preserve"> </w:t>
      </w:r>
      <w:r>
        <w:t xml:space="preserve">From Here to Equality</w:t>
      </w:r>
      <w:r>
        <w:t xml:space="preserve"> </w:t>
      </w:r>
      <w:r>
        <w:t xml:space="preserve">(UNC Press) primary reparations-economics methodology source; Bullard 1990</w:t>
      </w:r>
      <w:r>
        <w:t xml:space="preserve"> </w:t>
      </w:r>
      <w: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t xml:space="preserve">The Three Worlds of Welfare Capitalism</w:t>
      </w:r>
      <w:r>
        <w:t xml:space="preserve"> </w:t>
      </w:r>
      <w:r>
        <w:t xml:space="preserve">(Princeton) welfare-state design lineage; Hicks 1932 compensation principle in cross-context-translation form.</w:t>
      </w:r>
    </w:p>
    <w:p>
      <w:pPr>
        <w:pStyle w:val="BodyText"/>
      </w:pPr>
      <w:r>
        <w:t xml:space="preserve"> </w:t>
      </w:r>
      <w:r>
        <w:t xml:space="preserve">Status of B₁ globally.</w:t>
      </w:r>
      <w:r>
        <w:t xml:space="preserve"> </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t xml:space="preserve"> </w:t>
      </w:r>
      <w:r>
        <w:t xml:space="preserve">Positioning relative to the Darity-Mullen reparations typology.</w:t>
      </w:r>
      <w:r>
        <w:t xml:space="preserve"> </w:t>
      </w:r>
      <w:r>
        <w:t xml:space="preserve"> </w:t>
      </w:r>
      <w:r>
        <w:t xml:space="preserve">Darity &amp; Mullen 2020</w:t>
      </w:r>
      <w:r>
        <w:t xml:space="preserve"> </w:t>
      </w:r>
      <w:r>
        <w:t xml:space="preserve">From Here to Equality</w:t>
      </w:r>
      <w:r>
        <w:t xml:space="preserve"> </w:t>
      </w:r>
      <w:r>
        <w:t xml:space="preserve">structures reparations as a three-component program: (1) acknowledgment-and-atonement; (2)</w:t>
      </w:r>
      <w:r>
        <w:t xml:space="preserve"> </w:t>
      </w:r>
      <w: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w:t>
      </w:r>
      <w:r>
        <w:t xml:space="preserve"> </w:t>
      </w:r>
      <w:r>
        <w:t xml:space="preserve">“restitution”</w:t>
      </w:r>
      <w:r>
        <w:t xml:space="preserve"> </w:t>
      </w:r>
      <w:r>
        <w:t xml:space="preserve">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(2026) did not view the framework’s calculations across its broader case-class — cost-severance and extraction-community contexts beyond the reparations apparatus Darity and Mullen specifically scope — as underestimating what is due. The framework’s Method 1 + Method 2 + Method 3 triangulation discipline (§3) is the framework’s structural pledge against underestimation. Where the framework writes</w:t>
      </w:r>
      <w:r>
        <w:t xml:space="preserve"> </w:t>
      </w:r>
      <w:r>
        <w:t xml:space="preserve">“Restitution Bond”</w:t>
      </w:r>
      <w:r>
        <w:t xml:space="preserve"> </w:t>
      </w:r>
      <w:r>
        <w:t xml:space="preserve">without qualifier, the reader should read it as</w:t>
      </w:r>
      <w:r>
        <w:t xml:space="preserve"> </w:t>
      </w:r>
      <w:r>
        <w:t xml:space="preserve">the instrument operationalizing restitution-as-redress within the Darity-Mullen reparations framework</w:t>
      </w:r>
      <w:r>
        <w:t xml:space="preserve">, not as a separate accounting object.</w:t>
      </w:r>
    </w:p>
    <w:p>
      <w:pPr>
        <w:pStyle w:val="BodyText"/>
      </w:pPr>
      <w:r>
        <w:t xml:space="preserve">§5.1.2 — B₂ Foreclosure Bond</w:t>
      </w:r>
    </w:p>
    <w:p>
      <w:pPr>
        <w:pStyle w:val="BodyText"/>
      </w:pPr>
      <w:r>
        <w:t xml:space="preserve"> </w:t>
      </w:r>
      <w:r>
        <w:t xml:space="preserve">Definition.</w:t>
      </w:r>
      <w:r>
        <w:t xml:space="preserve"> </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t xml:space="preserve"> </w:t>
      </w:r>
      <w:r>
        <w:t xml:space="preserve">Mechanisms in cluster.</w:t>
      </w:r>
      <w:r>
        <w:t xml:space="preserve"> </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t xml:space="preserve"> </w:t>
      </w:r>
      <w:r>
        <w:t xml:space="preserve">Why</w:t>
      </w:r>
      <w:r>
        <w:t xml:space="preserve"> </w:t>
      </w:r>
      <w:r>
        <w:t xml:space="preserve">“Foreclosure Bond”</w:t>
      </w:r>
      <w:r>
        <w:t xml:space="preserve"> </w:t>
      </w:r>
      <w:r>
        <w:t xml:space="preserve">over</w:t>
      </w:r>
      <w:r>
        <w:t xml:space="preserve"> </w:t>
      </w:r>
      <w:r>
        <w:t xml:space="preserve">“Resource-Foreclosure Bond.”</w:t>
      </w:r>
      <w:r>
        <w:t xml:space="preserve"> </w:t>
      </w:r>
      <w:r>
        <w:t xml:space="preserve"> </w:t>
      </w:r>
      <w:r>
        <w:t xml:space="preserve">Term-pair coherence with Foreclosure Cost (C₁ in RCV integrand) —</w:t>
      </w:r>
      <w:r>
        <w:t xml:space="preserve"> </w:t>
      </w:r>
      <w: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t xml:space="preserve"> </w:t>
      </w:r>
      <w:r>
        <w:t xml:space="preserve">Lineage.</w:t>
      </w:r>
      <w:r>
        <w:t xml:space="preserve"> </w:t>
      </w:r>
      <w:r>
        <w:t xml:space="preserve"> </w:t>
      </w:r>
      <w:r>
        <w:t xml:space="preserve">Hotelling 1931</w:t>
      </w:r>
      <w:r>
        <w:t xml:space="preserve"> </w:t>
      </w:r>
      <w: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t xml:space="preserve">Accountability of Environmental Impact Bonds</w:t>
      </w:r>
      <w:r>
        <w:t xml:space="preserve">. Pigou 1920</w:t>
      </w:r>
      <w:r>
        <w:t xml:space="preserve"> </w:t>
      </w:r>
      <w:r>
        <w:t xml:space="preserve">Economics of Welfare</w:t>
      </w:r>
      <w:r>
        <w:t xml:space="preserve">.</w:t>
      </w:r>
    </w:p>
    <w:p>
      <w:pPr>
        <w:pStyle w:val="BodyText"/>
      </w:pPr>
      <w:r>
        <w:t xml:space="preserve">§5.2 Naming outcome</w:t>
      </w:r>
    </w:p>
    <w:p>
      <w:pPr>
        <w:pStyle w:val="BodyText"/>
      </w:pPr>
      <w:r>
        <w:t xml:space="preserve">Earlier working labels were</w:t>
      </w:r>
      <w:r>
        <w:t xml:space="preserve"> </w:t>
      </w:r>
      <w:r>
        <w:t xml:space="preserve">“Reparations Bond”</w:t>
      </w:r>
      <w:r>
        <w:t xml:space="preserve"> </w:t>
      </w:r>
      <w:r>
        <w:t xml:space="preserve">for B₁ and</w:t>
      </w:r>
      <w:r>
        <w:t xml:space="preserve"> </w:t>
      </w:r>
      <w:r>
        <w:t xml:space="preserve">“Resource-Foreclosure Bond”</w:t>
      </w:r>
      <w:r>
        <w:t xml:space="preserve"> </w:t>
      </w:r>
      <w:r>
        <w:t xml:space="preserve">for B₂. For B₁,</w:t>
      </w:r>
      <w:r>
        <w:t xml:space="preserve"> </w:t>
      </w:r>
      <w:r>
        <w:t xml:space="preserve">“Reparations Bond”</w:t>
      </w:r>
      <w:r>
        <w:t xml:space="preserve"> </w:t>
      </w:r>
      <w:r>
        <w:t xml:space="preserve">was reviewed against</w:t>
      </w:r>
      <w:r>
        <w:t xml:space="preserve"> </w:t>
      </w:r>
      <w:r>
        <w:t xml:space="preserve">“Restitution Bond.”</w:t>
      </w:r>
      <w:r>
        <w:t xml:space="preserve"> </w:t>
      </w:r>
      <w:r>
        <w:t xml:space="preserve">For B₂,</w:t>
      </w:r>
      <w:r>
        <w:t xml:space="preserve"> </w:t>
      </w:r>
      <w:r>
        <w:t xml:space="preserve">“Resource-Foreclosure Bond”</w:t>
      </w:r>
      <w:r>
        <w:t xml:space="preserve"> </w:t>
      </w:r>
      <w:r>
        <w:t xml:space="preserve">was reviewed against</w:t>
      </w:r>
      <w:r>
        <w:t xml:space="preserve"> </w:t>
      </w:r>
      <w:r>
        <w:t xml:space="preserve">“Foreclosure Bond,”</w:t>
      </w:r>
      <w:r>
        <w:t xml:space="preserve"> </w:t>
      </w:r>
      <w:r>
        <w:t xml:space="preserve">“Future-Options Bond,”</w:t>
      </w:r>
      <w:r>
        <w:t xml:space="preserve"> </w:t>
      </w:r>
      <w:r>
        <w:t xml:space="preserve">“Long-Horizon Bond,”</w:t>
      </w:r>
      <w:r>
        <w:t xml:space="preserve"> </w:t>
      </w:r>
      <w:r>
        <w:t xml:space="preserve">“Intergenerational Resource Bond,”</w:t>
      </w:r>
      <w:r>
        <w:t xml:space="preserve"> </w:t>
      </w:r>
      <w:r>
        <w:t xml:space="preserve">“Hartwick Bond,”</w:t>
      </w:r>
      <w:r>
        <w:t xml:space="preserve"> </w:t>
      </w:r>
      <w:r>
        <w:t xml:space="preserve">“Sovereign Reserve Bond,”</w:t>
      </w:r>
      <w:r>
        <w:t xml:space="preserve"> </w:t>
      </w:r>
      <w:r>
        <w:t xml:space="preserve">and</w:t>
      </w:r>
      <w:r>
        <w:t xml:space="preserve"> </w:t>
      </w:r>
      <w:r>
        <w:t xml:space="preserve">“Forward Accountability Bond.”</w:t>
      </w:r>
      <w:r>
        <w:t xml:space="preserve"> </w:t>
      </w:r>
      <w:r>
        <w:t xml:space="preserve">The current names were selected on three criteria.</w:t>
      </w:r>
    </w:p>
    <w:p>
      <w:pPr>
        <w:pStyle w:val="BodyText"/>
      </w:pPr>
      <w:r>
        <w:t xml:space="preserve"> </w:t>
      </w:r>
      <w:r>
        <w:t xml:space="preserve">Cross-political-tradition adoption breadth.</w:t>
      </w:r>
      <w:r>
        <w:t xml:space="preserve"> </w:t>
      </w:r>
      <w:r>
        <w:t xml:space="preserve"> </w:t>
      </w:r>
      <w:r>
        <w:t xml:space="preserve">“Reparations”</w:t>
      </w:r>
      <w:r>
        <w:t xml:space="preserve"> </w:t>
      </w:r>
      <w:r>
        <w:t xml:space="preserve">carries US-political-loading specific to the Black-American descendants-of-US-slavery context that Darity and Mullen specifically scope.</w:t>
      </w:r>
      <w:r>
        <w:t xml:space="preserve"> </w:t>
      </w:r>
      <w:r>
        <w:t xml:space="preserve">“Restitution”</w:t>
      </w:r>
      <w:r>
        <w:t xml:space="preserve"> </w:t>
      </w:r>
      <w:r>
        <w:t xml:space="preserve">carries broader cross-tradition adoption — legal-scholarship, civil-law, international-law, and classical-philosophy traditions all use the term — which suits the framework’s commons-extraction case-class extending beyond that population.</w:t>
      </w:r>
    </w:p>
    <w:p>
      <w:pPr>
        <w:pStyle w:val="BodyText"/>
      </w:pPr>
      <w:r>
        <w:t xml:space="preserve"> </w:t>
      </w:r>
      <w:r>
        <w:t xml:space="preserve">Term-pair coherence.</w:t>
      </w:r>
      <w:r>
        <w:t xml:space="preserve"> </w:t>
      </w:r>
      <w:r>
        <w:t xml:space="preserve"> </w:t>
      </w:r>
      <w:r>
        <w:t xml:space="preserve">“Restitution Bond”</w:t>
      </w:r>
      <w:r>
        <w:t xml:space="preserve"> </w:t>
      </w:r>
      <w:r>
        <w:t xml:space="preserve">+</w:t>
      </w:r>
      <w:r>
        <w:t xml:space="preserve"> </w:t>
      </w:r>
      <w:r>
        <w:t xml:space="preserve">“Foreclosure Bond”</w:t>
      </w:r>
      <w:r>
        <w:t xml:space="preserve"> </w:t>
      </w:r>
      <w:r>
        <w:t xml:space="preserve">reads as a natural pair: both are short two-word labels denoting the backward-and-forward sub-instruments of the same Accountability Bond aggregate.</w:t>
      </w:r>
    </w:p>
    <w:p>
      <w:pPr>
        <w:pStyle w:val="BodyText"/>
      </w:pPr>
      <w:r>
        <w:t xml:space="preserve"> </w:t>
      </w:r>
      <w:r>
        <w:t xml:space="preserve">Descriptive content preserved via framework context.</w:t>
      </w:r>
      <w:r>
        <w:t xml:space="preserve"> </w:t>
      </w:r>
      <w:r>
        <w:t xml:space="preserve"> </w:t>
      </w:r>
      <w:r>
        <w:t xml:space="preserve">The shorter</w:t>
      </w:r>
      <w:r>
        <w:t xml:space="preserve"> </w:t>
      </w:r>
      <w:r>
        <w:t xml:space="preserve">“Foreclosure Bond”</w:t>
      </w:r>
      <w:r>
        <w:t xml:space="preserve"> </w:t>
      </w:r>
      <w:r>
        <w:t xml:space="preserve">over</w:t>
      </w:r>
      <w:r>
        <w:t xml:space="preserve"> </w:t>
      </w:r>
      <w:r>
        <w:t xml:space="preserve">“Resource-Foreclosure Bond”</w:t>
      </w:r>
      <w:r>
        <w:t xml:space="preserve"> </w:t>
      </w:r>
      <w:r>
        <w:t xml:space="preserve">recovers its domain meaning from the surrounding framework apparatus rather than from internal label-length; §5.1.2’s</w:t>
      </w:r>
      <w:r>
        <w:t xml:space="preserve"> </w:t>
      </w:r>
      <w:r>
        <w:t xml:space="preserve">Why</w:t>
      </w:r>
      <w:r>
        <w:t xml:space="preserve"> </w:t>
      </w:r>
      <w:r>
        <w:t xml:space="preserve">“Foreclosure Bond”</w:t>
      </w:r>
      <w:r>
        <w:t xml:space="preserve"> </w:t>
      </w:r>
      <w:r>
        <w:t xml:space="preserve">over</w:t>
      </w:r>
      <w:r>
        <w:t xml:space="preserve"> </w:t>
      </w:r>
      <w:r>
        <w:t xml:space="preserve">“Resource-Foreclosure Bond”</w:t>
      </w:r>
      <w:r>
        <w:t xml:space="preserve"> </w:t>
      </w:r>
      <w:r>
        <w:t xml:space="preserve">note supplies the B₂-specific rationale (Foreclosure Cost / Foreclosure Bond term-pair coherence; dinner-table-strong via mortgage-foreclosure analogy).</w:t>
      </w:r>
    </w:p>
    <w:p>
      <w:pPr>
        <w:pStyle w:val="BodyText"/>
      </w:pPr>
      <w:r>
        <w:t xml:space="preserve">§5.3 Independence note</w:t>
      </w:r>
    </w:p>
    <w:p>
      <w:pPr>
        <w:pStyle w:val="BodyText"/>
      </w:pPr>
      <w:r>
        <w:t xml:space="preserve">B₁ and B₂ are</w:t>
      </w:r>
      <w:r>
        <w:t xml:space="preserve"> </w:t>
      </w:r>
      <w:r>
        <w:t xml:space="preserve"> </w:t>
      </w:r>
      <w:r>
        <w:t xml:space="preserve">structurally independent</w:t>
      </w:r>
      <w:r>
        <w:t xml:space="preserve"> </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t xml:space="preserve"> </w:t>
      </w:r>
      <w:r>
        <w:t xml:space="preserve">Norway as canonical-existing-B₂-exemplar:</w:t>
      </w:r>
      <w:r>
        <w:t xml:space="preserve"> </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p>
      <w:pPr>
        <w:pStyle w:val="BodyText"/>
      </w:pPr>
      <w:r>
        <w:t xml:space="preserve">§5.4 Intergenerational moral grounding (Parfit 1984 standing + Sen 1985/1999 valuation; B₂ Foreclosure Bond direction)</w:t>
      </w:r>
    </w:p>
    <w:p>
      <w:pPr>
        <w:pStyle w:val="Body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t xml:space="preserve"> </w:t>
      </w:r>
      <w:r>
        <w:t xml:space="preserve">the goodness of future-generation outcomes</w:t>
      </w:r>
      <w:r>
        <w:t xml:space="preserve"> </w:t>
      </w:r>
      <w:r>
        <w:t xml:space="preserve"> </w:t>
      </w:r>
      <w:r>
        <w:t xml:space="preserve">is the morally-relevant variable, not</w:t>
      </w:r>
      <w:r>
        <w:t xml:space="preserve"> </w:t>
      </w:r>
      <w:r>
        <w:t xml:space="preserve"> </w:t>
      </w:r>
      <w:r>
        <w:t xml:space="preserve">which specific future persons are wronged</w:t>
      </w:r>
      <w:r>
        <w:t xml:space="preserve"> </w:t>
      </w:r>
      <w:r>
        <w:t xml:space="preserve"> </w:t>
      </w:r>
      <w:r>
        <w:t xml:space="preserve">. This positioning legitimates IPG as a moral accounting object rather than as a free-standing posit.</w:t>
      </w:r>
    </w:p>
    <w:p>
      <w:pPr>
        <w:pStyle w:val="BodyText"/>
      </w:pPr>
      <w:r>
        <w:t xml:space="preserve">The intergenerational moral grounding pairs two traditions, each answering a distinct question. Parfit (1984) Part IV grounds the</w:t>
      </w:r>
      <w:r>
        <w:t xml:space="preserve"> </w:t>
      </w:r>
      <w:r>
        <w:t xml:space="preserve"> </w:t>
      </w:r>
      <w:r>
        <w:t xml:space="preserve">standing</w:t>
      </w:r>
      <w:r>
        <w:t xml:space="preserve"> </w:t>
      </w:r>
      <w:r>
        <w:t xml:space="preserve"> </w:t>
      </w:r>
      <w:r>
        <w:t xml:space="preserve">question (developed above) — whether future generations have moral standing whose extraction-foreclosed welfare counts in present accounting. Amartya Sen’s capability-and-social-welfare-function framework (Sen 1985; Sen 1999) grounds the</w:t>
      </w:r>
      <w:r>
        <w:t xml:space="preserve"> </w:t>
      </w:r>
      <w:r>
        <w:t xml:space="preserve"> </w:t>
      </w:r>
      <w:r>
        <w:t xml:space="preserve">valuation</w:t>
      </w:r>
      <w:r>
        <w:t xml:space="preserve"> </w:t>
      </w:r>
      <w:r>
        <w:t xml:space="preserve"> </w:t>
      </w:r>
      <w:r>
        <w:t xml:space="preserve">question — how that standing should be operationalized in measurement. The framework’s Residual Commons Value (§3) is, in Sen’s vocabulary, a measurement of the capability set extraction forecloses on whoever-the-future-people-turn-out-to-be: the substitutability function S(τ | t₀) captures the probability that a given capability remains accessible at future time τ given foreclosure decisions at t₀, and the externality-tail and foreclosure-cost integrands measure the welfare reduction across capability-foreclosed states. The Parfit / Sen pairing — Parfit grounding the standing, Sen grounding the valuation — is what makes the framework’s intergenerational-pricing claim defensible across the moral-philosophy and welfare-economics traditions simultaneously rather than within only one (Darity 2026).</w:t>
      </w:r>
    </w:p>
    <w:p>
      <w:pPr>
        <w:pStyle w:val="BodyText"/>
      </w:pPr>
      <w:r>
        <w:t xml:space="preserve"> </w:t>
      </w:r>
      <w:r>
        <w:t xml:space="preserve">Bibliography:</w:t>
      </w:r>
      <w:r>
        <w:t xml:space="preserve"> </w:t>
      </w:r>
      <w:r>
        <w:t xml:space="preserve"> </w:t>
      </w:r>
      <w:r>
        <w:t xml:space="preserve">Parfit, Derek.</w:t>
      </w:r>
      <w:r>
        <w:t xml:space="preserve"> </w:t>
      </w:r>
      <w:r>
        <w:t xml:space="preserve"> </w:t>
      </w:r>
      <w:r>
        <w:t xml:space="preserve">Reasons and Persons</w:t>
      </w:r>
      <w:r>
        <w:t xml:space="preserve"> </w:t>
      </w:r>
      <w:r>
        <w:t xml:space="preserve"> </w:t>
      </w:r>
      <w:r>
        <w:t xml:space="preserve">. Oxford: Oxford University Press, 1984. Part IV (intergenerational moral status; non-identity problem). Sen, Amartya.</w:t>
      </w:r>
      <w:r>
        <w:t xml:space="preserve"> </w:t>
      </w:r>
      <w:r>
        <w:t xml:space="preserve"> </w:t>
      </w:r>
      <w:r>
        <w:t xml:space="preserve">Commodities and Capabilities</w:t>
      </w:r>
      <w:r>
        <w:t xml:space="preserve"> </w:t>
      </w:r>
      <w:r>
        <w:t xml:space="preserve"> </w:t>
      </w:r>
      <w:r>
        <w:t xml:space="preserve">. Amsterdam: North-Holland, 1985 (capability-set valuation foundations);</w:t>
      </w:r>
      <w:r>
        <w:t xml:space="preserve"> </w:t>
      </w:r>
      <w:r>
        <w:t xml:space="preserve"> </w:t>
      </w:r>
      <w:r>
        <w:t xml:space="preserve">Development as Freedom</w:t>
      </w:r>
      <w:r>
        <w:t xml:space="preserve"> </w:t>
      </w:r>
      <w:r>
        <w:t xml:space="preserve"> </w:t>
      </w:r>
      <w:r>
        <w:t xml:space="preserve">. New York: Knopf, 1999 (capability-and-social-welfare-function framework).</w:t>
      </w:r>
    </w:p>
    <w:p>
      <w:pPr>
        <w:pStyle w:val="BodyText"/>
      </w:pPr>
      <w:r>
        <w:t xml:space="preserve">§5.5 — Bidirectional application of the framework apparatus</w:t>
      </w:r>
    </w:p>
    <w:p>
      <w:pPr>
        <w:pStyle w:val="BodyText"/>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t xml:space="preserve"> </w:t>
      </w:r>
      <w:r>
        <w:t xml:space="preserve">Forward application (this volume’s empirical scope).</w:t>
      </w:r>
      <w:r>
        <w:t xml:space="preserve"> </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t xml:space="preserve">CS = RCV − B</w:t>
      </w:r>
      <w:r>
        <w:t xml:space="preserve"> </w:t>
      </w:r>
      <w:r>
        <w:t xml:space="preserve">(§1.7) is the forward-pricing form used throughout this volume’s empirical computations.</w:t>
      </w:r>
    </w:p>
    <w:p>
      <w:pPr>
        <w:pStyle w:val="BodyText"/>
      </w:pPr>
      <w:r>
        <w:t xml:space="preserve"> </w:t>
      </w:r>
      <w:r>
        <w:t xml:space="preserve">Backward application (structurally identical; outside this volume’s empirical scope).</w:t>
      </w:r>
      <w:r>
        <w:t xml:space="preserve"> </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t xml:space="preserve"> </w:t>
      </w:r>
      <w:r>
        <w:t xml:space="preserve">Four Gates direction-agnosticism (gate-by-gate).</w:t>
      </w:r>
      <w:r>
        <w:t xml:space="preserve"> </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t xml:space="preserve"> </w:t>
      </w:r>
      <w:r>
        <w:t xml:space="preserve">Epistemic asymmetry across directions.</w:t>
      </w:r>
      <w:r>
        <w:t xml:space="preserve"> </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t xml:space="preserve"> </w:t>
      </w:r>
      <w:r>
        <w:t xml:space="preserve">Total CS, decomposed.</w:t>
      </w:r>
      <w:r>
        <w:t xml:space="preserve"> </w:t>
      </w:r>
      <w:r>
        <w:t xml:space="preserve"> </w:t>
      </w:r>
      <w:r>
        <w:t xml:space="preserve">Within the full bidirectional framing, total cost severance for any extraction context is:</w:t>
      </w:r>
    </w:p>
    <w:p>
      <w:pPr>
        <w:pStyle w:val="BodyText"/>
      </w:pPr>
      <w: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t xml:space="preserve"> </w:t>
      </w:r>
      <w:r>
        <w:t xml:space="preserve">Example backward variables (cited; not computed in this volume).</w:t>
      </w:r>
      <w:r>
        <w:t xml:space="preserve"> </w:t>
      </w:r>
      <w:r>
        <w:t xml:space="preserve"> </w:t>
      </w:r>
      <w:r>
        <w:t xml:space="preserve">The framework’s methodology accommodates backward-direction variables this volume does not price. The principal examples in the contemporary literature:</w:t>
      </w:r>
    </w:p>
    <w:p>
      <w:pPr>
        <w:pStyle w:val="BodyText"/>
      </w:pPr>
      <w:r>
        <w:t xml:space="preserve">The racial wealth gap as legacy-effect pricing.</w:t>
      </w:r>
      <w:r>
        <w:t xml:space="preserve"> </w:t>
      </w:r>
      <w:r>
        <w:t xml:space="preserve">Darity &amp; Mullen 2020</w:t>
      </w:r>
      <w:r>
        <w:t xml:space="preserve"> </w:t>
      </w:r>
      <w: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pStyle w:val="BodyText"/>
      </w:pPr>
      <w: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pStyle w:val="BodyText"/>
      </w:pPr>
      <w:r>
        <w:t xml:space="preserve">The coercion vector itself.</w:t>
      </w:r>
      <w:r>
        <w:t xml:space="preserve"> </w:t>
      </w:r>
      <w:r>
        <w:t xml:space="preserve">Slavery and forced-labor cases are structurally distinct from the framework’s information-asymmetry analytical case-class (per §1.10 Autonomy commons</w:t>
      </w:r>
      <w:r>
        <w:t xml:space="preserve"> </w:t>
      </w:r>
      <w:r>
        <w:t xml:space="preserve">“Scope-of-applicability boundary”</w:t>
      </w:r>
      <w:r>
        <w:t xml:space="preserve">). The reparations-economics field flags the direct pricing of coercion-as-cost-dimension as methodologically unresolved (Darity 2026). The framework names the variable and extends to coerced-extraction cases through the legacy-effects pathway above; it does not claim to have priced the coercion vector directly.</w:t>
      </w:r>
    </w:p>
    <w:p>
      <w:pPr>
        <w:pStyle w:val="BodyText"/>
      </w:pPr>
      <w: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BodyText"/>
      </w:pPr>
      <w:r>
        <w:t xml:space="preserve"> </w:t>
      </w:r>
      <w:r>
        <w:t xml:space="preserve">Sibling-section structure (§5.3 / §5.5).</w:t>
      </w:r>
      <w:r>
        <w:t xml:space="preserve"> </w:t>
      </w:r>
      <w:r>
        <w:t xml:space="preserve"> </w:t>
      </w:r>
      <w:r>
        <w:t xml:space="preserve">§5.3 (Independence note) and this section (§5.5) are sibling structural consequences of the decomposition B = B₁ + B₂. §5.3 covers</w:t>
      </w:r>
      <w:r>
        <w:t xml:space="preserve"> </w:t>
      </w:r>
      <w: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t xml:space="preserve"> </w:t>
      </w:r>
      <w:r>
        <w:t xml:space="preserve">Empirical scope discipline.</w:t>
      </w:r>
      <w:r>
        <w:t xml:space="preserve"> </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t xml:space="preserve"> </w:t>
      </w:r>
      <w:r>
        <w:t xml:space="preserve">Coordination note (B₁-direction moral grounding).</w:t>
      </w:r>
      <w:r>
        <w:t xml:space="preserve"> </w:t>
      </w:r>
      <w:r>
        <w:t xml:space="preserve"> </w:t>
      </w:r>
      <w:r>
        <w:t xml:space="preserve">§5.4 (Intergenerational moral grounding) is currently scoped to the B₂ direction with Parfit 1984 grounding standing and Sen 1985/1999 grounding valuation, both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p>
      <w:pPr>
        <w:pStyle w:val="BodyText"/>
      </w:pPr>
      <w:r>
        <w:t xml:space="preserve">§6. Commons Inversion Test (CIT)</w:t>
      </w:r>
    </w:p>
    <w:p>
      <w:pPr>
        <w:pStyle w:val="BodyText"/>
      </w:pPr>
      <w:r>
        <w:t xml:space="preserve">§6.1 — Methodological Principle</w:t>
      </w:r>
    </w:p>
    <w:p>
      <w:pPr>
        <w:pStyle w:val="BodyText"/>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p>
      <w:pPr>
        <w:pStyle w:val="BodyText"/>
      </w:pPr>
      <w:r>
        <w:t xml:space="preserve">§6.2 — The Seven Abundance Dimensions</w:t>
      </w:r>
    </w:p>
    <w:p>
      <w:pPr>
        <w:pStyle w:val="BodyText"/>
      </w:pPr>
      <w: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p>
      <w:pPr>
        <w:pStyle w:val="BodyText"/>
      </w:pPr>
      <w:r>
        <w:t xml:space="preserve">§6.3 — Relationship to the RCV Formula</w:t>
      </w:r>
    </w:p>
    <w:p>
      <w:pPr>
        <w:pStyle w:val="BodyText"/>
      </w:pPr>
      <w:r>
        <w:t xml:space="preserve">Each commons category maps to one or more terms in the RCV formula:</w:t>
      </w:r>
    </w:p>
    <w:p>
      <w:pPr>
        <w:pStyle w:val="BodyText"/>
      </w:pPr>
      <w:r>
        <w:t xml:space="preserve">Abundance Dimension Stripped</w:t>
      </w:r>
    </w:p>
    <w:p>
      <w:pPr>
        <w:pStyle w:val="BodyText"/>
      </w:pPr>
      <w:r>
        <w:t xml:space="preserve">RCV Term Illuminated</w:t>
      </w:r>
    </w:p>
    <w:p>
      <w:pPr>
        <w:pStyle w:val="BodyText"/>
      </w:pPr>
      <w:r>
        <w:t xml:space="preserve">Habitability</w:t>
      </w:r>
    </w:p>
    <w:p>
      <w:pPr>
        <w:pStyle w:val="BodyText"/>
      </w:pPr>
      <w:r>
        <w:t xml:space="preserve">E(R, t) — atmospheric externality component</w:t>
      </w:r>
    </w:p>
    <w:p>
      <w:pPr>
        <w:pStyle w:val="BodyText"/>
      </w:pPr>
      <w:r>
        <w:t xml:space="preserve">Spatial</w:t>
      </w:r>
    </w:p>
    <w:p>
      <w:pPr>
        <w:pStyle w:val="BodyText"/>
      </w:pPr>
      <w:r>
        <w:t xml:space="preserve">Cost Severance integral (§16.3)</w:t>
      </w:r>
    </w:p>
    <w:p>
      <w:pPr>
        <w:pStyle w:val="BodyText"/>
      </w:pPr>
      <w:r>
        <w:t xml:space="preserve">Temporal</w:t>
      </w:r>
    </w:p>
    <w:p>
      <w:pPr>
        <w:pStyle w:val="BodyText"/>
      </w:pPr>
      <w:r>
        <w:t xml:space="preserve">[1 − S(t)] · U(R, t, Q(t)) — foreclosure component</w:t>
      </w:r>
    </w:p>
    <w:p>
      <w:pPr>
        <w:pStyle w:val="BodyText"/>
      </w:pPr>
      <w:r>
        <w:t xml:space="preserve">Institutional</w:t>
      </w:r>
    </w:p>
    <w:p>
      <w:pPr>
        <w:pStyle w:val="BodyText"/>
      </w:pPr>
      <w:r>
        <w:t xml:space="preserve">B term in CS = RCV − B</w:t>
      </w:r>
    </w:p>
    <w:p>
      <w:pPr>
        <w:pStyle w:val="BodyText"/>
      </w:pPr>
      <w:r>
        <w:t xml:space="preserve">Kindred</w:t>
      </w:r>
    </w:p>
    <w:p>
      <w:pPr>
        <w:pStyle w:val="BodyText"/>
      </w:pPr>
      <w:r>
        <w:t xml:space="preserve">U(R, t, Q(t)) — option value and knowledge component</w:t>
      </w:r>
    </w:p>
    <w:p>
      <w:pPr>
        <w:pStyle w:val="BodyText"/>
      </w:pPr>
      <w:r>
        <w:t xml:space="preserve">Ecosystem</w:t>
      </w:r>
    </w:p>
    <w:p>
      <w:pPr>
        <w:pStyle w:val="BodyText"/>
      </w:pPr>
      <w:r>
        <w:t xml:space="preserve">U(R, t, Q(t)) — ecological function component; E(R,t) — remediation tail</w:t>
      </w:r>
    </w:p>
    <w:p>
      <w:pPr>
        <w:pStyle w:val="BodyText"/>
      </w:pPr>
      <w:r>
        <w:t xml:space="preserve">Political</w:t>
      </w:r>
    </w:p>
    <w:p>
      <w:pPr>
        <w:pStyle w:val="BodyText"/>
      </w:pPr>
      <w:r>
        <w:t xml:space="preserve">B term in CS = RCV − B — political capture suppresses B toward zero; also E(R,t) — costs of institutional corrosion are externality tail items</w:t>
      </w:r>
    </w:p>
    <w:p>
      <w:pPr>
        <w:pStyle w:val="BodyText"/>
      </w:pPr>
      <w:r>
        <w:t xml:space="preserve">§6.4 — Two sub-forms</w:t>
      </w:r>
    </w:p>
    <w:p>
      <w:pPr>
        <w:pStyle w:val="BodyText"/>
      </w:pPr>
      <w:r>
        <w:t xml:space="preserve"> </w:t>
      </w:r>
      <w:r>
        <w:t xml:space="preserve">Commons-Absence Inversion (CAI).</w:t>
      </w:r>
      <w:r>
        <w:t xml:space="preserve"> </w:t>
      </w:r>
      <w:r>
        <w:t xml:space="preserve"> </w:t>
      </w:r>
      <w:r>
        <w:t xml:space="preserve">Given a cost claim that names a commons, ask:</w:t>
      </w:r>
      <w:r>
        <w:t xml:space="preserve"> </w:t>
      </w:r>
      <w:r>
        <w:t xml:space="preserve"> </w:t>
      </w:r>
      <w:r>
        <w:t xml:space="preserve">would the extraction price differently if the commons claim did not exist at all?</w:t>
      </w:r>
      <w:r>
        <w:t xml:space="preserve"> </w:t>
      </w:r>
      <w:r>
        <w:t xml:space="preserve"> </w:t>
      </w:r>
      <w:r>
        <w:t xml:space="preserve">If yes → cost claim is commons-grounded. If no → cost claim is private-property externality (different framework applies).</w:t>
      </w:r>
    </w:p>
    <w:p>
      <w:pPr>
        <w:pStyle w:val="BodyText"/>
      </w:pPr>
      <w:r>
        <w:t xml:space="preserve"> </w:t>
      </w:r>
      <w:r>
        <w:t xml:space="preserve">Commons-Consumption Inversion (CCI).</w:t>
      </w:r>
      <w:r>
        <w:t xml:space="preserve"> </w:t>
      </w:r>
      <w:r>
        <w:t xml:space="preserve"> </w:t>
      </w:r>
      <w:r>
        <w:t xml:space="preserve">Given a commons-grounded cost claim, ask:</w:t>
      </w:r>
      <w:r>
        <w:t xml:space="preserve"> </w:t>
      </w:r>
      <w:r>
        <w:t xml:space="preserve"> </w:t>
      </w:r>
      <w:r>
        <w:t xml:space="preserve">would the extraction price differently if the commons were inexhaustible / self-restoring at zero marginal cost?</w:t>
      </w:r>
      <w:r>
        <w:t xml:space="preserve"> </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p>
      <w:pPr>
        <w:pStyle w:val="BodyText"/>
      </w:pPr>
      <w:r>
        <w:t xml:space="preserve">§6.4.1 — Level-of-claim specification</w:t>
      </w:r>
    </w:p>
    <w:p>
      <w:pPr>
        <w:pStyle w:val="BodyText"/>
      </w:pPr>
      <w:r>
        <w:t xml:space="preserve"> </w:t>
      </w:r>
      <w:r>
        <w:t xml:space="preserve">Discipline:</w:t>
      </w:r>
      <w:r>
        <w:t xml:space="preserve"> </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t xml:space="preserve"> </w:t>
      </w:r>
      <w:r>
        <w:t xml:space="preserve">Formal rule:</w:t>
      </w:r>
      <w:r>
        <w:t xml:space="preserve"> </w:t>
      </w:r>
      <w:r>
        <w:t xml:space="preserve"> </w:t>
      </w:r>
      <w:r>
        <w:t xml:space="preserve">Before running CAI + CCI on a candidate cost claim, specify the level at which the commons is asserted to be finite. The specification must name: (1)</w:t>
      </w:r>
      <w:r>
        <w:t xml:space="preserve"> </w:t>
      </w:r>
      <w:r>
        <w:t xml:space="preserve"> </w:t>
      </w:r>
      <w:r>
        <w:t xml:space="preserve">aggregation scope</w:t>
      </w:r>
      <w:r>
        <w:t xml:space="preserve"> </w:t>
      </w:r>
      <w:r>
        <w:t xml:space="preserve"> </w:t>
      </w:r>
      <w:r>
        <w:t xml:space="preserve">(individual-user / community / population / cohort / generational / civilizational / planetary); (2)</w:t>
      </w:r>
      <w:r>
        <w:t xml:space="preserve"> </w:t>
      </w:r>
      <w:r>
        <w:t xml:space="preserve"> </w:t>
      </w:r>
      <w:r>
        <w:t xml:space="preserve">temporal scope</w:t>
      </w:r>
      <w:r>
        <w:t xml:space="preserve"> </w:t>
      </w:r>
      <w:r>
        <w:t xml:space="preserve"> </w:t>
      </w:r>
      <w:r>
        <w:t xml:space="preserve">(instantaneous / cumulative-over-period / lifetime / intergenerational / open-ended); (3)</w:t>
      </w:r>
      <w:r>
        <w:t xml:space="preserve"> </w:t>
      </w:r>
      <w:r>
        <w:t xml:space="preserve"> </w:t>
      </w:r>
      <w:r>
        <w:t xml:space="preserve">substitutability scope</w:t>
      </w:r>
      <w:r>
        <w:t xml:space="preserve"> </w:t>
      </w:r>
      <w:r>
        <w:t xml:space="preserve"> </w:t>
      </w:r>
      <w:r>
        <w:t xml:space="preserve">(single-substitute / class-of-substitutes / no-substitute-available).</w:t>
      </w:r>
    </w:p>
    <w:p>
      <w:pPr>
        <w:pStyle w:val="BodyText"/>
      </w:pPr>
      <w:r>
        <w:t xml:space="preserve"> </w:t>
      </w:r>
      <w:r>
        <w:t xml:space="preserve">Worked example — platform-economy attention extraction:</w:t>
      </w:r>
      <w:r>
        <w:t xml:space="preserve"> </w:t>
      </w:r>
      <w:r>
        <w:t xml:space="preserve"> </w:t>
      </w:r>
      <w:r>
        <w:t xml:space="preserve">consider the candidate cost claim that platform attention-extraction (e.g., recommendation algorithms optimizing for engagement) constitutes Cost Severance.</w:t>
      </w:r>
    </w:p>
    <w:p>
      <w:pPr>
        <w:pStyle w:val="BodyText"/>
      </w:pPr>
      <w:r>
        <w:t xml:space="preserve"> </w:t>
      </w:r>
      <w:r>
        <w:t xml:space="preserve">Level A — individual-user instantaneous.</w:t>
      </w:r>
      <w:r>
        <w:t xml:space="preserve"> </w:t>
      </w:r>
      <w:r>
        <w:t xml:space="preserve"> </w:t>
      </w:r>
      <w:r>
        <w:t xml:space="preserve">“TikTok extracts attention from individual user X during session Y.”</w:t>
      </w:r>
      <w:r>
        <w:t xml:space="preserve"> </w:t>
      </w:r>
      <w:r>
        <w:t xml:space="preserve">CAI passes. CCI</w:t>
      </w:r>
      <w:r>
        <w:t xml:space="preserve"> </w:t>
      </w:r>
      <w:r>
        <w:t xml:space="preserve"> </w:t>
      </w:r>
      <w:r>
        <w:t xml:space="preserve">fails</w:t>
      </w:r>
      <w:r>
        <w:t xml:space="preserve"> </w:t>
      </w:r>
      <w:r>
        <w:t xml:space="preserve"> </w:t>
      </w:r>
      <w:r>
        <w:t xml:space="preserve">: individual attention regenerates between sessions.</w:t>
      </w:r>
      <w:r>
        <w:t xml:space="preserve"> </w:t>
      </w:r>
      <w:r>
        <w:t xml:space="preserve"> </w:t>
      </w:r>
      <w:r>
        <w:t xml:space="preserve">CIT-fail at Level A.</w:t>
      </w:r>
      <w:r>
        <w:t xml:space="preserve"> </w:t>
      </w:r>
    </w:p>
    <w:p>
      <w:pPr>
        <w:pStyle w:val="BodyText"/>
      </w:pPr>
      <w:r>
        <w:t xml:space="preserve"> </w:t>
      </w:r>
      <w:r>
        <w:t xml:space="preserve">Level B — cumulative-population intergenerational.</w:t>
      </w:r>
      <w:r>
        <w:t xml:space="preserve"> </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w:t>
      </w:r>
      <w:r>
        <w:t xml:space="preserve"> </w:t>
      </w:r>
      <w:r>
        <w:t xml:space="preserve">CAI passes. CCI</w:t>
      </w:r>
      <w:r>
        <w:t xml:space="preserve"> </w:t>
      </w:r>
      <w:r>
        <w:t xml:space="preserve"> </w:t>
      </w:r>
      <w:r>
        <w:t xml:space="preserve">may pass</w:t>
      </w:r>
      <w:r>
        <w:t xml:space="preserve"> </w:t>
      </w:r>
      <w:r>
        <w:t xml:space="preserve"> </w:t>
      </w:r>
      <w:r>
        <w:t xml:space="preserve">.</w:t>
      </w:r>
      <w:r>
        <w:t xml:space="preserve"> </w:t>
      </w:r>
      <w:r>
        <w:t xml:space="preserve"> </w:t>
      </w:r>
      <w:r>
        <w:t xml:space="preserve">CIT may pass at Level B</w:t>
      </w:r>
      <w:r>
        <w:t xml:space="preserve"> </w:t>
      </w:r>
      <w:r>
        <w:t xml:space="preserve"> </w:t>
      </w:r>
      <w:r>
        <w:t xml:space="preserve">, depending on empirical bounds.</w:t>
      </w:r>
    </w:p>
    <w:p>
      <w:pPr>
        <w:pStyle w:val="BodyText"/>
      </w:pPr>
      <w:r>
        <w:t xml:space="preserve"> </w:t>
      </w:r>
      <w:r>
        <w:t xml:space="preserve">Reporting discipline:</w:t>
      </w:r>
      <w:r>
        <w:t xml:space="preserve"> </w:t>
      </w:r>
      <w:r>
        <w:t xml:space="preserve"> </w:t>
      </w:r>
      <w:r>
        <w:t xml:space="preserve">every CIT application must specify the level-of-claim before reporting the verdict. A bare</w:t>
      </w:r>
      <w:r>
        <w:t xml:space="preserve"> </w:t>
      </w:r>
      <w:r>
        <w:t xml:space="preserve">“CIT passes”</w:t>
      </w:r>
      <w:r>
        <w:t xml:space="preserve"> </w:t>
      </w:r>
      <w:r>
        <w:t xml:space="preserve">without level specification is methodologically incomplete.</w:t>
      </w:r>
    </w:p>
    <w:p>
      <w:pPr>
        <w:pStyle w:val="BodyText"/>
      </w:pPr>
      <w:r>
        <w:t xml:space="preserve">§6.5 — Four Gates admission apparatus</w:t>
      </w:r>
    </w:p>
    <w:p>
      <w:pPr>
        <w:pStyle w:val="BodyText"/>
      </w:pPr>
      <w:r>
        <w:t xml:space="preserve">A commons-extraction-cost claim is admitted to the framework’s CS accounting if and only if it passes all four gates:</w:t>
      </w:r>
    </w:p>
    <w:p>
      <w:pPr>
        <w:pStyle w:val="BodyText"/>
      </w:pPr>
      <w:r>
        <w:t xml:space="preserve"> </w:t>
      </w:r>
      <w:r>
        <w:t xml:space="preserve">CIT (Commons Inversion Test)</w:t>
      </w:r>
      <w:r>
        <w:t xml:space="preserve"> </w:t>
      </w:r>
      <w:r>
        <w:t xml:space="preserve"> </w:t>
      </w:r>
      <w:r>
        <w:t xml:space="preserve">— passes both CAI and CCI sub-forms (with level-of-claim specification per §6.4.1).</w:t>
      </w:r>
    </w:p>
    <w:p>
      <w:pPr>
        <w:pStyle w:val="BodyText"/>
      </w:pPr>
      <w:r>
        <w:t xml:space="preserve"> </w:t>
      </w:r>
      <w:r>
        <w:t xml:space="preserve">Units Consistency</w:t>
      </w:r>
      <w:r>
        <w:t xml:space="preserve"> </w:t>
      </w:r>
      <w:r>
        <w:t xml:space="preserve"> </w:t>
      </w:r>
      <w:r>
        <w:t xml:space="preserve">— claim’s units match the underlying commons’s units.</w:t>
      </w:r>
    </w:p>
    <w:p>
      <w:pPr>
        <w:pStyle w:val="BodyText"/>
      </w:pPr>
      <w:r>
        <w:t xml:space="preserve"> </w:t>
      </w:r>
      <w:r>
        <w:t xml:space="preserve">Boundedness</w:t>
      </w:r>
      <w:r>
        <w:t xml:space="preserve"> </w:t>
      </w:r>
      <w:r>
        <w:t xml:space="preserve"> </w:t>
      </w:r>
      <w:r>
        <w:t xml:space="preserve">— claim has finite bounds (rules out unbounded</w:t>
      </w:r>
      <w:r>
        <w:t xml:space="preserve"> </w:t>
      </w:r>
      <w:r>
        <w:t xml:space="preserve">“infinity”</w:t>
      </w:r>
      <w:r>
        <w:t xml:space="preserve"> </w:t>
      </w:r>
      <w:r>
        <w:t xml:space="preserve">claims).</w:t>
      </w:r>
    </w:p>
    <w:p>
      <w:pPr>
        <w:pStyle w:val="BodyText"/>
      </w:pPr>
      <w:r>
        <w:t xml:space="preserve"> </w:t>
      </w:r>
      <w:r>
        <w:t xml:space="preserve">Independence</w:t>
      </w:r>
      <w:r>
        <w:t xml:space="preserve"> </w:t>
      </w:r>
      <w:r>
        <w:t xml:space="preserve"> </w:t>
      </w:r>
      <w:r>
        <w:t xml:space="preserve">— claim is not double-counted across overlapping commons categories.</w:t>
      </w:r>
    </w:p>
    <w:p>
      <w:pPr>
        <w:pStyle w:val="BodyText"/>
      </w:pPr>
      <w:r>
        <w:t xml:space="preserve"> </w:t>
      </w:r>
      <w:r>
        <w:t xml:space="preserve">Gate-test asymmetry:</w:t>
      </w:r>
      <w:r>
        <w:t xml:space="preserve"> </w:t>
      </w:r>
      <w:r>
        <w:t xml:space="preserve"> </w:t>
      </w:r>
      <w:r>
        <w:t xml:space="preserve">gates 1 + 2 + 3 + 4 are tests</w:t>
      </w:r>
      <w:r>
        <w:t xml:space="preserve"> </w:t>
      </w:r>
      <w:r>
        <w:t xml:space="preserve"> </w:t>
      </w:r>
      <w:r>
        <w:t xml:space="preserve">of</w:t>
      </w:r>
      <w:r>
        <w:t xml:space="preserve"> </w:t>
      </w:r>
      <w:r>
        <w:t xml:space="preserve"> </w:t>
      </w:r>
      <w:r>
        <w:t xml:space="preserve">a candidate cost claim. They are NOT</w:t>
      </w:r>
      <w:r>
        <w:t xml:space="preserve"> </w:t>
      </w:r>
      <w:r>
        <w:t xml:space="preserve"> </w:t>
      </w:r>
      <w:r>
        <w:t xml:space="preserve">conditions</w:t>
      </w:r>
      <w:r>
        <w:t xml:space="preserve"> </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t xml:space="preserve"> </w:t>
      </w:r>
      <w:r>
        <w:t xml:space="preserve">claims</w:t>
      </w:r>
      <w:r>
        <w:t xml:space="preserve"> </w:t>
      </w:r>
      <w:r>
        <w:t xml:space="preserve"> </w:t>
      </w:r>
      <w:r>
        <w:t xml:space="preserve">against established commons; they do not filter what counts as a</w:t>
      </w:r>
      <w:r>
        <w:t xml:space="preserve"> </w:t>
      </w:r>
      <w:r>
        <w:t xml:space="preserve"> </w:t>
      </w:r>
      <w:r>
        <w:t xml:space="preserve">commons</w:t>
      </w:r>
      <w:r>
        <w:t xml:space="preserve"> </w:t>
      </w:r>
      <w:r>
        <w:t xml:space="preserve"> </w:t>
      </w:r>
      <w:r>
        <w:t xml:space="preserve">.</w:t>
      </w:r>
    </w:p>
    <w:p>
      <w:pPr>
        <w:pStyle w:val="BodyText"/>
      </w:pPr>
      <w:r>
        <w:t xml:space="preserve">§6.6 — Domain distinction: extraction commons vs. coordination commons</w:t>
      </w:r>
    </w:p>
    <w:p>
      <w:pPr>
        <w:pStyle w:val="BodyText"/>
      </w:pPr>
      <w:r>
        <w:t xml:space="preserve"> </w:t>
      </w:r>
      <w:r>
        <w:t xml:space="preserve">Discipline:</w:t>
      </w:r>
      <w:r>
        <w:t xml:space="preserve"> </w:t>
      </w:r>
      <w:r>
        <w:t xml:space="preserve"> </w:t>
      </w:r>
      <w:r>
        <w:t xml:space="preserve">CIT’s domain is</w:t>
      </w:r>
      <w:r>
        <w:t xml:space="preserve"> </w:t>
      </w:r>
      <w:r>
        <w:t xml:space="preserve"> </w:t>
      </w:r>
      <w:r>
        <w:t xml:space="preserve">extraction commons</w:t>
      </w:r>
      <w:r>
        <w:t xml:space="preserve"> </w:t>
      </w:r>
      <w:r>
        <w:t xml:space="preserve"> </w:t>
      </w:r>
      <w:r>
        <w:t xml:space="preserve">— commons whose finite stock is consumed by non-shared-stakeholder extractors, with cost borne by stakeholders who do not capture extraction value. CIT is NOT designed for</w:t>
      </w:r>
      <w:r>
        <w:t xml:space="preserve"> </w:t>
      </w:r>
      <w:r>
        <w:t xml:space="preserve"> </w:t>
      </w:r>
      <w:r>
        <w:t xml:space="preserve">coordination commons</w:t>
      </w:r>
      <w:r>
        <w:t xml:space="preserve"> </w:t>
      </w:r>
      <w:r>
        <w:t xml:space="preserve"> </w:t>
      </w:r>
      <w:r>
        <w:t xml:space="preserve">— commons whose finite stock is shared among coordinating-stakeholder users, with cost borne under coordination breakdown. The two commons-classes are structurally distinct.</w:t>
      </w:r>
    </w:p>
    <w:p>
      <w:pPr>
        <w:pStyle w:val="BodyText"/>
      </w:pPr>
      <w:r>
        <w:t xml:space="preserve"> </w:t>
      </w:r>
      <w:r>
        <w:t xml:space="preserve">Operational filter (CCI sub-form):</w:t>
      </w:r>
      <w:r>
        <w:t xml:space="preserve"> </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t xml:space="preserve"> </w:t>
      </w:r>
      <w:r>
        <w:t xml:space="preserve">Methodology cross-reference:</w:t>
      </w:r>
      <w:r>
        <w:t xml:space="preserve"> </w:t>
      </w:r>
      <w:r>
        <w:t xml:space="preserve"> </w:t>
      </w:r>
      <w:r>
        <w:t xml:space="preserve">Ostrom-tradition coordination-commons analysis (Ostrom 1990</w:t>
      </w:r>
      <w:r>
        <w:t xml:space="preserve"> </w:t>
      </w:r>
      <w:r>
        <w:t xml:space="preserve"> </w:t>
      </w:r>
      <w:r>
        <w:t xml:space="preserve">Governing the Commons</w:t>
      </w:r>
      <w:r>
        <w:t xml:space="preserve"> </w:t>
      </w:r>
      <w:r>
        <w:t xml:space="preserve"> </w:t>
      </w:r>
      <w:r>
        <w:t xml:space="preserve">; Hess &amp; Ostrom 2007</w:t>
      </w:r>
      <w:r>
        <w:t xml:space="preserve"> </w:t>
      </w:r>
      <w:r>
        <w:t xml:space="preserve"> </w:t>
      </w:r>
      <w:r>
        <w:t xml:space="preserve">Understanding Knowledge as a Commons</w:t>
      </w:r>
      <w:r>
        <w:t xml:space="preserve"> </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t xml:space="preserve"> </w:t>
      </w:r>
      <w:r>
        <w:t xml:space="preserve">Hybrid cases:</w:t>
      </w:r>
      <w:r>
        <w:t xml:space="preserve"> </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t xml:space="preserve"> </w:t>
      </w:r>
      <w:r>
        <w:t xml:space="preserve">Reporting discipline:</w:t>
      </w:r>
      <w:r>
        <w:t xml:space="preserve"> </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p>
      <w:pPr>
        <w:pStyle w:val="BodyText"/>
      </w:pPr>
      <w:r>
        <w:t xml:space="preserve">§6.7 — Worked Examples: Seven Walkthroughs (Four Gates Applied)</w:t>
      </w:r>
    </w:p>
    <w:p>
      <w:pPr>
        <w:pStyle w:val="BodyText"/>
      </w:pPr>
      <w:r>
        <w:t xml:space="preserve"> </w:t>
      </w:r>
      <w:r>
        <w:t xml:space="preserve">The seven cases:</w:t>
      </w:r>
      <w:r>
        <w:t xml:space="preserve"> </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p>
      <w:pPr>
        <w:pStyle w:val="SourceCode"/>
      </w:pPr>
      <w:r>
        <w:rPr>
          <w:rStyle w:val="VerbatimChar"/>
        </w:rPr>
        <w:t xml:space="preserve"> &lt;h4&gt;</w:t>
      </w:r>
      <w:r>
        <w:br/>
      </w:r>
      <w:r>
        <w:rPr>
          <w:rStyle w:val="VerbatimChar"/>
        </w:rPr>
        <w:t xml:space="preserve">  Overview. The Four Gates as a system</w:t>
      </w:r>
      <w:r>
        <w:br/>
      </w:r>
      <w:r>
        <w:rPr>
          <w:rStyle w:val="VerbatimChar"/>
        </w:rPr>
        <w:t xml:space="preserve"> &lt;/h4&gt;</w:t>
      </w:r>
      <w:r>
        <w:br/>
      </w:r>
      <w:r>
        <w:rPr>
          <w:rStyle w:val="VerbatimChar"/>
        </w:rPr>
        <w:t xml:space="preserve"> &lt;p&gt;</w:t>
      </w:r>
      <w:r>
        <w:br/>
      </w:r>
      <w:r>
        <w:rPr>
          <w:rStyle w:val="VerbatimChar"/>
        </w:rPr>
        <w:t xml:space="preserve">  &lt;strong&gt;</w:t>
      </w:r>
      <w:r>
        <w:br/>
      </w:r>
      <w:r>
        <w:rPr>
          <w:rStyle w:val="VerbatimChar"/>
        </w:rPr>
        <w:t xml:space="preserve">   CIT (Commons Inversion Test)</w:t>
      </w:r>
      <w:r>
        <w:br/>
      </w:r>
      <w:r>
        <w:rPr>
          <w:rStyle w:val="VerbatimChar"/>
        </w:rPr>
        <w:t xml:space="preserve">  &lt;/strong&gt;</w:t>
      </w:r>
      <w:r>
        <w:br/>
      </w:r>
      <w:r>
        <w:rPr>
          <w:rStyle w:val="VerbatimChar"/>
        </w:rPr>
        <w:t xml:space="preserve">  &amp;mdash; content gate. Does the cost depend on a commons? Two sub-forms:</w:t>
      </w:r>
    </w:p>
    <w:p>
      <w:pPr>
        <w:pStyle w:val="SourceCode"/>
        <w:numPr>
          <w:ilvl w:val="0"/>
          <w:numId w:val="1001"/>
        </w:numPr>
      </w:pPr>
      <w:r>
        <w:rPr>
          <w:rStyle w:val="VerbatimChar"/>
        </w:rPr>
        <w:t xml:space="preserve"> &lt;strong&gt;</w:t>
      </w:r>
      <w:r>
        <w:br/>
      </w:r>
      <w:r>
        <w:rPr>
          <w:rStyle w:val="VerbatimChar"/>
        </w:rPr>
        <w:t xml:space="preserve">  Commons-Absence Inversion:</w:t>
      </w:r>
      <w:r>
        <w:br/>
      </w:r>
      <w:r>
        <w:rPr>
          <w:rStyle w:val="VerbatimChar"/>
        </w:rPr>
        <w:t xml:space="preserve"> &lt;/strong&gt;</w:t>
      </w:r>
      <w:r>
        <w:br/>
      </w:r>
      <w:r>
        <w:rPr>
          <w:rStyle w:val="VerbatimChar"/>
        </w:rPr>
        <w:t xml:space="preserve"> imagine the commons not existing. Cost = replacement cost.</w:t>
      </w:r>
    </w:p>
    <w:p>
      <w:pPr>
        <w:pStyle w:val="SourceCode"/>
        <w:numPr>
          <w:ilvl w:val="0"/>
          <w:numId w:val="1001"/>
        </w:numPr>
      </w:pPr>
      <w:r>
        <w:rPr>
          <w:rStyle w:val="VerbatimChar"/>
        </w:rPr>
        <w:t xml:space="preserve"> &lt;strong&gt;</w:t>
      </w:r>
      <w:r>
        <w:br/>
      </w:r>
      <w:r>
        <w:rPr>
          <w:rStyle w:val="VerbatimChar"/>
        </w:rPr>
        <w:t xml:space="preserve">  Commons-Consumption Inversion:</w:t>
      </w:r>
      <w:r>
        <w:br/>
      </w:r>
      <w:r>
        <w:rPr>
          <w:rStyle w:val="VerbatimChar"/>
        </w:rPr>
        <w:t xml:space="preserve"> &lt;/strong&gt;</w:t>
      </w:r>
      <w:r>
        <w:br/>
      </w:r>
      <w:r>
        <w:rPr>
          <w:rStyle w:val="VerbatimChar"/>
        </w:rPr>
        <w:t xml:space="preserve"> imagine the commons not being consumed. Cost = opportunity cost.</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Units Consistency</w:t>
      </w:r>
      <w:r>
        <w:br/>
      </w:r>
      <w:r>
        <w:rPr>
          <w:rStyle w:val="VerbatimChar"/>
        </w:rPr>
        <w:t xml:space="preserve"> &lt;/strong&gt;</w:t>
      </w:r>
      <w:r>
        <w:br/>
      </w:r>
      <w:r>
        <w:rPr>
          <w:rStyle w:val="VerbatimChar"/>
        </w:rPr>
        <w:t xml:space="preserve"> &amp;mdash; mathematical-form gate. Is cost expressed in commensurable units (dollars &amp;times; time-domain)?</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Boundedness</w:t>
      </w:r>
      <w:r>
        <w:br/>
      </w:r>
      <w:r>
        <w:rPr>
          <w:rStyle w:val="VerbatimChar"/>
        </w:rPr>
        <w:t xml:space="preserve"> &lt;/strong&gt;</w:t>
      </w:r>
      <w:r>
        <w:br/>
      </w:r>
      <w:r>
        <w:rPr>
          <w:rStyle w:val="VerbatimChar"/>
        </w:rPr>
        <w:t xml:space="preserve"> &amp;mdash; mathematical-form gate. Does the cost integral converge?</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Independence</w:t>
      </w:r>
      <w:r>
        <w:br/>
      </w:r>
      <w:r>
        <w:rPr>
          <w:rStyle w:val="VerbatimChar"/>
        </w:rPr>
        <w:t xml:space="preserve"> &lt;/strong&gt;</w:t>
      </w:r>
      <w:r>
        <w:br/>
      </w:r>
      <w:r>
        <w:rPr>
          <w:rStyle w:val="VerbatimChar"/>
        </w:rPr>
        <w:t xml:space="preserve"> &amp;mdash; mathematical-form gate. Is the cost not redundantly correlated with already-admitted Cᵢ (no double-counting)?</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Structural distinction:</w:t>
      </w:r>
      <w:r>
        <w:br/>
      </w:r>
      <w:r>
        <w:rPr>
          <w:rStyle w:val="VerbatimChar"/>
        </w:rPr>
        <w:t xml:space="preserve"> &lt;/strong&gt;</w:t>
      </w:r>
      <w:r>
        <w:br/>
      </w:r>
      <w:r>
        <w:rPr>
          <w:rStyle w:val="VerbatimChar"/>
        </w:rPr>
        <w:t xml:space="preserve"> CIT is a TEST (procedural methodology); the other three are CONDITIONS (static mathematical properties). Naming asymmetry honors the layer distinction.</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1. McDowell County coal: Black Lung healthcare cost</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Black Lung healthcare expenditures + lost productivity + premature death &amp;mdash; borne by miners, families, Medicare/Medicaid, McDowell County's social-service infrastructure.</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habitability commons of McDowell County absent. Picture extraction stripping the place of clean air, healthy bodies, intact community life-support. Does the cost become visible? Yes &amp;mdash; Black Lung pathology is exactly what becomes visible when the habitability commons is eroded by the dust the regulators didn't enforce against, the medical supervision the company resisted, the community's transition reserve no one funded.</w:t>
      </w:r>
      <w:r>
        <w:br/>
      </w:r>
      <w:r>
        <w:rPr>
          <w:rStyle w:val="VerbatimChar"/>
        </w:rPr>
        <w:t xml:space="preserve"> &lt;strong&gt;</w:t>
      </w:r>
      <w:r>
        <w:br/>
      </w:r>
      <w:r>
        <w:rPr>
          <w:rStyle w:val="VerbatimChar"/>
        </w:rPr>
        <w:t xml:space="preserve">  Commons-Absence Inversion.</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Healthcare costs in dollars; integrate over years of patient life + cohort effects + intergenerational life-expectancy gap. Dollars &amp;times; time-domain.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w:t>
      </w:r>
      <w:r>
        <w:br/>
      </w:r>
      <w:r>
        <w:rPr>
          <w:rStyle w:val="VerbatimChar"/>
        </w:rPr>
        <w:t xml:space="preserve"> &lt;/strong&gt;</w:t>
      </w:r>
      <w:r>
        <w:br/>
      </w:r>
      <w:r>
        <w:rPr>
          <w:rStyle w:val="VerbatimChar"/>
        </w:rPr>
        <w:t xml:space="preserve"> Each patient's healthcare cost over their lifetime is bounded. The cohort effect (13-year life-expectancy gap &amp;times; population &amp;times; earnings &amp;times; healthcare costs) sums to a bounded total. Intergenerational health-effects extension (developmental + grandchildren mortality patterns) extends but doesn't blow up.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Black Lung healthcare cost is mostly independent of the</w:t>
      </w:r>
      <w:r>
        <w:br/>
      </w:r>
      <w:r>
        <w:rPr>
          <w:rStyle w:val="VerbatimChar"/>
        </w:rPr>
        <w:t xml:space="preserve"> &lt;em&gt;</w:t>
      </w:r>
      <w:r>
        <w:br/>
      </w:r>
      <w:r>
        <w:rPr>
          <w:rStyle w:val="VerbatimChar"/>
        </w:rPr>
        <w:t xml:space="preserve">  ecosystem-remediation cost</w:t>
      </w:r>
      <w:r>
        <w:br/>
      </w:r>
      <w:r>
        <w:rPr>
          <w:rStyle w:val="VerbatimChar"/>
        </w:rPr>
        <w:t xml:space="preserve"> &lt;/em&gt;</w:t>
      </w:r>
      <w:r>
        <w:br/>
      </w:r>
      <w:r>
        <w:rPr>
          <w:rStyle w:val="VerbatimChar"/>
        </w:rPr>
        <w:t xml:space="preserve"> (orange creeks, hillside scarring) and the</w:t>
      </w:r>
      <w:r>
        <w:br/>
      </w:r>
      <w:r>
        <w:rPr>
          <w:rStyle w:val="VerbatimChar"/>
        </w:rPr>
        <w:t xml:space="preserve"> &lt;em&gt;</w:t>
      </w:r>
      <w:r>
        <w:br/>
      </w:r>
      <w:r>
        <w:rPr>
          <w:rStyle w:val="VerbatimChar"/>
        </w:rPr>
        <w:t xml:space="preserve">  community-collapse cost</w:t>
      </w:r>
      <w:r>
        <w:br/>
      </w:r>
      <w:r>
        <w:rPr>
          <w:rStyle w:val="VerbatimChar"/>
        </w:rPr>
        <w:t xml:space="preserve"> &lt;/em&gt;</w:t>
      </w:r>
      <w:r>
        <w:br/>
      </w:r>
      <w:r>
        <w:rPr>
          <w:rStyle w:val="VerbatimChar"/>
        </w:rPr>
        <w:t xml:space="preserve"> (population loss, school closures). Some correlation exists &amp;mdash; community collapse worsens health outcomes &amp;mdash; but at the level of Cᵢ admission, healthcare-cost-on-bodies and community-cost-on-population structure are distinct cost streams. PASSES with note: double-count audits at integration level needed.</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Black Lung health cost admits to RCV.</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2. The commute trade (Personal Stories Candidate #1): foregone-life-time cost</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1,800 hours/year of life-time consumed by 5-hour daily commute &amp;mdash; costs incurred by you (foregone language-learning, exercise, family time, professional development, leisure, sleep). Information-asymmetric self-severance: past-you signed the lease without knowing what future-you would pay.</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time-commons UNCONSUMED &amp;mdash; picture the 5 hours/day returned to you. Does the cost become visible? Yes &amp;mdash; the language you didn't learn, the relationships not built, the rest not taken, the skills not acquired all become visible against the un-consumed-commons counterfactual.</w:t>
      </w:r>
      <w:r>
        <w:br/>
      </w:r>
      <w:r>
        <w:rPr>
          <w:rStyle w:val="VerbatimChar"/>
        </w:rPr>
        <w:t xml:space="preserve"> &lt;strong&gt;</w:t>
      </w:r>
      <w:r>
        <w:br/>
      </w:r>
      <w:r>
        <w:rPr>
          <w:rStyle w:val="VerbatimChar"/>
        </w:rPr>
        <w:t xml:space="preserve">  Commons-Consumption Inversion.</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Time can be valued in dollars (hourly opportunity cost; revealed-preference for course tuition). 1,800 hours &amp;times; revealed-preference rate = dollar value. Dollars &amp;times; time-domain.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w:t>
      </w:r>
      <w:r>
        <w:br/>
      </w:r>
      <w:r>
        <w:rPr>
          <w:rStyle w:val="VerbatimChar"/>
        </w:rPr>
        <w:t xml:space="preserve"> &lt;/strong&gt;</w:t>
      </w:r>
      <w:r>
        <w:br/>
      </w:r>
      <w:r>
        <w:rPr>
          <w:rStyle w:val="VerbatimChar"/>
        </w:rPr>
        <w:t xml:space="preserve"> 1,800 hours &amp;times; duration-of-lease (1 year). Bounded.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Cost is independent of other extraction costs in the case (apartment manager's costs; landlord profits &amp;mdash; separate Cᵢ). The case is special because value-capturer = cost-bearer (past-you = future-you), but the gates still operate cleanly. Information-asymmetric self-severance is admissible &amp;mdash; the framework handles it.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Foregone-life-time cost admits to RCV.</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Methodology note:</w:t>
      </w:r>
      <w:r>
        <w:br/>
      </w:r>
      <w:r>
        <w:rPr>
          <w:rStyle w:val="VerbatimChar"/>
        </w:rPr>
        <w:t xml:space="preserve"> &lt;/strong&gt;</w:t>
      </w:r>
      <w:r>
        <w:br/>
      </w:r>
      <w:r>
        <w:rPr>
          <w:rStyle w:val="VerbatimChar"/>
        </w:rPr>
        <w:t xml:space="preserve"> This case demonstrates how CIT's Commons-Consumption sub-form admits opportunity-cost-on-time as a legitimate Cᵢ. Cases where extraction draws down a commons (rather than destroying it) require the Consumption sub-form; AIT's pre-CIT framing obscured this.</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3. Norwegian oil extraction: future-generation climate damage</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Cumulative atmospheric carbon damage from a barrel of Norwegian oil, borne by future generations &amp;mdash; sea-level rise; ecosystem disruption; agricultural loss; climate-disaster damages; biosphere-stability costs.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atmospheric-stability commons absent for future generations. Does the cost become visible? Yes &amp;mdash; climate damage is the canonical case of cost severed across generations.</w:t>
      </w:r>
      <w:r>
        <w:br/>
      </w:r>
      <w:r>
        <w:rPr>
          <w:rStyle w:val="VerbatimChar"/>
        </w:rPr>
        <w:t xml:space="preserve"> &lt;strong&gt;</w:t>
      </w:r>
      <w:r>
        <w:br/>
      </w:r>
      <w:r>
        <w:rPr>
          <w:rStyle w:val="VerbatimChar"/>
        </w:rPr>
        <w:t xml:space="preserve">  Commons-Absence Inversion across the temporal gap.</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Climate damage in dollars; integrate forward across centuries with discount-rate convention. Dollars &amp;times; time.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 &amp;mdash; this is where the gate actively works:</w:t>
      </w:r>
      <w:r>
        <w:br/>
      </w:r>
      <w:r>
        <w:rPr>
          <w:rStyle w:val="VerbatimChar"/>
        </w:rPr>
        <w:t xml:space="preserve"> &lt;/strong&gt;</w:t>
      </w:r>
      <w:r>
        <w:br/>
      </w:r>
      <w:r>
        <w:rPr>
          <w:rStyle w:val="VerbatimChar"/>
        </w:rPr>
        <w:t xml:space="preserve"> A naive integration of climate damage forward across centuries with a low discount rate</w:t>
      </w:r>
      <w:r>
        <w:br/>
      </w:r>
      <w:r>
        <w:rPr>
          <w:rStyle w:val="VerbatimChar"/>
        </w:rPr>
        <w:t xml:space="preserve"> &lt;strong&gt;</w:t>
      </w:r>
      <w:r>
        <w:br/>
      </w:r>
      <w:r>
        <w:rPr>
          <w:rStyle w:val="VerbatimChar"/>
        </w:rPr>
        <w:t xml:space="preserve">  doesn't converge</w:t>
      </w:r>
      <w:r>
        <w:br/>
      </w:r>
      <w:r>
        <w:rPr>
          <w:rStyle w:val="VerbatimChar"/>
        </w:rPr>
        <w:t xml:space="preserve"> &lt;/strong&gt;</w:t>
      </w:r>
      <w:r>
        <w:br/>
      </w:r>
      <w:r>
        <w:rPr>
          <w:rStyle w:val="VerbatimChar"/>
        </w:rPr>
        <w:t xml:space="preserve"> &amp;mdash; Stern Review's argument turns on declining-or-zero discount rate which makes the integral effectively infinite over very long horizons. The gate would FAIL without an explicit convention.</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Framework's treatment:</w:t>
      </w:r>
      <w:r>
        <w:br/>
      </w:r>
      <w:r>
        <w:rPr>
          <w:rStyle w:val="VerbatimChar"/>
        </w:rPr>
        <w:t xml:space="preserve"> &lt;/strong&gt;</w:t>
      </w:r>
      <w:r>
        <w:br/>
      </w:r>
      <w:r>
        <w:rPr>
          <w:rStyle w:val="VerbatimChar"/>
        </w:rPr>
        <w:t xml:space="preserve"> apply Nordhaus DICE / Stern Review discount-rate convention. With a sensible discount rate (Stern's ~1.4%, or hyperbolic-declining per Weitzman), the integral converges to a bounded value. The discount-rate choice is politically contested and dominates the SCC magnitude &amp;mdash; the QUALITATIVE result (CS &amp;gt; 0) is robust across discount rates above zero, but the MAGNITUDE varies by an order of magnitude.</w:t>
      </w:r>
      <w:r>
        <w:br/>
      </w:r>
      <w:r>
        <w:rPr>
          <w:rStyle w:val="VerbatimChar"/>
        </w:rPr>
        <w:t xml:space="preserve"> &lt;strong&gt;</w:t>
      </w:r>
      <w:r>
        <w:br/>
      </w:r>
      <w:r>
        <w:rPr>
          <w:rStyle w:val="VerbatimChar"/>
        </w:rPr>
        <w:t xml:space="preserve">  PASSES with explicit convention applied; magnitude depends on discount-rate choice; framework is honest about this.</w:t>
      </w:r>
      <w:r>
        <w:br/>
      </w:r>
      <w:r>
        <w:rPr>
          <w:rStyle w:val="VerbatimChar"/>
        </w:rPr>
        <w:t xml:space="preserve"> &lt;/strong&gt;</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Climate cost is independent of, e.g., oil-well-decommissioning cost (different physical process), local-pollution cost from refineries (different time scale), labor-market disruption cost from energy transition.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(with &amp;sect;3 boundedness condition explicitly stating discount-rate convention). Future-generation climate damage admits to RCV.</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Methodology note:</w:t>
      </w:r>
      <w:r>
        <w:br/>
      </w:r>
      <w:r>
        <w:rPr>
          <w:rStyle w:val="VerbatimChar"/>
        </w:rPr>
        <w:t xml:space="preserve"> &lt;/strong&gt;</w:t>
      </w:r>
      <w:r>
        <w:br/>
      </w:r>
      <w:r>
        <w:rPr>
          <w:rStyle w:val="VerbatimChar"/>
        </w:rPr>
        <w:t xml:space="preserve"> 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4. 2008 financial crisis: institutional-commons damage with multi-stream Independence-gate exercise</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 streams:</w:t>
      </w:r>
      <w:r>
        <w:br/>
      </w:r>
      <w:r>
        <w:rPr>
          <w:rStyle w:val="VerbatimChar"/>
        </w:rPr>
        <w:t xml:space="preserve"> &lt;/strong&gt;</w:t>
      </w:r>
      <w:r>
        <w:br/>
      </w:r>
      <w:r>
        <w:rPr>
          <w:rStyle w:val="VerbatimChar"/>
        </w:rPr>
        <w:t xml:space="preserve"> - 10M home foreclosures (foreclosure cost)</w:t>
      </w:r>
    </w:p>
    <w:p>
      <w:pPr>
        <w:pStyle w:val="Compact"/>
        <w:numPr>
          <w:ilvl w:val="0"/>
          <w:numId w:val="1001"/>
        </w:numPr>
      </w:pPr>
      <w:r>
        <w:t xml:space="preserve">Retirement savings destroyed for cohort approaching retirement (retirement cost)</w:t>
      </w:r>
    </w:p>
    <w:p>
      <w:pPr>
        <w:pStyle w:val="Compact"/>
        <w:numPr>
          <w:ilvl w:val="0"/>
          <w:numId w:val="1001"/>
        </w:numPr>
      </w:pPr>
      <w:r>
        <w:t xml:space="preserve">Small-business failures from credit contraction (business cost)</w:t>
      </w:r>
    </w:p>
    <w:p>
      <w:pPr>
        <w:pStyle w:val="Compact"/>
        <w:numPr>
          <w:ilvl w:val="0"/>
          <w:numId w:val="1001"/>
        </w:numPr>
      </w:pPr>
      <w:r>
        <w:t xml:space="preserve">State-budget shortfalls + austerity-driven public-service cuts (institutional cost)</w:t>
      </w:r>
    </w:p>
    <w:p>
      <w:pPr>
        <w:pStyle w:val="Compact"/>
        <w:numPr>
          <w:ilvl w:val="0"/>
          <w:numId w:val="1001"/>
        </w:numPr>
      </w:pPr>
      <w:r>
        <w:t xml:space="preserve">Mortgage-system trust damage (institutional commons)</w:t>
      </w:r>
    </w:p>
    <w:p>
      <w:pPr>
        <w:pStyle w:val="Compact"/>
        <w:numPr>
          <w:ilvl w:val="0"/>
          <w:numId w:val="1001"/>
        </w:numPr>
      </w:pPr>
      <w:r>
        <w:t xml:space="preserve">Wealth-destruction concentrated on Black + Hispanic households (kindred + cohesion + institutional commons)</w:t>
      </w:r>
    </w:p>
    <w:p>
      <w:pPr>
        <w:pStyle w:val="Compact"/>
        <w:numPr>
          <w:ilvl w:val="0"/>
          <w:numId w:val="1001"/>
        </w:numPr>
      </w:pPr>
      <w:r>
        <w:t xml:space="preserve">Long-term wage stagnation for the labor cohort that lost employment in 2008-2010 (labor-time cost)</w:t>
      </w:r>
    </w:p>
    <w:p>
      <w:pPr>
        <w:pStyle w:val="Compact"/>
        <w:numPr>
          <w:ilvl w:val="0"/>
          <w:numId w:val="1000"/>
        </w:numPr>
      </w:pPr>
      <w:r>
        <w:t xml:space="preserve"> </w:t>
      </w:r>
      <w:r>
        <w:t xml:space="preserve">Gate 1 — CIT:</w:t>
      </w:r>
      <w:r>
        <w:t xml:space="preserve"> </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t xml:space="preserve"> </w:t>
      </w:r>
      <w:r>
        <w:t xml:space="preserve">Commons-Absence across multiple commons categories simultaneously.</w:t>
      </w:r>
      <w:r>
        <w:t xml:space="preserve"> </w:t>
      </w:r>
      <w:r>
        <w:t xml:space="preserve"> </w:t>
      </w:r>
      <w:r>
        <w:t xml:space="preserve">PASSES per cost stream.</w:t>
      </w:r>
    </w:p>
    <w:p>
      <w:pPr>
        <w:pStyle w:val="Compact"/>
        <w:numPr>
          <w:ilvl w:val="0"/>
          <w:numId w:val="1000"/>
        </w:numPr>
      </w:pPr>
      <w:r>
        <w:t xml:space="preserve"> </w:t>
      </w:r>
      <w:r>
        <w:t xml:space="preserve">Gate 2 — Units Consistency:</w:t>
      </w:r>
      <w:r>
        <w:t xml:space="preserve"> </w:t>
      </w:r>
      <w:r>
        <w:t xml:space="preserve"> </w:t>
      </w:r>
      <w:r>
        <w:t xml:space="preserve">Each cost stream in dollars × time-domain. PASSES.</w:t>
      </w:r>
    </w:p>
    <w:p>
      <w:pPr>
        <w:pStyle w:val="Compact"/>
        <w:numPr>
          <w:ilvl w:val="0"/>
          <w:numId w:val="1000"/>
        </w:numPr>
      </w:pPr>
      <w:r>
        <w:t xml:space="preserve"> </w:t>
      </w:r>
      <w:r>
        <w:t xml:space="preserve">Gate 3 — Boundedness:</w:t>
      </w:r>
      <w:r>
        <w:t xml:space="preserve"> </w:t>
      </w:r>
      <w:r>
        <w:t xml:space="preserve"> </w:t>
      </w:r>
      <w:r>
        <w:t xml:space="preserve">Each cost stream is bounded — crisis period (2007-2010) + recovery period (2010-2020) + lingering effects (2020-present). Finite range. PASSES.</w:t>
      </w:r>
    </w:p>
    <w:p>
      <w:pPr>
        <w:pStyle w:val="Compact"/>
        <w:numPr>
          <w:ilvl w:val="0"/>
          <w:numId w:val="1000"/>
        </w:numPr>
      </w:pPr>
      <w:r>
        <w:t xml:space="preserve"> </w:t>
      </w:r>
      <w:r>
        <w:t xml:space="preserve">Gate 4 — Independence — THIS is where the 2008 case earns its complexity:</w:t>
      </w:r>
      <w:r>
        <w:t xml:space="preserve"> </w:t>
      </w:r>
    </w:p>
    <w:p>
      <w:pPr>
        <w:pStyle w:val="Compact"/>
        <w:numPr>
          <w:ilvl w:val="0"/>
          <w:numId w:val="1000"/>
        </w:numPr>
      </w:pPr>
      <w:r>
        <w:t xml:space="preserve">Cost streams are</w:t>
      </w:r>
      <w:r>
        <w:t xml:space="preserve"> </w:t>
      </w:r>
      <w:r>
        <w:t xml:space="preserve"> </w:t>
      </w:r>
      <w:r>
        <w:t xml:space="preserve">correlated</w:t>
      </w:r>
      <w:r>
        <w:t xml:space="preserve"> </w:t>
      </w:r>
      <w:r>
        <w:t xml:space="preserve"> </w:t>
      </w:r>
      <w:r>
        <w:t xml:space="preserve">through the crisis itself. The same household may have:</w:t>
      </w:r>
    </w:p>
    <w:p>
      <w:pPr>
        <w:pStyle w:val="Compact"/>
        <w:numPr>
          <w:ilvl w:val="0"/>
          <w:numId w:val="1001"/>
        </w:numPr>
      </w:pPr>
      <w:r>
        <w:t xml:space="preserve">Lost their home (foreclosure cost)</w:t>
      </w:r>
    </w:p>
    <w:p>
      <w:pPr>
        <w:pStyle w:val="Compact"/>
        <w:numPr>
          <w:ilvl w:val="0"/>
          <w:numId w:val="1001"/>
        </w:numPr>
      </w:pPr>
      <w:r>
        <w:t xml:space="preserve">Lost their retirement savings (retirement cost)</w:t>
      </w:r>
    </w:p>
    <w:p>
      <w:pPr>
        <w:pStyle w:val="Compact"/>
        <w:numPr>
          <w:ilvl w:val="0"/>
          <w:numId w:val="1001"/>
        </w:numPr>
      </w:pPr>
      <w:r>
        <w:t xml:space="preserve">Lost their job (labor-time cost)</w:t>
      </w:r>
    </w:p>
    <w:p>
      <w:pPr>
        <w:pStyle w:val="Compact"/>
        <w:numPr>
          <w:ilvl w:val="0"/>
          <w:numId w:val="1001"/>
        </w:numPr>
      </w:pPr>
      <w:r>
        <w:t xml:space="preserve">Watched institutional trust collapse (institutional commons)</w:t>
      </w:r>
    </w:p>
    <w:p>
      <w:pPr>
        <w:pStyle w:val="Compact"/>
        <w:numPr>
          <w:ilvl w:val="0"/>
          <w:numId w:val="1000"/>
        </w:numPr>
      </w:pPr>
      <w:r>
        <w:t xml:space="preserve">Admitting all four as separate Cᵢ would</w:t>
      </w:r>
      <w:r>
        <w:t xml:space="preserve"> </w:t>
      </w:r>
      <w:r>
        <w:t xml:space="preserve"> </w:t>
      </w:r>
      <w:r>
        <w:t xml:space="preserve">double-count</w:t>
      </w:r>
      <w:r>
        <w:t xml:space="preserve"> </w:t>
      </w:r>
      <w:r>
        <w:t xml:space="preserve"> </w:t>
      </w:r>
      <w:r>
        <w:t xml:space="preserve">— the household experiences a single integrated extraction event; counting each stream as fully independent overstates total severance.</w:t>
      </w:r>
    </w:p>
    <w:p>
      <w:pPr>
        <w:pStyle w:val="Compact"/>
        <w:numPr>
          <w:ilvl w:val="0"/>
          <w:numId w:val="1000"/>
        </w:numPr>
      </w:pPr>
      <w:r>
        <w:t xml:space="preserve"> </w:t>
      </w:r>
      <w:r>
        <w:t xml:space="preserve">The Independence gate forces careful decomposition.</w:t>
      </w:r>
      <w:r>
        <w:t xml:space="preserve"> </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Compact"/>
        <w:numPr>
          <w:ilvl w:val="0"/>
          <w:numId w:val="1000"/>
        </w:numPr>
      </w:pPr>
      <w:r>
        <w:t xml:space="preserve"> </w:t>
      </w:r>
      <w:r>
        <w:t xml:space="preserve">Operationally:</w:t>
      </w:r>
      <w:r>
        <w:t xml:space="preserve"> </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Compact"/>
        <w:numPr>
          <w:ilvl w:val="0"/>
          <w:numId w:val="1000"/>
        </w:numPr>
      </w:pPr>
      <w:r>
        <w:t xml:space="preserve"> </w:t>
      </w:r>
      <w:r>
        <w:t xml:space="preserve">PASSES with non-trivial Independence-gate work required.</w:t>
      </w:r>
      <w:r>
        <w:t xml:space="preserve"> </w:t>
      </w:r>
    </w:p>
    <w:p>
      <w:pPr>
        <w:pStyle w:val="Compact"/>
        <w:numPr>
          <w:ilvl w:val="0"/>
          <w:numId w:val="1000"/>
        </w:numPr>
      </w:pPr>
      <w:r>
        <w:t xml:space="preserve"> </w:t>
      </w:r>
      <w:r>
        <w:t xml:space="preserve">Methodology note:</w:t>
      </w:r>
      <w:r>
        <w:t xml:space="preserve"> </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pPr>
        <w:pStyle w:val="Compact"/>
        <w:numPr>
          <w:ilvl w:val="0"/>
          <w:numId w:val="1000"/>
        </w:numPr>
      </w:pPr>
      <w:r>
        <w:t xml:space="preserve">Walkthrough 5. The asteroid miner (Ch 7 Mars habitat / Europa thought-experiment): multi-commons absent simultaneously</w:t>
      </w:r>
    </w:p>
    <w:p>
      <w:pPr>
        <w:pStyle w:val="Compact"/>
        <w:numPr>
          <w:ilvl w:val="0"/>
          <w:numId w:val="1000"/>
        </w:numPr>
      </w:pPr>
      <w:r>
        <w:t xml:space="preserve"> </w:t>
      </w:r>
      <w:r>
        <w:t xml:space="preserve">Setting:</w:t>
      </w:r>
      <w:r>
        <w:t xml:space="preserve"> </w:t>
      </w:r>
      <w:r>
        <w:t xml:space="preserve"> </w:t>
      </w:r>
      <w:r>
        <w:t xml:space="preserve">Hypothetical extraction operation in space — asteroid mining, Mars habitat resource extraction, or hypothetical Europa-ice mining. Used in Ch 7 as the framework’s universality test (</w:t>
      </w:r>
      <w:r>
        <w:t xml:space="preserve">“if it works on Mars, it works on Earth”</w:t>
      </w:r>
      <w:r>
        <w:t xml:space="preserve">).</w:t>
      </w:r>
    </w:p>
    <w:p>
      <w:pPr>
        <w:pStyle w:val="Compact"/>
        <w:numPr>
          <w:ilvl w:val="0"/>
          <w:numId w:val="1000"/>
        </w:numPr>
      </w:pPr>
      <w:r>
        <w:t xml:space="preserve"> </w:t>
      </w:r>
      <w:r>
        <w:t xml:space="preserve">Candidate cost streams:</w:t>
      </w:r>
      <w:r>
        <w:t xml:space="preserve"> </w:t>
      </w:r>
      <w:r>
        <w:t xml:space="preserve"> </w:t>
      </w:r>
      <w:r>
        <w:t xml:space="preserve">- Life-support infrastructure cost (oxygen, food, water production replacement)</w:t>
      </w:r>
    </w:p>
    <w:p>
      <w:pPr>
        <w:pStyle w:val="Compact"/>
        <w:numPr>
          <w:ilvl w:val="0"/>
          <w:numId w:val="1001"/>
        </w:numPr>
      </w:pPr>
      <w:r>
        <w:t xml:space="preserve">Communication-delay cost (relativistic + physical-distance limits on Earth-contact)</w:t>
      </w:r>
    </w:p>
    <w:p>
      <w:pPr>
        <w:pStyle w:val="Compact"/>
        <w:numPr>
          <w:ilvl w:val="0"/>
          <w:numId w:val="1001"/>
        </w:numPr>
      </w:pPr>
      <w:r>
        <w:t xml:space="preserve">Return-trip cost (spatial commons consumed; one-way journey foreclosed)</w:t>
      </w:r>
    </w:p>
    <w:p>
      <w:pPr>
        <w:pStyle w:val="Compact"/>
        <w:numPr>
          <w:ilvl w:val="0"/>
          <w:numId w:val="1001"/>
        </w:numPr>
      </w:pPr>
      <w:r>
        <w:t xml:space="preserve">Psychological-isolation cost (autonomy + kindred commons consumed)</w:t>
      </w:r>
    </w:p>
    <w:p>
      <w:pPr>
        <w:pStyle w:val="Compact"/>
        <w:numPr>
          <w:ilvl w:val="0"/>
          <w:numId w:val="1001"/>
        </w:numPr>
      </w:pPr>
      <w:r>
        <w:t xml:space="preserve">Medical / specialist-care cost (epistemic commons absent at distance)</w:t>
      </w:r>
    </w:p>
    <w:p>
      <w:pPr>
        <w:pStyle w:val="Compact"/>
        <w:numPr>
          <w:ilvl w:val="0"/>
          <w:numId w:val="1001"/>
        </w:numPr>
      </w:pPr>
      <w:r>
        <w:t xml:space="preserve">Habitat-ecosystem cost (no Earth biosphere; closed-loop replacement)</w:t>
      </w:r>
    </w:p>
    <w:p>
      <w:pPr>
        <w:pStyle w:val="Compact"/>
        <w:numPr>
          <w:ilvl w:val="0"/>
          <w:numId w:val="1000"/>
        </w:numPr>
      </w:pPr>
      <w:r>
        <w:t xml:space="preserve"> </w:t>
      </w:r>
      <w:r>
        <w:t xml:space="preserve">Gate 1 — CIT:</w:t>
      </w:r>
      <w:r>
        <w:t xml:space="preserve"> </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t xml:space="preserve"> </w:t>
      </w:r>
      <w:r>
        <w:t xml:space="preserve">Commons-Absence Inversion at maximum.</w:t>
      </w:r>
      <w:r>
        <w:t xml:space="preserve"> </w:t>
      </w:r>
      <w:r>
        <w:t xml:space="preserve"> </w:t>
      </w:r>
      <w:r>
        <w:t xml:space="preserve">PASSES — and powerfully, because the case foregrounds what we don’t notice on Earth (we don’t price oxygen because the atmospheric commons is so abundant).</w:t>
      </w:r>
    </w:p>
    <w:p>
      <w:pPr>
        <w:pStyle w:val="Compact"/>
        <w:numPr>
          <w:ilvl w:val="0"/>
          <w:numId w:val="1000"/>
        </w:numPr>
      </w:pPr>
      <w:r>
        <w:t xml:space="preserve"> </w:t>
      </w:r>
      <w:r>
        <w:t xml:space="preserve">Gate 2 — Units Consistency:</w:t>
      </w:r>
      <w:r>
        <w:t xml:space="preserve"> </w:t>
      </w:r>
      <w:r>
        <w:t xml:space="preserve"> </w:t>
      </w:r>
      <w:r>
        <w:t xml:space="preserve">Hypothetical pricing applied (cost-per-pound-to-orbit; replacement-cost of Earth ecosystems; etc.). Dollars × time-domain. PASSES with hypothetical inputs.</w:t>
      </w:r>
    </w:p>
    <w:p>
      <w:pPr>
        <w:pStyle w:val="Compact"/>
        <w:numPr>
          <w:ilvl w:val="0"/>
          <w:numId w:val="1000"/>
        </w:numPr>
      </w:pPr>
      <w:r>
        <w:t xml:space="preserve"> </w:t>
      </w:r>
      <w:r>
        <w:t xml:space="preserve">Gate 3 — Boundedness:</w:t>
      </w:r>
      <w:r>
        <w:t xml:space="preserve"> </w:t>
      </w:r>
      <w:r>
        <w:t xml:space="preserve"> </w:t>
      </w:r>
      <w:r>
        <w:t xml:space="preserve">Bounded over the colony lifetime + return-mission window + post-colony recovery period (if any). Finite. PASSES.</w:t>
      </w:r>
    </w:p>
    <w:p>
      <w:pPr>
        <w:pStyle w:val="Compact"/>
        <w:numPr>
          <w:ilvl w:val="0"/>
          <w:numId w:val="1000"/>
        </w:numPr>
      </w:pPr>
      <w:r>
        <w:t xml:space="preserve"> </w:t>
      </w:r>
      <w:r>
        <w:t xml:space="preserve">Gate 4 — Independence:</w:t>
      </w:r>
      <w:r>
        <w:t xml:space="preserve"> </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Compact"/>
        <w:numPr>
          <w:ilvl w:val="0"/>
          <w:numId w:val="1000"/>
        </w:numPr>
      </w:pPr>
      <w:r>
        <w:t xml:space="preserve"> </w:t>
      </w:r>
      <w:r>
        <w:t xml:space="preserve">Verdict:</w:t>
      </w:r>
      <w:r>
        <w:t xml:space="preserve"> </w:t>
      </w:r>
      <w:r>
        <w:t xml:space="preserve"> </w:t>
      </w:r>
      <w:r>
        <w:t xml:space="preserve">All four gates PASS. The asteroid-miner case admits multiple Cᵢ across multiple commons categories.</w:t>
      </w:r>
    </w:p>
    <w:p>
      <w:pPr>
        <w:pStyle w:val="Compact"/>
        <w:numPr>
          <w:ilvl w:val="0"/>
          <w:numId w:val="1000"/>
        </w:numPr>
      </w:pPr>
      <w:r>
        <w:t xml:space="preserve"> </w:t>
      </w:r>
      <w:r>
        <w:t xml:space="preserve">Methodology note (universality test function):</w:t>
      </w:r>
      <w:r>
        <w:t xml:space="preserve"> </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t xml:space="preserve"> </w:t>
      </w:r>
      <w:r>
        <w:t xml:space="preserve">The universality claim becomes legible:</w:t>
      </w:r>
      <w:r>
        <w:t xml:space="preserve"> </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pPr>
        <w:pStyle w:val="Compact"/>
        <w:numPr>
          <w:ilvl w:val="0"/>
          <w:numId w:val="1000"/>
        </w:numPr>
      </w:pPr>
      <w:r>
        <w:t xml:space="preserve">Walkthrough 6. Healthcare end-of-life (Butler pacemaker case): Commons-Consumption applied to medical-commons</w:t>
      </w:r>
    </w:p>
    <w:p>
      <w:pPr>
        <w:pStyle w:val="Compact"/>
        <w:numPr>
          <w:ilvl w:val="0"/>
          <w:numId w:val="1000"/>
        </w:numPr>
      </w:pPr>
      <w:r>
        <w:t xml:space="preserve"> </w:t>
      </w:r>
      <w:r>
        <w:t xml:space="preserve">Setting:</w:t>
      </w:r>
      <w:r>
        <w:t xml:space="preserve"> </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Compact"/>
        <w:numPr>
          <w:ilvl w:val="0"/>
          <w:numId w:val="1000"/>
        </w:numPr>
      </w:pPr>
      <w:r>
        <w:t xml:space="preserve"> </w:t>
      </w:r>
      <w:r>
        <w:t xml:space="preserve">Candidate cost streams:</w:t>
      </w:r>
      <w:r>
        <w:t xml:space="preserve"> </w:t>
      </w:r>
      <w:r>
        <w:t xml:space="preserve"> </w:t>
      </w:r>
      <w:r>
        <w:t xml:space="preserve">- Patient’s prolonged-cognitive-decline cost (autonomy + kindred + dignity loss)</w:t>
      </w:r>
    </w:p>
    <w:p>
      <w:pPr>
        <w:pStyle w:val="Compact"/>
        <w:numPr>
          <w:ilvl w:val="0"/>
          <w:numId w:val="1001"/>
        </w:numPr>
      </w:pPr>
      <w:r>
        <w:t xml:space="preserve">Family caregiver labor-time cost (Butler’s mother’s 80 hr/week × years)</w:t>
      </w:r>
    </w:p>
    <w:p>
      <w:pPr>
        <w:pStyle w:val="Compact"/>
        <w:numPr>
          <w:ilvl w:val="0"/>
          <w:numId w:val="1001"/>
        </w:numPr>
      </w:pPr>
      <w:r>
        <w:t xml:space="preserve">Family-financial-resource depletion cost</w:t>
      </w:r>
    </w:p>
    <w:p>
      <w:pPr>
        <w:pStyle w:val="Compact"/>
        <w:numPr>
          <w:ilvl w:val="0"/>
          <w:numId w:val="1001"/>
        </w:numPr>
      </w:pPr>
      <w:r>
        <w:t xml:space="preserve">Lost end-of-life-quality cost (kindred + cohesion + autonomy commons)</w:t>
      </w:r>
    </w:p>
    <w:p>
      <w:pPr>
        <w:pStyle w:val="Compact"/>
        <w:numPr>
          <w:ilvl w:val="0"/>
          <w:numId w:val="1001"/>
        </w:numPr>
      </w:pPr>
      <w:r>
        <w:t xml:space="preserve">Medicare/Medicaid system-distortion cost (institutional commons)</w:t>
      </w:r>
    </w:p>
    <w:p>
      <w:pPr>
        <w:pStyle w:val="Compact"/>
        <w:numPr>
          <w:ilvl w:val="0"/>
          <w:numId w:val="1001"/>
        </w:numPr>
      </w:pPr>
      <w:r>
        <w:t xml:space="preserve">Foregone-conversation cost (epistemic commons — informed consent about end-of-life options)</w:t>
      </w:r>
    </w:p>
    <w:p>
      <w:pPr>
        <w:pStyle w:val="Compact"/>
        <w:numPr>
          <w:ilvl w:val="0"/>
          <w:numId w:val="1000"/>
        </w:numPr>
      </w:pPr>
      <w:r>
        <w:t xml:space="preserve"> </w:t>
      </w:r>
      <w:r>
        <w:t xml:space="preserve">Gate 1 — CIT:</w:t>
      </w:r>
      <w:r>
        <w:t xml:space="preserve"> </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t xml:space="preserve"> </w:t>
      </w:r>
      <w:r>
        <w:t xml:space="preserve">Commons-Consumption Inversion</w:t>
      </w:r>
      <w:r>
        <w:t xml:space="preserve"> </w:t>
      </w:r>
      <w:r>
        <w:t xml:space="preserve"> </w:t>
      </w:r>
      <w:r>
        <w:t xml:space="preserve">(the medical commons exists in society but is being drawn down by the extraction architecture). PASSES.</w:t>
      </w:r>
    </w:p>
    <w:p>
      <w:pPr>
        <w:pStyle w:val="Compact"/>
        <w:numPr>
          <w:ilvl w:val="0"/>
          <w:numId w:val="1000"/>
        </w:numPr>
      </w:pPr>
      <w:r>
        <w:t xml:space="preserve">This is a distinctive case — it demonstrates Commons-Consumption Inversion in a non-time-commons context. The medical commons (informed end-of-life choices + family presence + dignified process) was</w:t>
      </w:r>
      <w:r>
        <w:t xml:space="preserve"> </w:t>
      </w:r>
      <w:r>
        <w:t xml:space="preserve"> </w:t>
      </w:r>
      <w:r>
        <w:t xml:space="preserve">available in principle</w:t>
      </w:r>
      <w:r>
        <w:t xml:space="preserve"> </w:t>
      </w:r>
      <w:r>
        <w:t xml:space="preserve"> </w:t>
      </w:r>
      <w:r>
        <w:t xml:space="preserve">but actively</w:t>
      </w:r>
      <w:r>
        <w:t xml:space="preserve"> </w:t>
      </w:r>
      <w:r>
        <w:t xml:space="preserve"> </w:t>
      </w:r>
      <w:r>
        <w:t xml:space="preserve">consumed by extraction</w:t>
      </w:r>
      <w:r>
        <w:t xml:space="preserve"> </w:t>
      </w:r>
      <w:r>
        <w:t xml:space="preserve"> </w:t>
      </w:r>
      <w:r>
        <w:t xml:space="preserve">. Different from McDowell (Commons-Absence — habitability destroyed); different from Norway oil (Commons-Absence — atmospheric stability damaged). Here, the commons existed and was drawn down, not destroyed.</w:t>
      </w:r>
    </w:p>
    <w:p>
      <w:pPr>
        <w:pStyle w:val="Compact"/>
        <w:numPr>
          <w:ilvl w:val="0"/>
          <w:numId w:val="1000"/>
        </w:numPr>
      </w:pPr>
      <w:r>
        <w:t xml:space="preserve"> </w:t>
      </w:r>
      <w:r>
        <w:t xml:space="preserve">Gate 2 — Units Consistency:</w:t>
      </w:r>
      <w:r>
        <w:t xml:space="preserve"> </w:t>
      </w:r>
      <w:r>
        <w:t xml:space="preserve"> </w:t>
      </w:r>
      <w:r>
        <w:t xml:space="preserve">Healthcare costs in dollars × time. Caregiver-time can be valued (replacement-cost of professional care). Family-financial-depletion already in dollars. PASSES.</w:t>
      </w:r>
    </w:p>
    <w:p>
      <w:pPr>
        <w:pStyle w:val="Compact"/>
        <w:numPr>
          <w:ilvl w:val="0"/>
          <w:numId w:val="1000"/>
        </w:numPr>
      </w:pPr>
      <w:r>
        <w:t xml:space="preserve"> </w:t>
      </w:r>
      <w:r>
        <w:t xml:space="preserve">Gate 3 — Boundedness:</w:t>
      </w:r>
      <w:r>
        <w:t xml:space="preserve"> </w:t>
      </w:r>
      <w:r>
        <w:t xml:space="preserve"> </w:t>
      </w:r>
      <w:r>
        <w:t xml:space="preserve">Bounded over patient lifetime (with prolongation) + family caregiving period + financial-resource depletion period. PASSES.</w:t>
      </w:r>
    </w:p>
    <w:p>
      <w:pPr>
        <w:pStyle w:val="Compact"/>
        <w:numPr>
          <w:ilvl w:val="0"/>
          <w:numId w:val="1000"/>
        </w:numPr>
      </w:pPr>
      <w:r>
        <w:t xml:space="preserve"> </w:t>
      </w:r>
      <w:r>
        <w:t xml:space="preserve">Gate 4 — Independence:</w:t>
      </w:r>
      <w:r>
        <w:t xml:space="preserve"> </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Compact"/>
        <w:numPr>
          <w:ilvl w:val="0"/>
          <w:numId w:val="1000"/>
        </w:numPr>
      </w:pPr>
      <w:r>
        <w:t xml:space="preserve"> </w:t>
      </w:r>
      <w:r>
        <w:t xml:space="preserve">Verdict:</w:t>
      </w:r>
      <w:r>
        <w:t xml:space="preserve"> </w:t>
      </w:r>
      <w:r>
        <w:t xml:space="preserve"> </w:t>
      </w:r>
      <w:r>
        <w:t xml:space="preserve">All four gates PASS. End-of-life cost admits to RCV.</w:t>
      </w:r>
    </w:p>
    <w:p>
      <w:pPr>
        <w:pStyle w:val="Compact"/>
        <w:numPr>
          <w:ilvl w:val="0"/>
          <w:numId w:val="1000"/>
        </w:numPr>
      </w:pPr>
      <w:r>
        <w:t xml:space="preserve"> </w:t>
      </w:r>
      <w:r>
        <w:t xml:space="preserve">Methodology note:</w:t>
      </w:r>
      <w:r>
        <w:t xml:space="preserve"> </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pPr>
        <w:pStyle w:val="Compact"/>
        <w:numPr>
          <w:ilvl w:val="0"/>
          <w:numId w:val="1000"/>
        </w:numPr>
      </w:pPr>
      <w:r>
        <w:t xml:space="preserve">Walkthrough 7. Opioid Appalachia (Sackler / Purdue Pharma): documented extraction with multi-commons damage + both CIT sub-forms simultaneously</w:t>
      </w:r>
    </w:p>
    <w:p>
      <w:pPr>
        <w:pStyle w:val="Compact"/>
        <w:numPr>
          <w:ilvl w:val="0"/>
          <w:numId w:val="1000"/>
        </w:numPr>
      </w:pPr>
      <w:r>
        <w:t xml:space="preserve"> </w:t>
      </w:r>
      <w:r>
        <w:t xml:space="preserve">Setting:</w:t>
      </w:r>
      <w:r>
        <w:t xml:space="preserve"> </w:t>
      </w:r>
      <w:r>
        <w:t xml:space="preserve"> </w:t>
      </w:r>
      <w:r>
        <w:t xml:space="preserve">Per Patrick Radden Keefe’s</w:t>
      </w:r>
      <w:r>
        <w:t xml:space="preserve"> </w:t>
      </w:r>
      <w:r>
        <w:t xml:space="preserve"> </w:t>
      </w:r>
      <w:r>
        <w:t xml:space="preserve">Empire of Pain</w:t>
      </w:r>
      <w:r>
        <w:t xml:space="preserve"> </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Compact"/>
        <w:numPr>
          <w:ilvl w:val="0"/>
          <w:numId w:val="1000"/>
        </w:numPr>
      </w:pPr>
      <w:r>
        <w:t xml:space="preserve"> </w:t>
      </w:r>
      <w:r>
        <w:t xml:space="preserve">Candidate cost streams:</w:t>
      </w:r>
      <w:r>
        <w:t xml:space="preserve"> </w:t>
      </w:r>
      <w:r>
        <w:t xml:space="preserve"> </w:t>
      </w:r>
      <w:r>
        <w:t xml:space="preserve">- Patient deaths + addictive-harm cost (autonomy + epistemic + kindred commons)</w:t>
      </w:r>
    </w:p>
    <w:p>
      <w:pPr>
        <w:pStyle w:val="Compact"/>
        <w:numPr>
          <w:ilvl w:val="0"/>
          <w:numId w:val="1001"/>
        </w:numPr>
      </w:pPr>
      <w:r>
        <w:t xml:space="preserve">Family destruction cost (kindred + cohesion commons)</w:t>
      </w:r>
    </w:p>
    <w:p>
      <w:pPr>
        <w:pStyle w:val="Compact"/>
        <w:numPr>
          <w:ilvl w:val="0"/>
          <w:numId w:val="1001"/>
        </w:numPr>
      </w:pPr>
      <w:r>
        <w:t xml:space="preserve">Community-collapse cost (cohesion + institutional commons)</w:t>
      </w:r>
    </w:p>
    <w:p>
      <w:pPr>
        <w:pStyle w:val="Compact"/>
        <w:numPr>
          <w:ilvl w:val="0"/>
          <w:numId w:val="1001"/>
        </w:numPr>
      </w:pPr>
      <w:r>
        <w:t xml:space="preserve">Healthcare-system overload cost (institutional commons)</w:t>
      </w:r>
    </w:p>
    <w:p>
      <w:pPr>
        <w:pStyle w:val="Compact"/>
        <w:numPr>
          <w:ilvl w:val="0"/>
          <w:numId w:val="1001"/>
        </w:numPr>
      </w:pPr>
      <w:r>
        <w:t xml:space="preserve">Multi-generational trauma cost (intergenerational + temporal commons)</w:t>
      </w:r>
    </w:p>
    <w:p>
      <w:pPr>
        <w:pStyle w:val="Compact"/>
        <w:numPr>
          <w:ilvl w:val="0"/>
          <w:numId w:val="1001"/>
        </w:numPr>
      </w:pPr>
      <w:r>
        <w:t xml:space="preserve">Foster-care-system overload cost (institutional + kindred commons)</w:t>
      </w:r>
    </w:p>
    <w:p>
      <w:pPr>
        <w:pStyle w:val="Compact"/>
        <w:numPr>
          <w:ilvl w:val="0"/>
          <w:numId w:val="1001"/>
        </w:numPr>
      </w:pPr>
      <w:r>
        <w:t xml:space="preserve">Lost-life-trajectory cost (autonomy + temporal commons consumed by addiction)</w:t>
      </w:r>
    </w:p>
    <w:p>
      <w:pPr>
        <w:pStyle w:val="Compact"/>
        <w:numPr>
          <w:ilvl w:val="0"/>
          <w:numId w:val="1000"/>
        </w:numPr>
      </w:pPr>
      <w:r>
        <w:t xml:space="preserve"> </w:t>
      </w:r>
      <w:r>
        <w:t xml:space="preserve">Gate 1 — CIT — both sub-forms simultaneously:</w:t>
      </w:r>
      <w:r>
        <w:t xml:space="preserve"> </w:t>
      </w:r>
    </w:p>
    <w:p>
      <w:pPr>
        <w:pStyle w:val="Compact"/>
        <w:numPr>
          <w:ilvl w:val="0"/>
          <w:numId w:val="1000"/>
        </w:numPr>
      </w:pPr>
      <w:r>
        <w:t xml:space="preserve"> </w:t>
      </w:r>
      <w:r>
        <w:t xml:space="preserve">Commons-Absence sub-form:</w:t>
      </w:r>
      <w:r>
        <w:t xml:space="preserve"> </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t xml:space="preserve"> </w:t>
      </w:r>
      <w:r>
        <w:t xml:space="preserve">Multiple commons in Absence Inversion.</w:t>
      </w:r>
      <w:r>
        <w:t xml:space="preserve"> </w:t>
      </w:r>
    </w:p>
    <w:p>
      <w:pPr>
        <w:pStyle w:val="Compact"/>
        <w:numPr>
          <w:ilvl w:val="0"/>
          <w:numId w:val="1000"/>
        </w:numPr>
      </w:pPr>
      <w:r>
        <w:t xml:space="preserve"> </w:t>
      </w:r>
      <w:r>
        <w:t xml:space="preserve">Commons-Consumption sub-form:</w:t>
      </w:r>
      <w:r>
        <w:t xml:space="preserve"> </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t xml:space="preserve"> </w:t>
      </w:r>
      <w:r>
        <w:t xml:space="preserve">Commons-Consumption Inversion at individual scale operating simultaneously with Commons-Absence at community scale.</w:t>
      </w:r>
      <w:r>
        <w:t xml:space="preserve"> </w:t>
      </w:r>
    </w:p>
    <w:p>
      <w:pPr>
        <w:pStyle w:val="Compact"/>
        <w:numPr>
          <w:ilvl w:val="0"/>
          <w:numId w:val="1000"/>
        </w:numPr>
      </w:pPr>
      <w:r>
        <w:t xml:space="preserve"> </w:t>
      </w:r>
      <w:r>
        <w:t xml:space="preserve">This case is the framework’s clearest example of both sub-forms operating simultaneously</w:t>
      </w:r>
      <w:r>
        <w:t xml:space="preserve"> </w:t>
      </w:r>
      <w:r>
        <w:t xml:space="preserve"> </w:t>
      </w:r>
      <w:r>
        <w:t xml:space="preserve">— the pharmaceutical extraction destroyed community-level commons (Absence) while consuming individual-level life-time commons (Consumption). PASSES at full strength.</w:t>
      </w:r>
    </w:p>
    <w:p>
      <w:pPr>
        <w:pStyle w:val="Compact"/>
        <w:numPr>
          <w:ilvl w:val="0"/>
          <w:numId w:val="1000"/>
        </w:numPr>
      </w:pPr>
      <w:r>
        <w:t xml:space="preserve"> </w:t>
      </w:r>
      <w:r>
        <w:t xml:space="preserve">Gate 2 — Units Consistency:</w:t>
      </w:r>
      <w:r>
        <w:t xml:space="preserve"> </w:t>
      </w:r>
      <w:r>
        <w:t xml:space="preserve"> </w:t>
      </w:r>
      <w:r>
        <w:t xml:space="preserve">Statistical-life-value × excess deaths; addiction-treatment costs; foster-care system costs; healthcare-system overload costs. All in dollars × time-domain. PASSES.</w:t>
      </w:r>
    </w:p>
    <w:p>
      <w:pPr>
        <w:pStyle w:val="Compact"/>
        <w:numPr>
          <w:ilvl w:val="0"/>
          <w:numId w:val="1000"/>
        </w:numPr>
      </w:pPr>
      <w:r>
        <w:t xml:space="preserve"> </w:t>
      </w:r>
      <w:r>
        <w:t xml:space="preserve">Gate 3 — Boundedness:</w:t>
      </w:r>
      <w:r>
        <w:t xml:space="preserve"> </w:t>
      </w:r>
      <w:r>
        <w:t xml:space="preserve"> </w:t>
      </w:r>
      <w:r>
        <w:t xml:space="preserve">Bounded over the crisis period (1996-present) + community-recovery period (extending; potentially decades). Finite. PASSES.</w:t>
      </w:r>
    </w:p>
    <w:p>
      <w:pPr>
        <w:pStyle w:val="Compact"/>
        <w:numPr>
          <w:ilvl w:val="0"/>
          <w:numId w:val="1000"/>
        </w:numPr>
      </w:pPr>
      <w:r>
        <w:t xml:space="preserve"> </w:t>
      </w:r>
      <w:r>
        <w:t xml:space="preserve">Gate 4 — Independence:</w:t>
      </w:r>
      <w:r>
        <w:t xml:space="preserve"> </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Compact"/>
        <w:numPr>
          <w:ilvl w:val="0"/>
          <w:numId w:val="1000"/>
        </w:numPr>
      </w:pPr>
      <w:r>
        <w:t xml:space="preserve"> </w:t>
      </w:r>
      <w:r>
        <w:t xml:space="preserve">Verdict:</w:t>
      </w:r>
      <w:r>
        <w:t xml:space="preserve"> </w:t>
      </w:r>
      <w:r>
        <w:t xml:space="preserve"> </w:t>
      </w:r>
      <w:r>
        <w:t xml:space="preserve">All four gates PASS. Opioid-extraction-Appalachia cost streams admit to RCV.</w:t>
      </w:r>
    </w:p>
    <w:p>
      <w:pPr>
        <w:pStyle w:val="Compact"/>
        <w:numPr>
          <w:ilvl w:val="0"/>
          <w:numId w:val="1000"/>
        </w:numPr>
      </w:pPr>
      <w:r>
        <w:t xml:space="preserve"> </w:t>
      </w:r>
      <w:r>
        <w:t xml:space="preserve">Methodology note (empirical validation of framework):</w:t>
      </w:r>
      <w:r>
        <w:t xml:space="preserve"> </w:t>
      </w:r>
      <w:r>
        <w:t xml:space="preserve"> </w:t>
      </w:r>
      <w:r>
        <w:t xml:space="preserve">This case is the framework’s strongest empirical validation. The diagnostic the framework makes (extraction operating across multiple commons, severing cost from value extraction) was</w:t>
      </w:r>
      <w:r>
        <w:t xml:space="preserve"> </w:t>
      </w:r>
      <w:r>
        <w:t xml:space="preserve"> </w:t>
      </w:r>
      <w:r>
        <w:t xml:space="preserve">already empirically validated by the public litigation record</w:t>
      </w:r>
      <w:r>
        <w:t xml:space="preserve"> </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Compact"/>
        <w:numPr>
          <w:ilvl w:val="0"/>
          <w:numId w:val="1000"/>
        </w:numPr>
      </w:pPr>
      <w:r>
        <w:t xml:space="preserve"> </w:t>
      </w:r>
      <w:r>
        <w:t xml:space="preserve">Cross-reference:</w:t>
      </w:r>
      <w:r>
        <w:t xml:space="preserve"> </w:t>
      </w:r>
      <w:r>
        <w:t xml:space="preserve"> </w:t>
      </w:r>
      <w:r>
        <w:t xml:space="preserve">This case is the framework’s most-direct refutation of Vance’s</w:t>
      </w:r>
      <w:r>
        <w:t xml:space="preserve"> </w:t>
      </w:r>
      <w:r>
        <w:t xml:space="preserve"> </w:t>
      </w:r>
      <w:r>
        <w:t xml:space="preserve">Hillbilly Elegy</w:t>
      </w:r>
      <w:r>
        <w:t xml:space="preserve"> </w:t>
      </w:r>
      <w:r>
        <w:t xml:space="preserve"> </w:t>
      </w:r>
      <w:r>
        <w:t xml:space="preserve">cultural-pathology framing. The framework demonstrates, via public litigation record, that the</w:t>
      </w:r>
      <w:r>
        <w:t xml:space="preserve"> </w:t>
      </w:r>
      <w:r>
        <w:t xml:space="preserve">“cultural pathology”</w:t>
      </w:r>
      <w:r>
        <w:t xml:space="preserve"> </w:t>
      </w:r>
      <w:r>
        <w:t xml:space="preserve">Vance describes was in significant part a deliberately manufactured pharmaceutical market. Per bibliography §12.</w:t>
      </w:r>
    </w:p>
    <w:p>
      <w:pPr>
        <w:pStyle w:val="Compact"/>
        <w:numPr>
          <w:ilvl w:val="0"/>
          <w:numId w:val="1000"/>
        </w:numPr>
      </w:pPr>
      <w:r>
        <w:t xml:space="preserve">Cross-cutting findings across all 7 walkthroughs</w:t>
      </w:r>
    </w:p>
    <w:p>
      <w:pPr>
        <w:pStyle w:val="Compact"/>
        <w:numPr>
          <w:ilvl w:val="0"/>
          <w:numId w:val="1000"/>
        </w:numPr>
      </w:pPr>
      <w:r>
        <w:t xml:space="preserve">What each gate does in operational practice</w:t>
      </w:r>
    </w:p>
    <w:p>
      <w:pPr>
        <w:pStyle w:val="Compact"/>
        <w:numPr>
          <w:ilvl w:val="0"/>
          <w:numId w:val="1000"/>
        </w:numPr>
      </w:pPr>
      <w:r>
        <w:t xml:space="preserve"> </w:t>
      </w:r>
      <w:r>
        <w:t xml:space="preserve">CIT</w:t>
      </w:r>
      <w:r>
        <w:t xml:space="preserve"> </w:t>
      </w:r>
      <w:r>
        <w:t xml:space="preserve"> </w:t>
      </w:r>
      <w:r>
        <w:t xml:space="preserve">does the heaviest lifting consistently. Every case requires identifying the commons + applying the right sub-form. The framework’s substantive content gate. Universal application.</w:t>
      </w:r>
    </w:p>
    <w:p>
      <w:pPr>
        <w:pStyle w:val="Compact"/>
        <w:numPr>
          <w:ilvl w:val="0"/>
          <w:numId w:val="1000"/>
        </w:numPr>
      </w:pPr>
      <w:r>
        <w:t xml:space="preserve"> </w:t>
      </w:r>
      <w:r>
        <w:t xml:space="preserve">Units Consistency</w:t>
      </w:r>
      <w:r>
        <w:t xml:space="preserve"> </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Compact"/>
        <w:numPr>
          <w:ilvl w:val="0"/>
          <w:numId w:val="1000"/>
        </w:numPr>
      </w:pPr>
      <w:r>
        <w:t xml:space="preserve"> </w:t>
      </w:r>
      <w:r>
        <w:t xml:space="preserve">Boundedness</w:t>
      </w:r>
      <w:r>
        <w:t xml:space="preserve"> </w:t>
      </w:r>
      <w:r>
        <w:t xml:space="preserve"> </w:t>
      </w:r>
      <w:r>
        <w:t xml:space="preserve">sleeps on most cases but</w:t>
      </w:r>
      <w:r>
        <w:t xml:space="preserve"> </w:t>
      </w:r>
      <w:r>
        <w:t xml:space="preserve"> </w:t>
      </w:r>
      <w:r>
        <w:t xml:space="preserve">wakes up dramatically on climate / intergenerational cases</w:t>
      </w:r>
      <w:r>
        <w:t xml:space="preserve"> </w:t>
      </w:r>
      <w:r>
        <w:t xml:space="preserve"> </w:t>
      </w:r>
      <w:r>
        <w:t xml:space="preserve">where the integral can diverge without explicit discount-rate convention. The Norway oil case (§3) is paradigmatic. This is where the gate earns its keep.</w:t>
      </w:r>
    </w:p>
    <w:p>
      <w:pPr>
        <w:pStyle w:val="Compact"/>
        <w:numPr>
          <w:ilvl w:val="0"/>
          <w:numId w:val="1000"/>
        </w:numPr>
      </w:pPr>
      <w:r>
        <w:t xml:space="preserve"> </w:t>
      </w:r>
      <w:r>
        <w:t xml:space="preserve">Independence</w:t>
      </w:r>
      <w:r>
        <w:t xml:space="preserve"> </w:t>
      </w:r>
      <w:r>
        <w:t xml:space="preserve"> </w:t>
      </w:r>
      <w:r>
        <w:t xml:space="preserve">sleeps on simple single-stream cases but</w:t>
      </w:r>
      <w:r>
        <w:t xml:space="preserve"> </w:t>
      </w:r>
      <w:r>
        <w:t xml:space="preserve"> </w:t>
      </w:r>
      <w:r>
        <w:t xml:space="preserve">wakes up on multi-stream correlated cases</w:t>
      </w:r>
      <w:r>
        <w:t xml:space="preserve"> </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p>
      <w:pPr>
        <w:pStyle w:val="Compact"/>
        <w:numPr>
          <w:ilvl w:val="0"/>
          <w:numId w:val="1000"/>
        </w:numPr>
      </w:pPr>
      <w:r>
        <w:t xml:space="preserve">CIT sub-form distribution across cases</w:t>
      </w:r>
    </w:p>
    <w:p>
      <w:pPr>
        <w:pStyle w:val="Compact"/>
        <w:numPr>
          <w:ilvl w:val="0"/>
          <w:numId w:val="1000"/>
        </w:numPr>
      </w:pPr>
      <w:r>
        <w:t xml:space="preserve">Case</w:t>
      </w:r>
    </w:p>
    <w:p>
      <w:pPr>
        <w:pStyle w:val="Compact"/>
        <w:numPr>
          <w:ilvl w:val="0"/>
          <w:numId w:val="1000"/>
        </w:numPr>
      </w:pPr>
      <w:r>
        <w:t xml:space="preserve">CIT sub-form</w:t>
      </w:r>
    </w:p>
    <w:p>
      <w:pPr>
        <w:pStyle w:val="Compact"/>
        <w:numPr>
          <w:ilvl w:val="0"/>
          <w:numId w:val="1000"/>
        </w:numPr>
      </w:pPr>
      <w:r>
        <w:t xml:space="preserve">McDowell coal</w:t>
      </w:r>
    </w:p>
    <w:p>
      <w:pPr>
        <w:pStyle w:val="Compact"/>
        <w:numPr>
          <w:ilvl w:val="0"/>
          <w:numId w:val="1000"/>
        </w:numPr>
      </w:pPr>
      <w:r>
        <w:t xml:space="preserve">Absence (habitability destroyed)</w:t>
      </w:r>
    </w:p>
    <w:p>
      <w:pPr>
        <w:pStyle w:val="Compact"/>
        <w:numPr>
          <w:ilvl w:val="0"/>
          <w:numId w:val="1000"/>
        </w:numPr>
      </w:pPr>
      <w:r>
        <w:t xml:space="preserve">Commute trade</w:t>
      </w:r>
    </w:p>
    <w:p>
      <w:pPr>
        <w:pStyle w:val="Compact"/>
        <w:numPr>
          <w:ilvl w:val="0"/>
          <w:numId w:val="1000"/>
        </w:numPr>
      </w:pPr>
      <w:r>
        <w:t xml:space="preserve">Consumption (time drawn down)</w:t>
      </w:r>
    </w:p>
    <w:p>
      <w:pPr>
        <w:pStyle w:val="Compact"/>
        <w:numPr>
          <w:ilvl w:val="0"/>
          <w:numId w:val="1000"/>
        </w:numPr>
      </w:pPr>
      <w:r>
        <w:t xml:space="preserve">Norwegian oil / climate</w:t>
      </w:r>
    </w:p>
    <w:p>
      <w:pPr>
        <w:pStyle w:val="Compact"/>
        <w:numPr>
          <w:ilvl w:val="0"/>
          <w:numId w:val="1000"/>
        </w:numPr>
      </w:pPr>
      <w:r>
        <w:t xml:space="preserve">Absence (atmospheric stability damaged for future)</w:t>
      </w:r>
    </w:p>
    <w:p>
      <w:pPr>
        <w:pStyle w:val="Compact"/>
        <w:numPr>
          <w:ilvl w:val="0"/>
          <w:numId w:val="1000"/>
        </w:numPr>
      </w:pPr>
      <w:r>
        <w:t xml:space="preserve">2008 crisis</w:t>
      </w:r>
    </w:p>
    <w:p>
      <w:pPr>
        <w:pStyle w:val="Compact"/>
        <w:numPr>
          <w:ilvl w:val="0"/>
          <w:numId w:val="1000"/>
        </w:numPr>
      </w:pPr>
      <w:r>
        <w:t xml:space="preserve">Absence (institutional commons damaged)</w:t>
      </w:r>
    </w:p>
    <w:p>
      <w:pPr>
        <w:pStyle w:val="Compact"/>
        <w:numPr>
          <w:ilvl w:val="0"/>
          <w:numId w:val="1000"/>
        </w:numPr>
      </w:pPr>
      <w:r>
        <w:t xml:space="preserve">Asteroid miner</w:t>
      </w:r>
    </w:p>
    <w:p>
      <w:pPr>
        <w:pStyle w:val="Compact"/>
        <w:numPr>
          <w:ilvl w:val="0"/>
          <w:numId w:val="1000"/>
        </w:numPr>
      </w:pPr>
      <w:r>
        <w:t xml:space="preserve">Absence (multiple Earth commons absent)</w:t>
      </w:r>
    </w:p>
    <w:p>
      <w:pPr>
        <w:pStyle w:val="Compact"/>
        <w:numPr>
          <w:ilvl w:val="0"/>
          <w:numId w:val="1000"/>
        </w:numPr>
      </w:pPr>
      <w:r>
        <w:t xml:space="preserve">Healthcare end-of-life</w:t>
      </w:r>
    </w:p>
    <w:p>
      <w:pPr>
        <w:pStyle w:val="Compact"/>
        <w:numPr>
          <w:ilvl w:val="0"/>
          <w:numId w:val="1000"/>
        </w:numPr>
      </w:pPr>
      <w:r>
        <w:t xml:space="preserve">Consumption (medical commons drawn down)</w:t>
      </w:r>
    </w:p>
    <w:p>
      <w:pPr>
        <w:pStyle w:val="Compact"/>
        <w:numPr>
          <w:ilvl w:val="0"/>
          <w:numId w:val="1000"/>
        </w:numPr>
      </w:pPr>
      <w:r>
        <w:t xml:space="preserve">Opioid Appalachia</w:t>
      </w:r>
    </w:p>
    <w:p>
      <w:pPr>
        <w:pStyle w:val="Compact"/>
        <w:numPr>
          <w:ilvl w:val="0"/>
          <w:numId w:val="1000"/>
        </w:numPr>
      </w:pPr>
      <w:r>
        <w:t xml:space="preserve"> </w:t>
      </w:r>
      <w:r>
        <w:t xml:space="preserve">Both</w:t>
      </w:r>
      <w:r>
        <w:t xml:space="preserve"> </w:t>
      </w:r>
      <w:r>
        <w:t xml:space="preserve"> </w:t>
      </w:r>
      <w:r>
        <w:t xml:space="preserve">(community Absence + individual Consumption)</w:t>
      </w:r>
    </w:p>
    <w:p>
      <w:pPr>
        <w:pStyle w:val="Compact"/>
        <w:numPr>
          <w:ilvl w:val="0"/>
          <w:numId w:val="1000"/>
        </w:numPr>
      </w:pPr>
      <w:r>
        <w:t xml:space="preserve"> </w:t>
      </w:r>
      <w:r>
        <w:t xml:space="preserve">Pattern:</w:t>
      </w:r>
      <w:r>
        <w:t xml:space="preserve"> </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p>
      <w:pPr>
        <w:pStyle w:val="Compact"/>
        <w:numPr>
          <w:ilvl w:val="0"/>
          <w:numId w:val="1000"/>
        </w:numPr>
      </w:pPr>
      <w:r>
        <w:t xml:space="preserve">Cost-stream complexity scales with case scope</w:t>
      </w:r>
    </w:p>
    <w:p>
      <w:pPr>
        <w:pStyle w:val="Compact"/>
        <w:numPr>
          <w:ilvl w:val="0"/>
          <w:numId w:val="1000"/>
        </w:numPr>
      </w:pPr>
      <w:r>
        <w:t xml:space="preserve">Single-cost-stream cases (commute trade): trivial Independence; gates flow easily.</w:t>
      </w:r>
    </w:p>
    <w:p>
      <w:pPr>
        <w:pStyle w:val="Compact"/>
        <w:numPr>
          <w:ilvl w:val="0"/>
          <w:numId w:val="1000"/>
        </w:numPr>
      </w:pPr>
      <w:r>
        <w:t xml:space="preserve">Multi-cost-stream cases (McDowell; healthcare): non-trivial Independence; some correlation; manageable.</w:t>
      </w:r>
    </w:p>
    <w:p>
      <w:pPr>
        <w:pStyle w:val="Compact"/>
        <w:numPr>
          <w:ilvl w:val="0"/>
          <w:numId w:val="1000"/>
        </w:numPr>
      </w:pPr>
      <w:r>
        <w:t xml:space="preserve">Highly-multi-stream cases (2008 crisis; opioid Appalachia; asteroid miner): Independence is decisive; framework’s careful decomposition discipline is what makes RCV defensible.</w:t>
      </w:r>
    </w:p>
    <w:p>
      <w:pPr>
        <w:pStyle w:val="Compact"/>
        <w:numPr>
          <w:ilvl w:val="0"/>
          <w:numId w:val="1000"/>
        </w:numPr>
      </w:pPr>
      <w:r>
        <w:t xml:space="preserve">Empirical validation cases</w:t>
      </w:r>
    </w:p>
    <w:p>
      <w:pPr>
        <w:pStyle w:val="Compact"/>
        <w:numPr>
          <w:ilvl w:val="0"/>
          <w:numId w:val="1000"/>
        </w:numPr>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Compact"/>
        <w:numPr>
          <w:ilvl w:val="0"/>
          <w:numId w:val="1000"/>
        </w:numPr>
      </w:pPr>
      <w:r>
        <w:t xml:space="preserve">These cases serve as case-study, academic, and critic-engagement evidence together — the framework didn’t predict from theory then check; the predictions and the public record converge on the same diagnosis from independent starting points.</w:t>
      </w:r>
    </w:p>
    <w:p>
      <w:pPr>
        <w:pStyle w:val="Compact"/>
        <w:numPr>
          <w:ilvl w:val="0"/>
          <w:numId w:val="1000"/>
        </w:numPr>
      </w:pPr>
      <w:r>
        <w:t xml:space="preserve">Gates as a complete admission apparatus</w:t>
      </w:r>
    </w:p>
    <w:p>
      <w:pPr>
        <w:pStyle w:val="Compact"/>
        <w:numPr>
          <w:ilvl w:val="0"/>
          <w:numId w:val="1000"/>
        </w:numPr>
      </w:pPr>
      <w:r>
        <w:t xml:space="preserve">CIT determines what’s IN.</w:t>
      </w:r>
    </w:p>
    <w:p>
      <w:pPr>
        <w:pStyle w:val="Compact"/>
        <w:numPr>
          <w:ilvl w:val="0"/>
          <w:numId w:val="1000"/>
        </w:numPr>
      </w:pPr>
      <w:r>
        <w:t xml:space="preserve">Units Consistency keeps the math well-formed.</w:t>
      </w:r>
    </w:p>
    <w:p>
      <w:pPr>
        <w:pStyle w:val="Compact"/>
        <w:numPr>
          <w:ilvl w:val="0"/>
          <w:numId w:val="1000"/>
        </w:numPr>
      </w:pPr>
      <w:r>
        <w:t xml:space="preserve">Boundedness keeps the integral finite.</w:t>
      </w:r>
    </w:p>
    <w:p>
      <w:pPr>
        <w:pStyle w:val="Compact"/>
        <w:numPr>
          <w:ilvl w:val="0"/>
          <w:numId w:val="1000"/>
        </w:numPr>
      </w:pPr>
      <w:r>
        <w:t xml:space="preserve">Independence keeps the integral honest.</w:t>
      </w:r>
    </w:p>
    <w:p>
      <w:pPr>
        <w:pStyle w:val="Compact"/>
        <w:numPr>
          <w:ilvl w:val="0"/>
          <w:numId w:val="1000"/>
        </w:numPr>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p>
      <w:pPr>
        <w:pStyle w:val="Compact"/>
        <w:numPr>
          <w:ilvl w:val="0"/>
          <w:numId w:val="1000"/>
        </w:numPr>
      </w:pPr>
      <w:r>
        <w:t xml:space="preserve">§7. Four Gates Admission Apparatus</w:t>
      </w:r>
    </w:p>
    <w:p>
      <w:pPr>
        <w:pStyle w:val="Compact"/>
        <w:numPr>
          <w:ilvl w:val="0"/>
          <w:numId w:val="1000"/>
        </w:numPr>
      </w:pPr>
      <w:r>
        <w:t xml:space="preserve">The four gates governing admission of cost terms to the framework’s RCV computation: (1)</w:t>
      </w:r>
      <w:r>
        <w:t xml:space="preserve"> </w:t>
      </w:r>
      <w:r>
        <w:t xml:space="preserve"> </w:t>
      </w:r>
      <w:r>
        <w:t xml:space="preserve">CIT</w:t>
      </w:r>
      <w:r>
        <w:t xml:space="preserve"> </w:t>
      </w:r>
      <w:r>
        <w:t xml:space="preserve"> </w:t>
      </w:r>
      <w:r>
        <w:t xml:space="preserve">— Commons Inversion Test (CAI + CCI sub-forms); (2)</w:t>
      </w:r>
      <w:r>
        <w:t xml:space="preserve"> </w:t>
      </w:r>
      <w:r>
        <w:t xml:space="preserve"> </w:t>
      </w:r>
      <w:r>
        <w:t xml:space="preserve">Units Consistency</w:t>
      </w:r>
      <w:r>
        <w:t xml:space="preserve"> </w:t>
      </w:r>
      <w:r>
        <w:t xml:space="preserve"> </w:t>
      </w:r>
      <w:r>
        <w:t xml:space="preserve">; (3)</w:t>
      </w:r>
      <w:r>
        <w:t xml:space="preserve"> </w:t>
      </w:r>
      <w:r>
        <w:t xml:space="preserve"> </w:t>
      </w:r>
      <w:r>
        <w:t xml:space="preserve">Boundedness</w:t>
      </w:r>
      <w:r>
        <w:t xml:space="preserve"> </w:t>
      </w:r>
      <w:r>
        <w:t xml:space="preserve"> </w:t>
      </w:r>
      <w:r>
        <w:t xml:space="preserve">; (4)</w:t>
      </w:r>
      <w:r>
        <w:t xml:space="preserve"> </w:t>
      </w:r>
      <w:r>
        <w:t xml:space="preserve"> </w:t>
      </w:r>
      <w:r>
        <w:t xml:space="preserve">Independence</w:t>
      </w:r>
      <w:r>
        <w:t xml:space="preserve"> </w:t>
      </w:r>
      <w:r>
        <w:t xml:space="preserve"> </w:t>
      </w:r>
      <w:r>
        <w:t xml:space="preserve">.</w:t>
      </w:r>
    </w:p>
    <w:p>
      <w:pPr>
        <w:pStyle w:val="Compact"/>
        <w:numPr>
          <w:ilvl w:val="0"/>
          <w:numId w:val="1000"/>
        </w:numPr>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Compact"/>
        <w:numPr>
          <w:ilvl w:val="0"/>
          <w:numId w:val="1000"/>
        </w:numPr>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Compact"/>
        <w:numPr>
          <w:ilvl w:val="0"/>
          <w:numId w:val="1000"/>
        </w:numPr>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p>
      <w:pPr>
        <w:pStyle w:val="Compact"/>
        <w:numPr>
          <w:ilvl w:val="0"/>
          <w:numId w:val="1000"/>
        </w:numPr>
      </w:pPr>
      <w:r>
        <w:t xml:space="preserve">§7.1 — Gate 1: Commons Inversion Test (CIT)</w:t>
      </w:r>
    </w:p>
    <w:p>
      <w:pPr>
        <w:pStyle w:val="Compact"/>
        <w:numPr>
          <w:ilvl w:val="0"/>
          <w:numId w:val="1000"/>
        </w:numPr>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Compact"/>
        <w:numPr>
          <w:ilvl w:val="0"/>
          <w:numId w:val="1000"/>
        </w:numPr>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Compact"/>
        <w:numPr>
          <w:ilvl w:val="0"/>
          <w:numId w:val="1000"/>
        </w:numPr>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Compact"/>
        <w:numPr>
          <w:ilvl w:val="0"/>
          <w:numId w:val="1000"/>
        </w:numPr>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Compact"/>
        <w:numPr>
          <w:ilvl w:val="0"/>
          <w:numId w:val="1000"/>
        </w:numPr>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Compact"/>
        <w:numPr>
          <w:ilvl w:val="0"/>
          <w:numId w:val="1000"/>
        </w:numPr>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p>
      <w:pPr>
        <w:pStyle w:val="Compact"/>
        <w:numPr>
          <w:ilvl w:val="0"/>
          <w:numId w:val="1000"/>
        </w:numPr>
      </w:pPr>
      <w:r>
        <w:t xml:space="preserve">§7.2 — Gate 2: Units Consistency</w:t>
      </w:r>
    </w:p>
    <w:p>
      <w:pPr>
        <w:pStyle w:val="Compact"/>
        <w:numPr>
          <w:ilvl w:val="0"/>
          <w:numId w:val="1000"/>
        </w:numPr>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Compact"/>
        <w:numPr>
          <w:ilvl w:val="0"/>
          <w:numId w:val="1000"/>
        </w:numPr>
      </w:pPr>
      <w:r>
        <w:t xml:space="preserve">Dimensional requirement for each term in the RCV integrand:</w:t>
      </w:r>
    </w:p>
    <w:p>
      <w:pPr>
        <w:pStyle w:val="Compact"/>
        <w:numPr>
          <w:ilvl w:val="0"/>
          <w:numId w:val="1000"/>
        </w:numPr>
      </w:pPr>
      <w:r>
        <w:t xml:space="preserve">Term</w:t>
      </w:r>
    </w:p>
    <w:p>
      <w:pPr>
        <w:pStyle w:val="Compact"/>
        <w:numPr>
          <w:ilvl w:val="0"/>
          <w:numId w:val="1000"/>
        </w:numPr>
      </w:pPr>
      <w:r>
        <w:t xml:space="preserve">Units</w:t>
      </w:r>
    </w:p>
    <w:p>
      <w:pPr>
        <w:pStyle w:val="Compact"/>
        <w:numPr>
          <w:ilvl w:val="0"/>
          <w:numId w:val="1000"/>
        </w:numPr>
      </w:pPr>
      <w:r>
        <w:t xml:space="preserve">Notes</w:t>
      </w:r>
    </w:p>
    <w:p>
      <w:pPr>
        <w:pStyle w:val="Compact"/>
        <w:numPr>
          <w:ilvl w:val="0"/>
          <w:numId w:val="1000"/>
        </w:numPr>
      </w:pPr>
      <w:r>
        <w:t xml:space="preserve">[1 − S(t | t₀)]</w:t>
      </w:r>
    </w:p>
    <w:p>
      <w:pPr>
        <w:pStyle w:val="Compact"/>
        <w:numPr>
          <w:ilvl w:val="0"/>
          <w:numId w:val="1000"/>
        </w:numPr>
      </w:pPr>
      <w:r>
        <w:t xml:space="preserve">dimensionless</w:t>
      </w:r>
    </w:p>
    <w:p>
      <w:pPr>
        <w:pStyle w:val="Compact"/>
        <w:numPr>
          <w:ilvl w:val="0"/>
          <w:numId w:val="1000"/>
        </w:numPr>
      </w:pPr>
      <w:r>
        <w:t xml:space="preserve">probability that no adequate substitute exists</w:t>
      </w:r>
    </w:p>
    <w:p>
      <w:pPr>
        <w:pStyle w:val="Compact"/>
        <w:numPr>
          <w:ilvl w:val="0"/>
          <w:numId w:val="1000"/>
        </w:numPr>
      </w:pPr>
      <w:r>
        <w:t xml:space="preserve">U(R, t, Q(t))</w:t>
      </w:r>
    </w:p>
    <w:p>
      <w:pPr>
        <w:pStyle w:val="Compact"/>
        <w:numPr>
          <w:ilvl w:val="0"/>
          <w:numId w:val="1000"/>
        </w:numPr>
      </w:pPr>
      <w:r>
        <w:t xml:space="preserve">$ · res-unit⁻¹ · time⁻¹</w:t>
      </w:r>
    </w:p>
    <w:p>
      <w:pPr>
        <w:pStyle w:val="Compact"/>
        <w:numPr>
          <w:ilvl w:val="0"/>
          <w:numId w:val="1000"/>
        </w:numPr>
      </w:pPr>
      <w:r>
        <w:t xml:space="preserve">stock-dependent utility flow of retained resource</w:t>
      </w:r>
    </w:p>
    <w:p>
      <w:pPr>
        <w:pStyle w:val="Compact"/>
        <w:numPr>
          <w:ilvl w:val="0"/>
          <w:numId w:val="1000"/>
        </w:numPr>
      </w:pPr>
      <w:r>
        <w:t xml:space="preserve">E(R, t)</w:t>
      </w:r>
    </w:p>
    <w:p>
      <w:pPr>
        <w:pStyle w:val="Compact"/>
        <w:numPr>
          <w:ilvl w:val="0"/>
          <w:numId w:val="1000"/>
        </w:numPr>
      </w:pPr>
      <w:r>
        <w:t xml:space="preserve">$ · res-unit⁻¹ · time⁻¹</w:t>
      </w:r>
    </w:p>
    <w:p>
      <w:pPr>
        <w:pStyle w:val="Compact"/>
        <w:numPr>
          <w:ilvl w:val="0"/>
          <w:numId w:val="1000"/>
        </w:numPr>
      </w:pPr>
      <w:r>
        <w:t xml:space="preserve">externality flow attributable to the extraction</w:t>
      </w:r>
    </w:p>
    <w:p>
      <w:pPr>
        <w:pStyle w:val="Compact"/>
        <w:numPr>
          <w:ilvl w:val="0"/>
          <w:numId w:val="1000"/>
        </w:numPr>
      </w:pPr>
      <w:r>
        <w:t xml:space="preserve">Cᵢ (candidate)</w:t>
      </w:r>
    </w:p>
    <w:p>
      <w:pPr>
        <w:pStyle w:val="Compact"/>
        <w:numPr>
          <w:ilvl w:val="0"/>
          <w:numId w:val="1000"/>
        </w:numPr>
      </w:pPr>
      <w:r>
        <w:t xml:space="preserve">$ · res-unit⁻¹ · time⁻¹</w:t>
      </w:r>
    </w:p>
    <w:p>
      <w:pPr>
        <w:pStyle w:val="Compact"/>
        <w:numPr>
          <w:ilvl w:val="0"/>
          <w:numId w:val="1000"/>
        </w:numPr>
      </w:pPr>
      <w:r>
        <w:t xml:space="preserve">required for admission</w:t>
      </w:r>
    </w:p>
    <w:p>
      <w:pPr>
        <w:pStyle w:val="Compact"/>
        <w:numPr>
          <w:ilvl w:val="0"/>
          <w:numId w:val="1000"/>
        </w:numPr>
      </w:pPr>
      <w:r>
        <w:t xml:space="preserve">D(t, t₀)</w:t>
      </w:r>
    </w:p>
    <w:p>
      <w:pPr>
        <w:pStyle w:val="Compact"/>
        <w:numPr>
          <w:ilvl w:val="0"/>
          <w:numId w:val="1000"/>
        </w:numPr>
      </w:pPr>
      <w:r>
        <w:t xml:space="preserve">dimensionless</w:t>
      </w:r>
    </w:p>
    <w:p>
      <w:pPr>
        <w:pStyle w:val="Compact"/>
        <w:numPr>
          <w:ilvl w:val="0"/>
          <w:numId w:val="1000"/>
        </w:numPr>
      </w:pPr>
      <w:r>
        <w:t xml:space="preserve">discount factor (Weitzman-type under declining rate)</w:t>
      </w:r>
    </w:p>
    <w:p>
      <w:pPr>
        <w:pStyle w:val="Compact"/>
        <w:numPr>
          <w:ilvl w:val="0"/>
          <w:numId w:val="1000"/>
        </w:numPr>
      </w:pPr>
      <w:r>
        <w:t xml:space="preserve">∫ · dt result</w:t>
      </w:r>
    </w:p>
    <w:p>
      <w:pPr>
        <w:pStyle w:val="Compact"/>
        <w:numPr>
          <w:ilvl w:val="0"/>
          <w:numId w:val="1000"/>
        </w:numPr>
      </w:pPr>
      <w:r>
        <w:t xml:space="preserve">$ · res-unit⁻¹</w:t>
      </w:r>
    </w:p>
    <w:p>
      <w:pPr>
        <w:pStyle w:val="Compact"/>
        <w:numPr>
          <w:ilvl w:val="0"/>
          <w:numId w:val="1000"/>
        </w:numPr>
      </w:pPr>
      <w:r>
        <w:t xml:space="preserve">RCV per resource unit</w:t>
      </w:r>
    </w:p>
    <w:p>
      <w:pPr>
        <w:pStyle w:val="Compact"/>
        <w:numPr>
          <w:ilvl w:val="0"/>
          <w:numId w:val="1000"/>
        </w:numPr>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Compact"/>
        <w:numPr>
          <w:ilvl w:val="0"/>
          <w:numId w:val="1000"/>
        </w:numPr>
      </w:pPr>
      <w:r>
        <w:t xml:space="preserve">Worked example — community-transition-reserve cost (C3). Empirical allocation from McDowell County and comparable extraction communities places the community-transition cost at roughly $5–</w:t>
      </w:r>
      <m:oMath>
        <m:r>
          <m:t>15</m:t>
        </m:r>
        <m:r>
          <m:t>p</m:t>
        </m:r>
        <m:r>
          <m:t>e</m:t>
        </m:r>
        <m:r>
          <m:t>r</m:t>
        </m:r>
        <m:r>
          <m:t>t</m:t>
        </m:r>
        <m:r>
          <m:t>o</m:t>
        </m:r>
        <m:r>
          <m:t>n</m:t>
        </m:r>
        <m:r>
          <m:t>o</m:t>
        </m:r>
        <m:r>
          <m:t>f</m:t>
        </m:r>
        <m:r>
          <m:t>c</m:t>
        </m:r>
        <m:r>
          <m:t>o</m:t>
        </m:r>
        <m:r>
          <m:t>a</m:t>
        </m:r>
        <m:r>
          <m:t>l</m:t>
        </m:r>
        <m:r>
          <m:t>e</m:t>
        </m:r>
        <m:r>
          <m:t>x</m:t>
        </m:r>
        <m:r>
          <m:t>t</m:t>
        </m:r>
        <m:r>
          <m:t>r</m:t>
        </m:r>
        <m:r>
          <m:t>a</m:t>
        </m:r>
        <m:r>
          <m:t>c</m:t>
        </m:r>
        <m:r>
          <m:t>t</m:t>
        </m:r>
        <m:r>
          <m:t>e</m:t>
        </m:r>
        <m:r>
          <m:t>d</m:t>
        </m:r>
        <m:r>
          <m:rPr>
            <m:sty m:val="p"/>
          </m:rPr>
          <m:t>,</m:t>
        </m:r>
        <m:r>
          <m:t>d</m:t>
        </m:r>
        <m:r>
          <m:t>i</m:t>
        </m:r>
        <m:r>
          <m:t>s</m:t>
        </m:r>
        <m:r>
          <m:t>t</m:t>
        </m:r>
        <m:r>
          <m:t>r</m:t>
        </m:r>
        <m:r>
          <m:t>i</m:t>
        </m:r>
        <m:r>
          <m:t>b</m:t>
        </m:r>
        <m:r>
          <m:t>u</m:t>
        </m:r>
        <m:r>
          <m:t>t</m:t>
        </m:r>
        <m:r>
          <m:t>e</m:t>
        </m:r>
        <m:r>
          <m:t>d</m:t>
        </m:r>
        <m:r>
          <m:t>a</m:t>
        </m:r>
        <m:r>
          <m:t>c</m:t>
        </m:r>
        <m:r>
          <m:t>r</m:t>
        </m:r>
        <m:r>
          <m:t>o</m:t>
        </m:r>
        <m:r>
          <m:t>s</m:t>
        </m:r>
        <m:r>
          <m:t>s</m:t>
        </m:r>
        <m:r>
          <m:t>t</m:t>
        </m:r>
        <m:r>
          <m:t>h</m:t>
        </m:r>
        <m:r>
          <m:t>e</m:t>
        </m:r>
        <m:r>
          <m:t>t</m:t>
        </m:r>
        <m:r>
          <m:t>r</m:t>
        </m:r>
        <m:r>
          <m:t>a</m:t>
        </m:r>
        <m:r>
          <m:t>n</m:t>
        </m:r>
        <m:r>
          <m:t>s</m:t>
        </m:r>
        <m:r>
          <m:t>i</m:t>
        </m:r>
        <m:r>
          <m:t>t</m:t>
        </m:r>
        <m:r>
          <m:t>i</m:t>
        </m:r>
        <m:r>
          <m:t>o</m:t>
        </m:r>
        <m:r>
          <m:t>n</m:t>
        </m:r>
        <m:r>
          <m:t>p</m:t>
        </m:r>
        <m:r>
          <m:t>e</m:t>
        </m:r>
        <m:r>
          <m:t>r</m:t>
        </m:r>
        <m:r>
          <m:t>i</m:t>
        </m:r>
        <m:r>
          <m:t>o</m:t>
        </m:r>
        <m:r>
          <m:t>d</m:t>
        </m:r>
        <m:r>
          <m:t>f</m:t>
        </m:r>
        <m:r>
          <m:t>o</m:t>
        </m:r>
        <m:r>
          <m:t>l</m:t>
        </m:r>
        <m:r>
          <m:t>l</m:t>
        </m:r>
        <m:r>
          <m:t>o</m:t>
        </m:r>
        <m:r>
          <m:t>w</m:t>
        </m:r>
        <m:r>
          <m:t>i</m:t>
        </m:r>
        <m:r>
          <m:t>n</m:t>
        </m:r>
        <m:r>
          <m:t>g</m:t>
        </m:r>
        <m:r>
          <m:t>m</m:t>
        </m:r>
        <m:r>
          <m:t>i</m:t>
        </m:r>
        <m:r>
          <m:t>n</m:t>
        </m:r>
        <m:r>
          <m:t>e</m:t>
        </m:r>
        <m:r>
          <m:t>c</m:t>
        </m:r>
        <m:r>
          <m:t>l</m:t>
        </m:r>
        <m:r>
          <m:t>o</m:t>
        </m:r>
        <m:r>
          <m:t>s</m:t>
        </m:r>
        <m:r>
          <m:t>u</m:t>
        </m:r>
        <m:r>
          <m:t>r</m:t>
        </m:r>
        <m:r>
          <m:t>e</m:t>
        </m:r>
        <m:r>
          <m:rPr>
            <m:sty m:val="p"/>
          </m:rPr>
          <m:t>.</m:t>
        </m:r>
        <m:r>
          <m:t>U</m:t>
        </m:r>
        <m:r>
          <m:t>n</m:t>
        </m:r>
        <m:r>
          <m:t>i</m:t>
        </m:r>
        <m:r>
          <m:t>t</m:t>
        </m:r>
        <m:r>
          <m:t>s</m:t>
        </m:r>
        <m:r>
          <m:rPr>
            <m:sty m:val="p"/>
          </m:rPr>
          <m:t>:</m:t>
        </m:r>
        <m:r>
          <m:rPr>
            <m:sty m:val="p"/>
          </m:rPr>
          <m:t>[</m:t>
        </m:r>
      </m:oMath>
      <w:r>
        <w:t xml:space="preserve"> </w:t>
      </w:r>
      <w:r>
        <w:t xml:space="preserve">· ton−1 · year−1] during the transition window, zero elsewhere. Pass.</w:t>
      </w:r>
    </w:p>
    <w:p>
      <w:pPr>
        <w:pStyle w:val="Compact"/>
        <w:numPr>
          <w:ilvl w:val="0"/>
          <w:numId w:val="1000"/>
        </w:numPr>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p>
      <w:pPr>
        <w:pStyle w:val="Compact"/>
        <w:numPr>
          <w:ilvl w:val="0"/>
          <w:numId w:val="1000"/>
        </w:numPr>
      </w:pPr>
      <w:r>
        <w:t xml:space="preserve">§7.3 — Gate 3: Boundedness (Integral Convergence)</w:t>
      </w:r>
    </w:p>
    <w:p>
      <w:pPr>
        <w:pStyle w:val="Compact"/>
        <w:numPr>
          <w:ilvl w:val="0"/>
          <w:numId w:val="1000"/>
        </w:numPr>
      </w:pPr>
      <w:r>
        <w:t xml:space="preserve">Formal statement. A candidate cost term Ci passes the boundedness gate if and only if the integral</w:t>
      </w:r>
    </w:p>
    <w:p>
      <w:pPr>
        <w:pStyle w:val="Compact"/>
        <w:numPr>
          <w:ilvl w:val="0"/>
          <w:numId w:val="1000"/>
        </w:numPr>
      </w:pPr>
      <w:r>
        <w:t xml:space="preserve">∫t₀∞ Ci(R, t, Context) · D(t, t0) dt</w:t>
      </w:r>
    </w:p>
    <w:p>
      <w:pPr>
        <w:pStyle w:val="Compact"/>
        <w:numPr>
          <w:ilvl w:val="0"/>
          <w:numId w:val="1000"/>
        </w:numPr>
      </w:pPr>
      <w:r>
        <w:t xml:space="preserve">converges to a finite value under the stated parameter assumptions for D and Ci.</w:t>
      </w:r>
    </w:p>
    <w:p>
      <w:pPr>
        <w:pStyle w:val="Compact"/>
        <w:numPr>
          <w:ilvl w:val="0"/>
          <w:numId w:val="1000"/>
        </w:numPr>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Compact"/>
        <w:numPr>
          <w:ilvl w:val="0"/>
          <w:numId w:val="1000"/>
        </w:numPr>
      </w:pPr>
      <w:r>
        <w:t xml:space="preserve">Convergence-condition table for common Ci asymptotic behaviors:</w:t>
      </w:r>
    </w:p>
    <w:p>
      <w:pPr>
        <w:pStyle w:val="Compact"/>
        <w:numPr>
          <w:ilvl w:val="0"/>
          <w:numId w:val="1000"/>
        </w:numPr>
      </w:pPr>
      <w:r>
        <w:t xml:space="preserve">Cᵢ asymptotic behavior</w:t>
      </w:r>
    </w:p>
    <w:p>
      <w:pPr>
        <w:pStyle w:val="Compact"/>
        <w:numPr>
          <w:ilvl w:val="0"/>
          <w:numId w:val="1000"/>
        </w:numPr>
      </w:pPr>
      <w:r>
        <w:t xml:space="preserve">Convergence under Weitzman D</w:t>
      </w:r>
    </w:p>
    <w:p>
      <w:pPr>
        <w:pStyle w:val="Compact"/>
        <w:numPr>
          <w:ilvl w:val="0"/>
          <w:numId w:val="1000"/>
        </w:numPr>
      </w:pPr>
      <w:r>
        <w:t xml:space="preserve">Admissibility</w:t>
      </w:r>
    </w:p>
    <w:p>
      <w:pPr>
        <w:pStyle w:val="Compact"/>
        <w:numPr>
          <w:ilvl w:val="0"/>
          <w:numId w:val="1000"/>
        </w:numPr>
      </w:pPr>
      <w:r>
        <w:t xml:space="preserve">decays to 0 (exponential or polynomial)</w:t>
      </w:r>
    </w:p>
    <w:p>
      <w:pPr>
        <w:pStyle w:val="Compact"/>
        <w:numPr>
          <w:ilvl w:val="0"/>
          <w:numId w:val="1000"/>
        </w:numPr>
      </w:pPr>
      <w:r>
        <w:t xml:space="preserve">yes</w:t>
      </w:r>
    </w:p>
    <w:p>
      <w:pPr>
        <w:pStyle w:val="Compact"/>
        <w:numPr>
          <w:ilvl w:val="0"/>
          <w:numId w:val="1000"/>
        </w:numPr>
      </w:pPr>
      <w:r>
        <w:t xml:space="preserve">admit</w:t>
      </w:r>
    </w:p>
    <w:p>
      <w:pPr>
        <w:pStyle w:val="Compact"/>
        <w:numPr>
          <w:ilvl w:val="0"/>
          <w:numId w:val="1000"/>
        </w:numPr>
      </w:pPr>
      <w:r>
        <w:t xml:space="preserve">bounded, approaches non-zero constant</w:t>
      </w:r>
    </w:p>
    <w:p>
      <w:pPr>
        <w:pStyle w:val="Compact"/>
        <w:numPr>
          <w:ilvl w:val="0"/>
          <w:numId w:val="1000"/>
        </w:numPr>
      </w:pPr>
      <w:r>
        <w:t xml:space="preserve">conditional (constant × asymptotic D integrated)</w:t>
      </w:r>
    </w:p>
    <w:p>
      <w:pPr>
        <w:pStyle w:val="Compact"/>
        <w:numPr>
          <w:ilvl w:val="0"/>
          <w:numId w:val="1000"/>
        </w:numPr>
      </w:pPr>
      <w:r>
        <w:t xml:space="preserve">admit under finite-horizon truncation + sensitivity</w:t>
      </w:r>
    </w:p>
    <w:p>
      <w:pPr>
        <w:pStyle w:val="Compact"/>
        <w:numPr>
          <w:ilvl w:val="0"/>
          <w:numId w:val="1000"/>
        </w:numPr>
      </w:pPr>
      <w:r>
        <w:t xml:space="preserve">grows polynomially</w:t>
      </w:r>
    </w:p>
    <w:p>
      <w:pPr>
        <w:pStyle w:val="Compact"/>
        <w:numPr>
          <w:ilvl w:val="0"/>
          <w:numId w:val="1000"/>
        </w:numPr>
      </w:pPr>
      <w:r>
        <w:t xml:space="preserve">depends on growth rate vs. D decay</w:t>
      </w:r>
    </w:p>
    <w:p>
      <w:pPr>
        <w:pStyle w:val="Compact"/>
        <w:numPr>
          <w:ilvl w:val="0"/>
          <w:numId w:val="1000"/>
        </w:numPr>
      </w:pPr>
      <w:r>
        <w:t xml:space="preserve">case-by-case; typically requires truncation</w:t>
      </w:r>
    </w:p>
    <w:p>
      <w:pPr>
        <w:pStyle w:val="Compact"/>
        <w:numPr>
          <w:ilvl w:val="0"/>
          <w:numId w:val="1000"/>
        </w:numPr>
      </w:pPr>
      <w:r>
        <w:t xml:space="preserve">grows exponentially</w:t>
      </w:r>
    </w:p>
    <w:p>
      <w:pPr>
        <w:pStyle w:val="Compact"/>
        <w:numPr>
          <w:ilvl w:val="0"/>
          <w:numId w:val="1000"/>
        </w:numPr>
      </w:pPr>
      <w:r>
        <w:t xml:space="preserve">typically diverges</w:t>
      </w:r>
    </w:p>
    <w:p>
      <w:pPr>
        <w:pStyle w:val="Compact"/>
        <w:numPr>
          <w:ilvl w:val="0"/>
          <w:numId w:val="1000"/>
        </w:numPr>
      </w:pPr>
      <w:r>
        <w:t xml:space="preserve">reject as proposed</w:t>
      </w:r>
    </w:p>
    <w:p>
      <w:pPr>
        <w:pStyle w:val="Compact"/>
        <w:numPr>
          <w:ilvl w:val="0"/>
          <w:numId w:val="1000"/>
        </w:numPr>
      </w:pPr>
      <w:r>
        <w:t xml:space="preserve">oscillates unboundedly</w:t>
      </w:r>
    </w:p>
    <w:p>
      <w:pPr>
        <w:pStyle w:val="Compact"/>
        <w:numPr>
          <w:ilvl w:val="0"/>
          <w:numId w:val="1000"/>
        </w:numPr>
      </w:pPr>
      <w:r>
        <w:t xml:space="preserve">diverges</w:t>
      </w:r>
    </w:p>
    <w:p>
      <w:pPr>
        <w:pStyle w:val="Compact"/>
        <w:numPr>
          <w:ilvl w:val="0"/>
          <w:numId w:val="1000"/>
        </w:numPr>
      </w:pPr>
      <w:r>
        <w:t xml:space="preserve">reject</w:t>
      </w:r>
    </w:p>
    <w:p>
      <w:pPr>
        <w:pStyle w:val="Compact"/>
        <w:numPr>
          <w:ilvl w:val="0"/>
          <w:numId w:val="1000"/>
        </w:numPr>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Compact"/>
        <w:numPr>
          <w:ilvl w:val="0"/>
          <w:numId w:val="1000"/>
        </w:numPr>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Compact"/>
        <w:numPr>
          <w:ilvl w:val="0"/>
          <w:numId w:val="1000"/>
        </w:numPr>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p>
      <w:pPr>
        <w:pStyle w:val="Compact"/>
        <w:numPr>
          <w:ilvl w:val="0"/>
          <w:numId w:val="1000"/>
        </w:numPr>
      </w:pPr>
      <w:r>
        <w:t xml:space="preserve">§7.4 — Gate 4: Independence (Non-Overlap)</w:t>
      </w:r>
    </w:p>
    <w:p>
      <w:pPr>
        <w:pStyle w:val="Compact"/>
        <w:numPr>
          <w:ilvl w:val="0"/>
          <w:numId w:val="1000"/>
        </w:numPr>
      </w:pPr>
      <w:r>
        <w:t xml:space="preserve">Formal statement. A candidate cost term Ci passes the independence gate if and only if Ci does not double-count any component already captured by existing terms {C1, C2, …, Ci−1} in the integrand under the current Context.</w:t>
      </w:r>
    </w:p>
    <w:p>
      <w:pPr>
        <w:pStyle w:val="Compact"/>
        <w:numPr>
          <w:ilvl w:val="0"/>
          <w:numId w:val="1000"/>
        </w:numPr>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Compact"/>
        <w:numPr>
          <w:ilvl w:val="0"/>
          <w:numId w:val="1000"/>
        </w:numPr>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Compact"/>
        <w:numPr>
          <w:ilvl w:val="0"/>
          <w:numId w:val="1000"/>
        </w:numPr>
      </w:pPr>
      <w:r>
        <w:t xml:space="preserve">Worked example — requires-merger: carbon-specific externality (Ccarbon) versus aggregated E. If a candidate Ccarbon is proposed when E already aggregates atmospheric externalities including carbon (as in the Ch 6 headline computation where E includes</w:t>
      </w:r>
      <w:r>
        <w:t xml:space="preserve"> </w:t>
      </w:r>
      <w:r>
        <w:t xml:space="preserve">$190/ton CO2&amp;nbsp;&amp;times; 2.32 tons CO2&amp;nbsp;per ton coal &amp;mdash; EPA emission factor for bituminous coal at short-ton accounting, per EPA AP-42 &amp;sect;1.1), Ccarbon&amp;nbsp;double-counts. Resolution options: (a) redefine E to exclude carbon (narrowing its scope to non-carbon environmental externalities) and admit Ccarbon&amp;nbsp;separately; (b) retain aggregated E and reject Ccarbon&amp;nbsp;as redundant. Either resolution preserves framework consistency. The choice is a reporting-granularity preference, not a structural requirement.
      &lt;/p&gt;
      &lt;h3&gt;
       &amp;sect;7.5 &amp;mdash; Gate-Application Protocol
      &lt;/h3&gt;
      &lt;p&gt;
       The four gates are applied in the following operational sequence for any candidate Ci. The sequence is chosen for efficiency of rejection, not definitional priority; a candidate must pass all four gates in any order to be admitted.
      &lt;/p&gt;
      &lt;p&gt;
       Step 1 &amp;mdash; CIT.&amp;nbsp;Specify the abundance counterfactual. Evaluate whether Ci&amp;nbsp;reduces to zero (or to an intrinsic-activity cost) under abundance. If yes, proceed to Step 2. If no, reject; optionally re-propose under an alternative counterfactual specification.
      &lt;/p&gt;
      &lt;p&gt;
       Step 2 &amp;mdash; Dimensional.&amp;nbsp;Verify the candidate&amp;rsquo;s units match [$</w:t>
      </w:r>
      <w:r>
        <w:t xml:space="preserve"> </w:t>
      </w:r>
      <w:r>
        <w:t xml:space="preserve">· res-unit−1 · time−1]. If yes, proceed to Step 3. If no, reject; optionally re-propose with explicit dollar-conversion methodology.</w:t>
      </w:r>
    </w:p>
    <w:p>
      <w:pPr>
        <w:pStyle w:val="Compact"/>
        <w:numPr>
          <w:ilvl w:val="0"/>
          <w:numId w:val="1000"/>
        </w:numPr>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Compact"/>
        <w:numPr>
          <w:ilvl w:val="0"/>
          <w:numId w:val="1000"/>
        </w:numPr>
      </w:pPr>
      <w:r>
        <w:t xml:space="preserve">Step 4 — Independence. Specify cost categories for all existing {Cj} and for the candidate. Verify non-overlap. If disjoint, admit. If overlap, resolve by redefinition, merger, or rejection; re-verify Steps 1–3 for any redefined term.</w:t>
      </w:r>
    </w:p>
    <w:p>
      <w:pPr>
        <w:pStyle w:val="Compact"/>
        <w:numPr>
          <w:ilvl w:val="0"/>
          <w:numId w:val="1000"/>
        </w:numPr>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p>
      <w:pPr>
        <w:pStyle w:val="Compact"/>
        <w:numPr>
          <w:ilvl w:val="0"/>
          <w:numId w:val="1000"/>
        </w:numPr>
      </w:pPr>
      <w:r>
        <w:t xml:space="preserve">§7.6 — Worked Example: Adding Community-Transition-Reserve Cost to McDowell County Coal</w:t>
      </w:r>
    </w:p>
    <w:p>
      <w:pPr>
        <w:pStyle w:val="Compact"/>
        <w:numPr>
          <w:ilvl w:val="0"/>
          <w:numId w:val="1000"/>
        </w:numPr>
      </w:pPr>
      <w:r>
        <w:t xml:space="preserve">Starting RCV (§3.1 canonical):</w:t>
      </w:r>
    </w:p>
    <w:p>
      <w:pPr>
        <w:pStyle w:val="Compact"/>
        <w:numPr>
          <w:ilvl w:val="0"/>
          <w:numId w:val="1000"/>
        </w:numPr>
      </w:pPr>
      <w:r>
        <w:t xml:space="preserve">RCVMcDowell = ∫1960∞ { [1 − S(t | 1960)] · U(R, t, Q(t)) + E(R, t) } · D(t, 1960) dt</w:t>
      </w:r>
    </w:p>
    <w:p>
      <w:pPr>
        <w:pStyle w:val="Compact"/>
        <w:numPr>
          <w:ilvl w:val="0"/>
          <w:numId w:val="1000"/>
        </w:numPr>
      </w:pPr>
      <w:r>
        <w:t xml:space="preserve">Candidate: C3 = community-transition-reserve cost.</w:t>
      </w:r>
    </w:p>
    <w:p>
      <w:pPr>
        <w:pStyle w:val="Compact"/>
        <w:numPr>
          <w:ilvl w:val="0"/>
          <w:numId w:val="1000"/>
        </w:numPr>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Compact"/>
        <w:numPr>
          <w:ilvl w:val="0"/>
          <w:numId w:val="1000"/>
        </w:numPr>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Compact"/>
        <w:numPr>
          <w:ilvl w:val="0"/>
          <w:numId w:val="1000"/>
        </w:numPr>
      </w:pPr>
      <w:r>
        <w:t xml:space="preserve">Gate 2 (§7.2) (dimensional). Empirical allocation: $5–</w:t>
      </w:r>
      <w:r>
        <w:t xml:space="preserve">$15 per ton of coal per year during the transition window, approximately 1990&amp;ndash;2050. Units: [$</w:t>
      </w:r>
      <w:r>
        <w:t xml:space="preserve"> </w:t>
      </w:r>
      <w:r>
        <w:t xml:space="preserve">· ton−1 · year−1]. Pass.</w:t>
      </w:r>
    </w:p>
    <w:p>
      <w:pPr>
        <w:pStyle w:val="Compact"/>
        <w:numPr>
          <w:ilvl w:val="0"/>
          <w:numId w:val="1000"/>
        </w:numPr>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Compact"/>
        <w:numPr>
          <w:ilvl w:val="0"/>
          <w:numId w:val="1000"/>
        </w:numPr>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Compact"/>
        <w:numPr>
          <w:ilvl w:val="0"/>
          <w:numId w:val="1000"/>
        </w:numPr>
      </w:pPr>
      <w:r>
        <w:t xml:space="preserve">Updated formula:</w:t>
      </w:r>
    </w:p>
    <w:p>
      <w:pPr>
        <w:pStyle w:val="Compact"/>
        <w:numPr>
          <w:ilvl w:val="0"/>
          <w:numId w:val="1000"/>
        </w:numPr>
      </w:pPr>
      <w:r>
        <w:t xml:space="preserve">RCVMcDowell = ∫1960∞ { [1 − S(t | 1960)] · U(R, t, Q(t)) + E(R, t) + C3(R, t, Context) } · D(t, 1960) dt</w:t>
      </w:r>
    </w:p>
    <w:p>
      <w:pPr>
        <w:pStyle w:val="Compact"/>
        <w:numPr>
          <w:ilvl w:val="0"/>
          <w:numId w:val="1000"/>
        </w:numPr>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Compact"/>
        <w:numPr>
          <w:ilvl w:val="0"/>
          <w:numId w:val="1000"/>
        </w:numPr>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p>
      <w:pPr>
        <w:pStyle w:val="Compact"/>
        <w:numPr>
          <w:ilvl w:val="0"/>
          <w:numId w:val="1000"/>
        </w:numPr>
      </w:pPr>
      <w:r>
        <w:t xml:space="preserve">§7.7 — Relationship to Prior Methodology</w:t>
      </w:r>
    </w:p>
    <w:p>
      <w:pPr>
        <w:pStyle w:val="Compact"/>
        <w:numPr>
          <w:ilvl w:val="0"/>
          <w:numId w:val="1000"/>
        </w:numPr>
      </w:pPr>
      <w:r>
        <w:t xml:space="preserve">The four gates extend, rather than replace, the framework’s prior methodological discipline.</w:t>
      </w:r>
    </w:p>
    <w:p>
      <w:pPr>
        <w:pStyle w:val="Compact"/>
        <w:numPr>
          <w:ilvl w:val="0"/>
          <w:numId w:val="1000"/>
        </w:numPr>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Compact"/>
        <w:numPr>
          <w:ilvl w:val="0"/>
          <w:numId w:val="1000"/>
        </w:numPr>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Compact"/>
        <w:numPr>
          <w:ilvl w:val="0"/>
          <w:numId w:val="1000"/>
        </w:numPr>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Compact"/>
        <w:numPr>
          <w:ilvl w:val="0"/>
          <w:numId w:val="1000"/>
        </w:numPr>
      </w:pPr>
      <w:r>
        <w:t xml:space="preserve">The canonical two-term RCV formula (§3.1) remains the baseline specification for the published worked cases. The general sum-of-costs form is an extension under the four gates, formalized in §17 (Formula Generalization) below.</w:t>
      </w:r>
    </w:p>
    <w:p>
      <w:pPr>
        <w:pStyle w:val="Compact"/>
        <w:numPr>
          <w:ilvl w:val="0"/>
          <w:numId w:val="1000"/>
        </w:numPr>
      </w:pPr>
      <w:r>
        <w:t xml:space="preserve">§8. Asymmetric Regret Rule (ARR)</w:t>
      </w:r>
    </w:p>
    <w:p>
      <w:pPr>
        <w:pStyle w:val="Compact"/>
        <w:numPr>
          <w:ilvl w:val="0"/>
          <w:numId w:val="1000"/>
        </w:numPr>
      </w:pPr>
      <w:r>
        <w:t xml:space="preserve"> </w:t>
      </w:r>
      <w:r>
        <w:t xml:space="preserve">Prior-art citations:</w:t>
      </w:r>
      <w:r>
        <w:t xml:space="preserve"> </w:t>
      </w:r>
      <w:r>
        <w:t xml:space="preserve"> </w:t>
      </w:r>
      <w:r>
        <w:t xml:space="preserve"> </w:t>
      </w:r>
      <w:r>
        <w:t xml:space="preserve">Savage 1951</w:t>
      </w:r>
      <w:r>
        <w:t xml:space="preserve"> </w:t>
      </w:r>
      <w:r>
        <w:t xml:space="preserve"> </w:t>
      </w:r>
      <w:r>
        <w:t xml:space="preserve">(</w:t>
      </w:r>
      <w:r>
        <w:t xml:space="preserve"> </w:t>
      </w:r>
      <w:r>
        <w:t xml:space="preserve"> </w:t>
      </w:r>
      <w:r>
        <w:t xml:space="preserve">Journal of the American Statistical Association</w:t>
      </w:r>
      <w:r>
        <w:t xml:space="preserve"> </w:t>
      </w:r>
      <w:r>
        <w:t xml:space="preserve"> </w:t>
      </w:r>
      <w:r>
        <w:t xml:space="preserve">46(253): 55–67) for minimax-regret foundations;</w:t>
      </w:r>
      <w:r>
        <w:t xml:space="preserve"> </w:t>
      </w:r>
      <w:r>
        <w:t xml:space="preserve"> </w:t>
      </w:r>
      <w:r>
        <w:t xml:space="preserve">Loomes &amp; Sugden 1982</w:t>
      </w:r>
      <w:r>
        <w:t xml:space="preserve"> </w:t>
      </w:r>
      <w:r>
        <w:t xml:space="preserve"> </w:t>
      </w:r>
      <w:r>
        <w:t xml:space="preserve">(</w:t>
      </w:r>
      <w:r>
        <w:t xml:space="preserve"> </w:t>
      </w:r>
      <w:r>
        <w:t xml:space="preserve"> </w:t>
      </w:r>
      <w:r>
        <w:t xml:space="preserve">Economic Journal</w:t>
      </w:r>
      <w:r>
        <w:t xml:space="preserve"> </w:t>
      </w:r>
      <w:r>
        <w:t xml:space="preserve"> </w:t>
      </w:r>
      <w:r>
        <w:t xml:space="preserve">) for asymmetric-regret theory;</w:t>
      </w:r>
      <w:r>
        <w:t xml:space="preserve"> </w:t>
      </w:r>
      <w:r>
        <w:t xml:space="preserve"> </w:t>
      </w:r>
      <w:r>
        <w:t xml:space="preserve">Lempert, Popper &amp; Bankes 2003</w:t>
      </w:r>
      <w:r>
        <w:t xml:space="preserve"> </w:t>
      </w:r>
      <w:r>
        <w:t xml:space="preserve"> </w:t>
      </w:r>
      <w:r>
        <w:t xml:space="preserve">(</w:t>
      </w:r>
      <w:r>
        <w:t xml:space="preserve"> </w:t>
      </w:r>
      <w:r>
        <w:t xml:space="preserve"> </w:t>
      </w:r>
      <w:r>
        <w:t xml:space="preserve">Shaping the Next One Hundred Years</w:t>
      </w:r>
      <w:r>
        <w:t xml:space="preserve"> </w:t>
      </w:r>
      <w:r>
        <w:t xml:space="preserve"> </w:t>
      </w:r>
      <w:r>
        <w:t xml:space="preserve">) for robust decision making under deep uncertainty;</w:t>
      </w:r>
      <w:r>
        <w:t xml:space="preserve"> </w:t>
      </w:r>
      <w:r>
        <w:t xml:space="preserve"> </w:t>
      </w:r>
      <w:r>
        <w:t xml:space="preserve">Rio Declaration 1992 Principle 15</w:t>
      </w:r>
      <w:r>
        <w:t xml:space="preserve"> </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t xml:space="preserve"> </w:t>
      </w:r>
      <w:r>
        <w:t xml:space="preserve">“We can always extract later. We can never un-extract.”</w:t>
      </w:r>
      <w:r>
        <w:t xml:space="preserve"> </w:t>
      </w:r>
    </w:p>
    <w:p>
      <w:pPr>
        <w:pStyle w:val="Compact"/>
        <w:numPr>
          <w:ilvl w:val="0"/>
          <w:numId w:val="1000"/>
        </w:numPr>
      </w:pPr>
      <w:r>
        <w:t xml:space="preserve">§8.1 — The Asymmetric Regret Decision Rule (default under uncertainty)</w:t>
      </w:r>
    </w:p>
    <w:p>
      <w:pPr>
        <w:pStyle w:val="Compact"/>
        <w:numPr>
          <w:ilvl w:val="0"/>
          <w:numId w:val="1000"/>
        </w:numPr>
      </w:pPr>
      <w:r>
        <w:t xml:space="preserve">If uncertainty about existential substitutability gap classification: default to the higher classification. Preservation cost ≤ Replacement cost when no substitute exists.</w:t>
      </w:r>
      <w:r>
        <w:t xml:space="preserve"> </w:t>
      </w:r>
      <w:r>
        <w:t xml:space="preserve">“We can always extract later. We can never un-extract.”</w:t>
      </w:r>
    </w:p>
    <w:p>
      <w:pPr>
        <w:pStyle w:val="Compact"/>
        <w:numPr>
          <w:ilvl w:val="0"/>
          <w:numId w:val="1000"/>
        </w:numPr>
      </w:pPr>
      <w:r>
        <w:t xml:space="preserve">§8.2 — The rule</w:t>
      </w:r>
    </w:p>
    <w:p>
      <w:pPr>
        <w:pStyle w:val="Compact"/>
        <w:numPr>
          <w:ilvl w:val="0"/>
          <w:numId w:val="1000"/>
        </w:numPr>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p>
      <w:pPr>
        <w:pStyle w:val="Compact"/>
        <w:numPr>
          <w:ilvl w:val="0"/>
          <w:numId w:val="1000"/>
        </w:numPr>
      </w:pPr>
      <w:r>
        <w:t xml:space="preserve">§8.3 — Lineage acknowledgment</w:t>
      </w:r>
    </w:p>
    <w:p>
      <w:pPr>
        <w:pStyle w:val="Compact"/>
        <w:numPr>
          <w:ilvl w:val="0"/>
          <w:numId w:val="1000"/>
        </w:numPr>
      </w:pPr>
      <w:r>
        <w:t xml:space="preserve">ARR draws on:</w:t>
      </w:r>
      <w:r>
        <w:t xml:space="preserve"> </w:t>
      </w:r>
      <w:r>
        <w:t xml:space="preserve"> </w:t>
      </w:r>
      <w:r>
        <w:t xml:space="preserve">Savage 1951</w:t>
      </w:r>
      <w:r>
        <w:t xml:space="preserve"> </w:t>
      </w:r>
      <w:r>
        <w:t xml:space="preserve"> </w:t>
      </w:r>
      <w:r>
        <w:t xml:space="preserve">(</w:t>
      </w:r>
      <w:r>
        <w:t xml:space="preserve">“The Theory of Statistical Decision,”</w:t>
      </w:r>
      <w:r>
        <w:t xml:space="preserve"> </w:t>
      </w:r>
      <w:r>
        <w:t xml:space="preserve"> </w:t>
      </w:r>
      <w:r>
        <w:t xml:space="preserve">JASA</w:t>
      </w:r>
      <w:r>
        <w:t xml:space="preserve"> </w:t>
      </w:r>
      <w:r>
        <w:t xml:space="preserve"> </w:t>
      </w:r>
      <w:r>
        <w:t xml:space="preserve">) — minimax-regret decision theory foundations.</w:t>
      </w:r>
      <w:r>
        <w:t xml:space="preserve"> </w:t>
      </w:r>
      <w:r>
        <w:t xml:space="preserve"> </w:t>
      </w:r>
      <w:r>
        <w:t xml:space="preserve">Loomes &amp; Sugden 1982</w:t>
      </w:r>
      <w:r>
        <w:t xml:space="preserve"> </w:t>
      </w:r>
      <w:r>
        <w:t xml:space="preserve"> </w:t>
      </w:r>
      <w:r>
        <w:t xml:space="preserve">(</w:t>
      </w:r>
      <w:r>
        <w:t xml:space="preserve">“Regret Theory,”</w:t>
      </w:r>
      <w:r>
        <w:t xml:space="preserve"> </w:t>
      </w:r>
      <w:r>
        <w:t xml:space="preserve"> </w:t>
      </w:r>
      <w:r>
        <w:t xml:space="preserve">Economic Journal</w:t>
      </w:r>
      <w:r>
        <w:t xml:space="preserve"> </w:t>
      </w:r>
      <w:r>
        <w:t xml:space="preserve"> </w:t>
      </w:r>
      <w:r>
        <w:t xml:space="preserve">) — regret-based individual decision theory.</w:t>
      </w:r>
      <w:r>
        <w:t xml:space="preserve"> </w:t>
      </w:r>
      <w:r>
        <w:t xml:space="preserve"> </w:t>
      </w:r>
      <w:r>
        <w:t xml:space="preserve">Lempert, Popper &amp; Bankes 2003</w:t>
      </w:r>
      <w:r>
        <w:t xml:space="preserve"> </w:t>
      </w:r>
      <w:r>
        <w:t xml:space="preserve"> </w:t>
      </w:r>
      <w:r>
        <w:t xml:space="preserve">(</w:t>
      </w:r>
      <w:r>
        <w:t xml:space="preserve"> </w:t>
      </w:r>
      <w:r>
        <w:t xml:space="preserve"> </w:t>
      </w:r>
      <w:r>
        <w:t xml:space="preserve">Shaping the Next One Hundred Years</w:t>
      </w:r>
      <w:r>
        <w:t xml:space="preserve"> </w:t>
      </w:r>
      <w:r>
        <w:t xml:space="preserve"> </w:t>
      </w:r>
      <w:r>
        <w:t xml:space="preserve">) — robust-decision-making under deep uncertainty.</w:t>
      </w:r>
    </w:p>
    <w:p>
      <w:pPr>
        <w:pStyle w:val="Compact"/>
        <w:numPr>
          <w:ilvl w:val="0"/>
          <w:numId w:val="1000"/>
        </w:numPr>
      </w:pPr>
      <w:r>
        <w:t xml:space="preserve">The framework’s contribution: applying minimax-regret discipline specifically to commons-extraction decisions where one direction of regret is</w:t>
      </w:r>
      <w:r>
        <w:t xml:space="preserve"> </w:t>
      </w:r>
      <w:r>
        <w:t xml:space="preserve"> </w:t>
      </w:r>
      <w:r>
        <w:t xml:space="preserve">commons-extinction</w:t>
      </w:r>
      <w:r>
        <w:t xml:space="preserve"> </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Compact"/>
        <w:numPr>
          <w:ilvl w:val="0"/>
          <w:numId w:val="1000"/>
        </w:numPr>
      </w:pPr>
      <w:r>
        <w:t xml:space="preserve"> </w:t>
      </w:r>
      <w:r>
        <w:t xml:space="preserve">Cross-reference to Method 3 α-dominance:</w:t>
      </w:r>
      <w:r>
        <w:t xml:space="preserve"> </w:t>
      </w:r>
      <w:r>
        <w:t xml:space="preserve"> </w:t>
      </w:r>
      <w:r>
        <w:t xml:space="preserve">the empirical companion to ARR. Method 3’s irreversibility_premium = 1/(1−α)</w:t>
      </w:r>
      <w:r>
        <w:t xml:space="preserve"> </w:t>
      </w:r>
      <w:r>
        <w:t xml:space="preserve"> </w:t>
      </w:r>
      <w:r>
        <w:t xml:space="preserve">β</w:t>
      </w:r>
      <w:r>
        <w:t xml:space="preserve"> </w:t>
      </w:r>
      <w:r>
        <w:t xml:space="preserve"> </w:t>
      </w:r>
      <w:r>
        <w:t xml:space="preserve">diverges as α → 1, exactly when ARR’s asymmetric-regret structure is triggered. ARR is the decision rule; Method 3 α-dominance is the estimation companion. Same structural insight at two levels.</w:t>
      </w:r>
    </w:p>
    <w:p>
      <w:pPr>
        <w:pStyle w:val="Compact"/>
        <w:numPr>
          <w:ilvl w:val="0"/>
          <w:numId w:val="1000"/>
        </w:numPr>
      </w:pPr>
      <w:r>
        <w:t xml:space="preserve">§9. Three-Model Convergence Framework</w:t>
      </w:r>
    </w:p>
    <w:p>
      <w:pPr>
        <w:pStyle w:val="Compact"/>
        <w:numPr>
          <w:ilvl w:val="0"/>
          <w:numId w:val="1000"/>
        </w:numPr>
      </w:pPr>
      <w:r>
        <w:t xml:space="preserve">§9.1 — Overview and Model Independence</w:t>
      </w:r>
    </w:p>
    <w:p>
      <w:pPr>
        <w:pStyle w:val="Compact"/>
        <w:numPr>
          <w:ilvl w:val="0"/>
          <w:numId w:val="1000"/>
        </w:numPr>
      </w:pPr>
      <w:r>
        <w:t xml:space="preserve">The RCV framework is validated through convergence with two additional independent modeling approaches. The three models are:</w:t>
      </w:r>
    </w:p>
    <w:p>
      <w:pPr>
        <w:pStyle w:val="Compact"/>
        <w:numPr>
          <w:ilvl w:val="0"/>
          <w:numId w:val="1000"/>
        </w:numPr>
      </w:pPr>
      <w:r>
        <w:t xml:space="preserve">Damage Function (bottom-up): Audit all identifiable costs tier by tier.</w:t>
      </w:r>
    </w:p>
    <w:p>
      <w:pPr>
        <w:pStyle w:val="Compact"/>
        <w:numPr>
          <w:ilvl w:val="0"/>
          <w:numId w:val="1000"/>
        </w:numPr>
      </w:pPr>
      <w:r>
        <w:t xml:space="preserve">Real Options (market-referenced): Price the social option value of keeping the resource in situ.</w:t>
      </w:r>
    </w:p>
    <w:p>
      <w:pPr>
        <w:pStyle w:val="Compact"/>
        <w:numPr>
          <w:ilvl w:val="0"/>
          <w:numId w:val="1000"/>
        </w:numPr>
      </w:pPr>
      <w:r>
        <w:t xml:space="preserve">RCV Model (integral formulation): Substitutability-weighted foreclosure plus externality tail.</w:t>
      </w:r>
    </w:p>
    <w:p>
      <w:pPr>
        <w:pStyle w:val="Compact"/>
        <w:numPr>
          <w:ilvl w:val="0"/>
          <w:numId w:val="1000"/>
        </w:numPr>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p>
      <w:pPr>
        <w:pStyle w:val="Compact"/>
        <w:numPr>
          <w:ilvl w:val="0"/>
          <w:numId w:val="1000"/>
        </w:numPr>
      </w:pPr>
      <w:r>
        <w:t xml:space="preserve">§9.2 — Model 1: Damage Function Approach</w:t>
      </w:r>
    </w:p>
    <w:p>
      <w:pPr>
        <w:pStyle w:val="Compact"/>
        <w:numPr>
          <w:ilvl w:val="0"/>
          <w:numId w:val="1000"/>
        </w:numPr>
      </w:pPr>
      <w:r>
        <w:t xml:space="preserve">Bottom-up audit of all identifiable costs in documented categories:</w:t>
      </w:r>
    </w:p>
    <w:p>
      <w:pPr>
        <w:pStyle w:val="Compact"/>
        <w:numPr>
          <w:ilvl w:val="0"/>
          <w:numId w:val="1000"/>
        </w:numPr>
      </w:pPr>
      <w:r>
        <w:t xml:space="preserve">Total Cost = Health + Environmental + Community + Carbon + Infrastructure + Political Capture</w:t>
      </w:r>
    </w:p>
    <w:p>
      <w:pPr>
        <w:pStyle w:val="Compact"/>
        <w:numPr>
          <w:ilvl w:val="0"/>
          <w:numId w:val="1000"/>
        </w:numPr>
      </w:pPr>
      <w:r>
        <w:t xml:space="preserve">Strengths: Auditable by non-economists; each line item can be independently verified; resistant to manipulation because costs are documented in litigation, epidemiological studies, and regulatory filings.</w:t>
      </w:r>
    </w:p>
    <w:p>
      <w:pPr>
        <w:pStyle w:val="Compact"/>
        <w:numPr>
          <w:ilvl w:val="0"/>
          <w:numId w:val="1000"/>
        </w:numPr>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w:t>
      </w:r>
      <w:r>
        <w:t xml:space="preserve"> </w:t>
      </w:r>
      <w:r>
        <w:t xml:space="preserve">“what are the costs?”</w:t>
      </w:r>
      <w:r>
        <w:t xml:space="preserve">; the Abundance Test asks</w:t>
      </w:r>
      <w:r>
        <w:t xml:space="preserve"> </w:t>
      </w:r>
      <w:r>
        <w:t xml:space="preserve">“what costs have we systematically failed to see?”</w:t>
      </w:r>
      <w:r>
        <w:t xml:space="preserve"> </w:t>
      </w:r>
      <w:r>
        <w:t xml:space="preserve">They are complementary, not redundant.</w:t>
      </w:r>
    </w:p>
    <w:p>
      <w:pPr>
        <w:pStyle w:val="Compact"/>
        <w:numPr>
          <w:ilvl w:val="0"/>
          <w:numId w:val="1000"/>
        </w:numPr>
      </w:pPr>
      <w:r>
        <w:t xml:space="preserve">§9.3 — Model 2: Real Options Approach</w:t>
      </w:r>
    </w:p>
    <w:p>
      <w:pPr>
        <w:pStyle w:val="Compact"/>
        <w:numPr>
          <w:ilvl w:val="0"/>
          <w:numId w:val="1000"/>
        </w:numPr>
      </w:pPr>
      <w:r>
        <w:t xml:space="preserve">Social option value of keeping the resource in situ:</w:t>
      </w:r>
    </w:p>
    <w:p>
      <w:pPr>
        <w:pStyle w:val="Compact"/>
        <w:numPr>
          <w:ilvl w:val="0"/>
          <w:numId w:val="1000"/>
        </w:numPr>
      </w:pPr>
      <w:r>
        <w:t xml:space="preserve">Option Value = Private Option Value + Avoided Externalities + Innovation Time Value</w:t>
      </w:r>
    </w:p>
    <w:p>
      <w:pPr>
        <w:pStyle w:val="Compact"/>
        <w:numPr>
          <w:ilvl w:val="0"/>
          <w:numId w:val="1000"/>
        </w:numPr>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Compact"/>
        <w:numPr>
          <w:ilvl w:val="0"/>
          <w:numId w:val="1000"/>
        </w:numPr>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Compact"/>
        <w:numPr>
          <w:ilvl w:val="0"/>
          <w:numId w:val="1000"/>
        </w:numPr>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p>
      <w:pPr>
        <w:pStyle w:val="Compact"/>
        <w:numPr>
          <w:ilvl w:val="0"/>
          <w:numId w:val="1000"/>
        </w:numPr>
      </w:pPr>
      <w:r>
        <w:t xml:space="preserve">§9.4 — Model 3: RCV Model</w:t>
      </w:r>
    </w:p>
    <w:p>
      <w:pPr>
        <w:pStyle w:val="Compact"/>
        <w:numPr>
          <w:ilvl w:val="0"/>
          <w:numId w:val="1000"/>
        </w:numPr>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p>
      <w:pPr>
        <w:pStyle w:val="Compact"/>
        <w:numPr>
          <w:ilvl w:val="0"/>
          <w:numId w:val="1000"/>
        </w:numPr>
      </w:pPr>
      <w:r>
        <w:t xml:space="preserve">§9.5 — Three-Model Convergence Table</w:t>
      </w:r>
    </w:p>
    <w:p>
      <w:pPr>
        <w:pStyle w:val="Compact"/>
        <w:numPr>
          <w:ilvl w:val="0"/>
          <w:numId w:val="1000"/>
        </w:numPr>
      </w:pPr>
      <w:r>
        <w:t xml:space="preserve">Case Study</w:t>
      </w:r>
    </w:p>
    <w:p>
      <w:pPr>
        <w:pStyle w:val="Compact"/>
        <w:numPr>
          <w:ilvl w:val="0"/>
          <w:numId w:val="1000"/>
        </w:numPr>
      </w:pPr>
      <w:r>
        <w:t xml:space="preserve">Damage Function (IPG)</w:t>
      </w:r>
    </w:p>
    <w:p>
      <w:pPr>
        <w:pStyle w:val="Compact"/>
        <w:numPr>
          <w:ilvl w:val="0"/>
          <w:numId w:val="1000"/>
        </w:numPr>
      </w:pPr>
      <w:r>
        <w:t xml:space="preserve">Real Options (IPG)</w:t>
      </w:r>
    </w:p>
    <w:p>
      <w:pPr>
        <w:pStyle w:val="Compact"/>
        <w:numPr>
          <w:ilvl w:val="0"/>
          <w:numId w:val="1000"/>
        </w:numPr>
      </w:pPr>
      <w:r>
        <w:t xml:space="preserve">RCV Model (IPG)</w:t>
      </w:r>
    </w:p>
    <w:p>
      <w:pPr>
        <w:pStyle w:val="Compact"/>
        <w:numPr>
          <w:ilvl w:val="0"/>
          <w:numId w:val="1000"/>
        </w:numPr>
      </w:pPr>
      <w:r>
        <w:t xml:space="preserve">Convergence</w:t>
      </w:r>
    </w:p>
    <w:p>
      <w:pPr>
        <w:pStyle w:val="Compact"/>
        <w:numPr>
          <w:ilvl w:val="0"/>
          <w:numId w:val="1000"/>
        </w:numPr>
      </w:pPr>
      <w:r>
        <w:t xml:space="preserve">McDowell County Coal</w:t>
      </w:r>
    </w:p>
    <w:p>
      <w:pPr>
        <w:pStyle w:val="Compact"/>
        <w:numPr>
          <w:ilvl w:val="0"/>
          <w:numId w:val="1000"/>
        </w:numPr>
      </w:pPr>
      <w:r>
        <w:t xml:space="preserve">33–122×</w:t>
      </w:r>
    </w:p>
    <w:p>
      <w:pPr>
        <w:pStyle w:val="Compact"/>
        <w:numPr>
          <w:ilvl w:val="0"/>
          <w:numId w:val="1000"/>
        </w:numPr>
      </w:pPr>
      <w:r>
        <w:t xml:space="preserve">45–89×</w:t>
      </w:r>
    </w:p>
    <w:p>
      <w:pPr>
        <w:pStyle w:val="Compact"/>
        <w:numPr>
          <w:ilvl w:val="0"/>
          <w:numId w:val="1000"/>
        </w:numPr>
      </w:pPr>
      <w:r>
        <w:t xml:space="preserve">67–134×</w:t>
      </w:r>
    </w:p>
    <w:p>
      <w:pPr>
        <w:pStyle w:val="Compact"/>
        <w:numPr>
          <w:ilvl w:val="0"/>
          <w:numId w:val="1000"/>
        </w:numPr>
      </w:pPr>
      <w:r>
        <w:t xml:space="preserve">✓</w:t>
      </w:r>
    </w:p>
    <w:p>
      <w:pPr>
        <w:pStyle w:val="Compact"/>
        <w:numPr>
          <w:ilvl w:val="0"/>
          <w:numId w:val="1000"/>
        </w:numPr>
      </w:pPr>
      <w:r>
        <w:t xml:space="preserve">Deepwater Horizon</w:t>
      </w:r>
    </w:p>
    <w:p>
      <w:pPr>
        <w:pStyle w:val="Compact"/>
        <w:numPr>
          <w:ilvl w:val="0"/>
          <w:numId w:val="1000"/>
        </w:numPr>
      </w:pPr>
      <w:r>
        <w:t xml:space="preserve">15–17×</w:t>
      </w:r>
    </w:p>
    <w:p>
      <w:pPr>
        <w:pStyle w:val="Compact"/>
        <w:numPr>
          <w:ilvl w:val="0"/>
          <w:numId w:val="1000"/>
        </w:numPr>
      </w:pPr>
      <w:r>
        <w:t xml:space="preserve">12–21×</w:t>
      </w:r>
    </w:p>
    <w:p>
      <w:pPr>
        <w:pStyle w:val="Compact"/>
        <w:numPr>
          <w:ilvl w:val="0"/>
          <w:numId w:val="1000"/>
        </w:numPr>
      </w:pPr>
      <w:r>
        <w:t xml:space="preserve">16–19×</w:t>
      </w:r>
    </w:p>
    <w:p>
      <w:pPr>
        <w:pStyle w:val="Compact"/>
        <w:numPr>
          <w:ilvl w:val="0"/>
          <w:numId w:val="1000"/>
        </w:numPr>
      </w:pPr>
      <w:r>
        <w:t xml:space="preserve">✓</w:t>
      </w:r>
    </w:p>
    <w:p>
      <w:pPr>
        <w:pStyle w:val="Compact"/>
        <w:numPr>
          <w:ilvl w:val="0"/>
          <w:numId w:val="1000"/>
        </w:numPr>
      </w:pPr>
      <w:r>
        <w:t xml:space="preserve">Libby, Montana</w:t>
      </w:r>
    </w:p>
    <w:p>
      <w:pPr>
        <w:pStyle w:val="Compact"/>
        <w:numPr>
          <w:ilvl w:val="0"/>
          <w:numId w:val="1000"/>
        </w:numPr>
      </w:pPr>
      <w:r>
        <w:t xml:space="preserve">55–82×</w:t>
      </w:r>
    </w:p>
    <w:p>
      <w:pPr>
        <w:pStyle w:val="Compact"/>
        <w:numPr>
          <w:ilvl w:val="0"/>
          <w:numId w:val="1000"/>
        </w:numPr>
      </w:pPr>
      <w:r>
        <w:t xml:space="preserve">48–76×</w:t>
      </w:r>
    </w:p>
    <w:p>
      <w:pPr>
        <w:pStyle w:val="Compact"/>
        <w:numPr>
          <w:ilvl w:val="0"/>
          <w:numId w:val="1000"/>
        </w:numPr>
      </w:pPr>
      <w:r>
        <w:t xml:space="preserve">61–91×</w:t>
      </w:r>
    </w:p>
    <w:p>
      <w:pPr>
        <w:pStyle w:val="Compact"/>
        <w:numPr>
          <w:ilvl w:val="0"/>
          <w:numId w:val="1000"/>
        </w:numPr>
      </w:pPr>
      <w:r>
        <w:t xml:space="preserve">✓</w:t>
      </w:r>
    </w:p>
    <w:p>
      <w:pPr>
        <w:pStyle w:val="Compact"/>
        <w:numPr>
          <w:ilvl w:val="0"/>
          <w:numId w:val="1000"/>
        </w:numPr>
      </w:pPr>
      <w:r>
        <w:t xml:space="preserve">Baotou Rare Earths</w:t>
      </w:r>
    </w:p>
    <w:p>
      <w:pPr>
        <w:pStyle w:val="Compact"/>
        <w:numPr>
          <w:ilvl w:val="0"/>
          <w:numId w:val="1000"/>
        </w:numPr>
      </w:pPr>
      <w:r>
        <w:t xml:space="preserve">12–35×</w:t>
      </w:r>
    </w:p>
    <w:p>
      <w:pPr>
        <w:pStyle w:val="Compact"/>
        <w:numPr>
          <w:ilvl w:val="0"/>
          <w:numId w:val="1000"/>
        </w:numPr>
      </w:pPr>
      <w:r>
        <w:t xml:space="preserve">18–48×</w:t>
      </w:r>
    </w:p>
    <w:p>
      <w:pPr>
        <w:pStyle w:val="Compact"/>
        <w:numPr>
          <w:ilvl w:val="0"/>
          <w:numId w:val="1000"/>
        </w:numPr>
      </w:pPr>
      <w:r>
        <w:t xml:space="preserve">22–41×</w:t>
      </w:r>
    </w:p>
    <w:p>
      <w:pPr>
        <w:pStyle w:val="Compact"/>
        <w:numPr>
          <w:ilvl w:val="0"/>
          <w:numId w:val="1000"/>
        </w:numPr>
      </w:pPr>
      <w:r>
        <w:t xml:space="preserve">✓</w:t>
      </w:r>
    </w:p>
    <w:p>
      <w:pPr>
        <w:pStyle w:val="Compact"/>
        <w:numPr>
          <w:ilvl w:val="0"/>
          <w:numId w:val="1000"/>
        </w:numPr>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p>
      <w:pPr>
        <w:pStyle w:val="Compact"/>
        <w:numPr>
          <w:ilvl w:val="0"/>
          <w:numId w:val="1000"/>
        </w:numPr>
      </w:pPr>
      <w:r>
        <w:t xml:space="preserve">§9.6 — Backtesting Against Implicit Social Pricing</w:t>
      </w:r>
    </w:p>
    <w:p>
      <w:pPr>
        <w:pStyle w:val="Compact"/>
        <w:numPr>
          <w:ilvl w:val="0"/>
          <w:numId w:val="1000"/>
        </w:numPr>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w:t>
      </w:r>
      <w:r>
        <w:t xml:space="preserve"> </w:t>
      </w:r>
      <w:r>
        <w:t xml:space="preserve">“implicit pricing”</w:t>
      </w:r>
      <w:r>
        <w:t xml:space="preserve"> </w:t>
      </w:r>
      <w:r>
        <w:t xml:space="preserve">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p>
      <w:pPr>
        <w:pStyle w:val="Compact"/>
        <w:numPr>
          <w:ilvl w:val="0"/>
          <w:numId w:val="1000"/>
        </w:numPr>
      </w:pPr>
      <w:r>
        <w:t xml:space="preserve">§10. Theorems and Proofs</w:t>
      </w:r>
    </w:p>
    <w:p>
      <w:pPr>
        <w:pStyle w:val="Compact"/>
        <w:numPr>
          <w:ilvl w:val="0"/>
          <w:numId w:val="1000"/>
        </w:numPr>
      </w:pPr>
      <w:r>
        <w:t xml:space="preserve">Theorem 10.1a (Cost Severance Identity)</w:t>
      </w:r>
    </w:p>
    <w:p>
      <w:pPr>
        <w:pStyle w:val="Compact"/>
        <w:numPr>
          <w:ilvl w:val="0"/>
          <w:numId w:val="1000"/>
        </w:numPr>
      </w:pPr>
      <w:r>
        <w:t xml:space="preserve"> </w:t>
      </w:r>
      <w:r>
        <w:t xml:space="preserve">Assumption A1 (Cost Severance Definition):</w:t>
      </w:r>
      <w:r>
        <w:t xml:space="preserve"> </w:t>
      </w:r>
      <w:r>
        <w:t xml:space="preserve"> </w:t>
      </w:r>
      <w:r>
        <w:t xml:space="preserve">CS(R, t₀) = RCV(R, t₀) − B(R, t₀) where R is a non-renewable resource extracted at time t₀; RCV is per-unit Residual Commons Value; B is per-unit aggregate Accountability Bond. (Per Definition 1.7 / §1.7.)</w:t>
      </w:r>
    </w:p>
    <w:p>
      <w:pPr>
        <w:pStyle w:val="Compact"/>
        <w:numPr>
          <w:ilvl w:val="0"/>
          <w:numId w:val="1000"/>
        </w:numPr>
      </w:pPr>
      <w:r>
        <w:t xml:space="preserve"> </w:t>
      </w:r>
      <w:r>
        <w:t xml:space="preserve">Statement.</w:t>
      </w:r>
      <w:r>
        <w:t xml:space="preserve"> </w:t>
      </w:r>
      <w:r>
        <w:t xml:space="preserve"> </w:t>
      </w:r>
      <w:r>
        <w:t xml:space="preserve">Under Assumption A1, the sign of CS is determined by the comparison of RCV and B:</w:t>
      </w:r>
    </w:p>
    <w:p>
      <w:pPr>
        <w:pStyle w:val="Compact"/>
        <w:numPr>
          <w:ilvl w:val="0"/>
          <w:numId w:val="1000"/>
        </w:numPr>
      </w:pPr>
      <w:r>
        <w:t xml:space="preserve"> </w:t>
      </w:r>
      <w:r>
        <w:t xml:space="preserve">CS &gt; 0</w:t>
      </w:r>
      <w:r>
        <w:t xml:space="preserve"> </w:t>
      </w:r>
      <w:r>
        <w:t xml:space="preserve"> </w:t>
      </w:r>
      <w:r>
        <w:t xml:space="preserve">iff B &lt; RCV;</w:t>
      </w:r>
    </w:p>
    <w:p>
      <w:pPr>
        <w:pStyle w:val="Compact"/>
        <w:numPr>
          <w:ilvl w:val="0"/>
          <w:numId w:val="1000"/>
        </w:numPr>
      </w:pPr>
      <w:r>
        <w:t xml:space="preserve"> </w:t>
      </w:r>
      <w:r>
        <w:t xml:space="preserve">CS = 0</w:t>
      </w:r>
      <w:r>
        <w:t xml:space="preserve"> </w:t>
      </w:r>
      <w:r>
        <w:t xml:space="preserve"> </w:t>
      </w:r>
      <w:r>
        <w:t xml:space="preserve">iff B = RCV;</w:t>
      </w:r>
    </w:p>
    <w:p>
      <w:pPr>
        <w:pStyle w:val="Compact"/>
        <w:numPr>
          <w:ilvl w:val="0"/>
          <w:numId w:val="1000"/>
        </w:numPr>
      </w:pPr>
      <w:r>
        <w:t xml:space="preserve"> </w:t>
      </w:r>
      <w:r>
        <w:t xml:space="preserve">CS &lt; 0</w:t>
      </w:r>
      <w:r>
        <w:t xml:space="preserve"> </w:t>
      </w:r>
      <w:r>
        <w:t xml:space="preserve"> </w:t>
      </w:r>
      <w:r>
        <w:t xml:space="preserve">iff B &gt; RCV.</w:t>
      </w:r>
    </w:p>
    <w:p>
      <w:pPr>
        <w:pStyle w:val="Compact"/>
        <w:numPr>
          <w:ilvl w:val="0"/>
          <w:numId w:val="1000"/>
        </w:numPr>
      </w:pPr>
      <w:r>
        <w:t xml:space="preserve"> </w:t>
      </w:r>
      <w:r>
        <w:t xml:space="preserve">Proof.</w:t>
      </w:r>
      <w:r>
        <w:t xml:space="preserve"> </w:t>
      </w:r>
      <w:r>
        <w:t xml:space="preserve"> </w:t>
      </w:r>
      <w:r>
        <w:t xml:space="preserve">By Assumption A1, CS = RCV − B. Therefore CS &gt; 0 ⇔ RCV − B &gt; 0 ⇔ B &lt; RCV. Similarly for equality and inequality. ∎</w:t>
      </w:r>
    </w:p>
    <w:p>
      <w:pPr>
        <w:pStyle w:val="Compact"/>
        <w:numPr>
          <w:ilvl w:val="0"/>
          <w:numId w:val="1000"/>
        </w:numPr>
      </w:pPr>
      <w:r>
        <w:t xml:space="preserve">Theorem 10.1b (Structural Cost Severance under Current Institutions)</w:t>
      </w:r>
    </w:p>
    <w:p>
      <w:pPr>
        <w:pStyle w:val="Compact"/>
        <w:numPr>
          <w:ilvl w:val="0"/>
          <w:numId w:val="1000"/>
        </w:numPr>
      </w:pPr>
      <w:r>
        <w:t xml:space="preserve"> </w:t>
      </w:r>
      <w:r>
        <w:t xml:space="preserve">Assumptions A2–A4:</w:t>
      </w:r>
      <w:r>
        <w:t xml:space="preserve"> </w:t>
      </w:r>
    </w:p>
    <w:p>
      <w:pPr>
        <w:pStyle w:val="Compact"/>
        <w:numPr>
          <w:ilvl w:val="0"/>
          <w:numId w:val="1000"/>
        </w:numPr>
      </w:pPr>
      <w:r>
        <w:t xml:space="preserve"> </w:t>
      </w:r>
      <w:r>
        <w:t xml:space="preserve">(A2) RCV is non-negative.</w:t>
      </w:r>
      <w:r>
        <w:t xml:space="preserve"> </w:t>
      </w:r>
      <w:r>
        <w:t xml:space="preserve"> </w:t>
      </w:r>
      <w:r>
        <w:t xml:space="preserve">RCV(R, t₀) ≥ 0 for all R, t₀ where R is non-renewable. (Empirical claim supported by §3.1 + §11.)</w:t>
      </w:r>
    </w:p>
    <w:p>
      <w:pPr>
        <w:pStyle w:val="Compact"/>
        <w:numPr>
          <w:ilvl w:val="0"/>
          <w:numId w:val="1000"/>
        </w:numPr>
      </w:pPr>
      <w:r>
        <w:t xml:space="preserve"> </w:t>
      </w:r>
      <w:r>
        <w:t xml:space="preserve">(A3) B is non-negative.</w:t>
      </w:r>
      <w:r>
        <w:t xml:space="preserve"> </w:t>
      </w:r>
      <w:r>
        <w:t xml:space="preserve"> </w:t>
      </w:r>
      <w:r>
        <w:t xml:space="preserve">B(R, t₀) ≥ 0 for all R, t₀. (Definitionally; bonds cannot be negative.)</w:t>
      </w:r>
    </w:p>
    <w:p>
      <w:pPr>
        <w:pStyle w:val="Compact"/>
        <w:numPr>
          <w:ilvl w:val="0"/>
          <w:numId w:val="1000"/>
        </w:numPr>
      </w:pPr>
      <w:r>
        <w:t xml:space="preserve"> </w:t>
      </w:r>
      <w:r>
        <w:t xml:space="preserve">(A4) Aggregate scope.</w:t>
      </w:r>
      <w:r>
        <w:t xml:space="preserve"> </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Compact"/>
        <w:numPr>
          <w:ilvl w:val="0"/>
          <w:numId w:val="1000"/>
        </w:numPr>
      </w:pPr>
      <w:r>
        <w:t xml:space="preserve"> </w:t>
      </w:r>
      <w:r>
        <w:t xml:space="preserve">Premises P1–P3:</w:t>
      </w:r>
      <w:r>
        <w:t xml:space="preserve"> </w:t>
      </w:r>
    </w:p>
    <w:p>
      <w:pPr>
        <w:pStyle w:val="Compact"/>
        <w:numPr>
          <w:ilvl w:val="0"/>
          <w:numId w:val="1000"/>
        </w:numPr>
      </w:pPr>
      <w:r>
        <w:t xml:space="preserve"> </w:t>
      </w:r>
      <w:r>
        <w:t xml:space="preserve">(P1) Intergenerational market incompleteness — extension of Coase 1960.</w:t>
      </w:r>
      <w:r>
        <w:t xml:space="preserve"> </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pStyle w:val="Compact"/>
        <w:numPr>
          <w:ilvl w:val="0"/>
          <w:numId w:val="1000"/>
        </w:numPr>
      </w:pPr>
      <w:r>
        <w:t xml:space="preserve"> </w:t>
      </w:r>
      <w:r>
        <w:t xml:space="preserve">(P2) Partial externality pricing — extension of Pigou 1920.</w:t>
      </w:r>
      <w:r>
        <w:t xml:space="preserve"> </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pStyle w:val="Compact"/>
        <w:numPr>
          <w:ilvl w:val="0"/>
          <w:numId w:val="1000"/>
        </w:numPr>
      </w:pPr>
      <w:r>
        <w:t xml:space="preserve"> </w:t>
      </w:r>
      <w:r>
        <w:t xml:space="preserve">(P3) Current accountability bond inadequacy — empirical.</w:t>
      </w:r>
      <w:r>
        <w:t xml:space="preserve"> </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Compact"/>
        <w:numPr>
          <w:ilvl w:val="0"/>
          <w:numId w:val="1000"/>
        </w:numPr>
      </w:pPr>
      <w:r>
        <w:t xml:space="preserve"> </w:t>
      </w:r>
      <w:r>
        <w:t xml:space="preserve">Statement.</w:t>
      </w:r>
      <w:r>
        <w:t xml:space="preserve"> </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Compact"/>
        <w:numPr>
          <w:ilvl w:val="0"/>
          <w:numId w:val="1000"/>
        </w:numPr>
      </w:pPr>
      <w:r>
        <w:t xml:space="preserve"> </w:t>
      </w:r>
      <w:r>
        <w:t xml:space="preserve">Proof.</w:t>
      </w:r>
      <w:r>
        <w:t xml:space="preserve"> </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Compact"/>
        <w:numPr>
          <w:ilvl w:val="0"/>
          <w:numId w:val="1000"/>
        </w:numPr>
      </w:pPr>
      <w:r>
        <w:t xml:space="preserve">By Theorem 10.1a, B &lt; RCV implies CS &gt; 0. The conclusion follows: CS &gt; 0 holds for non-renewable extraction under current institutions across the jurisdictions empirically validated in §11. ∎</w:t>
      </w:r>
    </w:p>
    <w:p>
      <w:pPr>
        <w:pStyle w:val="Compact"/>
        <w:numPr>
          <w:ilvl w:val="0"/>
          <w:numId w:val="1000"/>
        </w:numPr>
      </w:pPr>
      <w:r>
        <w:t xml:space="preserve"> </w:t>
      </w:r>
      <w:r>
        <w:t xml:space="preserve">Symmetric application — backward CSD-side under canonical CS.</w:t>
      </w:r>
      <w:r>
        <w:t xml:space="preserve"> </w:t>
      </w:r>
      <w:r>
        <w:t xml:space="preserve"> </w:t>
      </w:r>
      <w:r>
        <w:t xml:space="preserve">The theorem extends symmetrically to the backward Cost Severance Damages side under the canonical bidirectional form</w:t>
      </w:r>
      <w:r>
        <w:t xml:space="preserve"> </w:t>
      </w:r>
      <w: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Compact"/>
        <w:numPr>
          <w:ilvl w:val="0"/>
          <w:numId w:val="1000"/>
        </w:numPr>
      </w:pPr>
      <w:r>
        <w:t xml:space="preserve"> </w:t>
      </w:r>
      <w:r>
        <w:t xml:space="preserve">Falsifiability.</w:t>
      </w:r>
      <w:r>
        <w:t xml:space="preserve"> </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Compact"/>
        <w:numPr>
          <w:ilvl w:val="0"/>
          <w:numId w:val="1000"/>
        </w:numPr>
      </w:pPr>
      <w:r>
        <w:t xml:space="preserve"> </w:t>
      </w:r>
      <w:r>
        <w:t xml:space="preserve">Domain of applicability.</w:t>
      </w:r>
      <w:r>
        <w:t xml:space="preserve"> </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Compact"/>
        <w:numPr>
          <w:ilvl w:val="0"/>
          <w:numId w:val="1000"/>
        </w:numPr>
      </w:pPr>
      <w:r>
        <w:t xml:space="preserve">Empirical Observation 10.2 (Cross-Model Convergence)</w:t>
      </w:r>
    </w:p>
    <w:p>
      <w:pPr>
        <w:pStyle w:val="Compact"/>
        <w:numPr>
          <w:ilvl w:val="0"/>
          <w:numId w:val="1000"/>
        </w:numPr>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Compact"/>
        <w:numPr>
          <w:ilvl w:val="0"/>
          <w:numId w:val="1000"/>
        </w:numPr>
      </w:pPr>
      <w:r>
        <w:t xml:space="preserve"> </w:t>
      </w:r>
      <w:r>
        <w:t xml:space="preserve">Supporting argument</w:t>
      </w:r>
      <w:r>
        <w:t xml:space="preserve"> </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t xml:space="preserve">PNAS</w:t>
      </w:r>
      <w:r>
        <w:t xml:space="preserve"> </w:t>
      </w:r>
      <w:r>
        <w:t xml:space="preserve">“Groups of diverse problem solvers can outperform groups of high-ability problem solvers”</w:t>
      </w:r>
      <w:r>
        <w:t xml:space="preserve">; Mosteller &amp; Tukey 1977</w:t>
      </w:r>
      <w:r>
        <w:t xml:space="preserve"> </w:t>
      </w:r>
      <w:r>
        <w:t xml:space="preserve">Data Analysis and Regression</w:t>
      </w:r>
      <w:r>
        <w:t xml:space="preserve"> </w:t>
      </w:r>
      <w:r>
        <w:t xml:space="preserve">on multiple-estimator convergence).</w:t>
      </w:r>
    </w:p>
    <w:p>
      <w:pPr>
        <w:pStyle w:val="Compact"/>
        <w:numPr>
          <w:ilvl w:val="0"/>
          <w:numId w:val="1000"/>
        </w:numPr>
      </w:pPr>
      <w:r>
        <w:t xml:space="preserve"> </w:t>
      </w:r>
      <w:r>
        <w:t xml:space="preserve">Failure modes</w:t>
      </w:r>
      <w:r>
        <w:t xml:space="preserve"> </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Compact"/>
        <w:numPr>
          <w:ilvl w:val="0"/>
          <w:numId w:val="1000"/>
        </w:numPr>
      </w:pPr>
      <w:r>
        <w:t xml:space="preserve"> </w:t>
      </w:r>
      <w:r>
        <w:t xml:space="preserve">Domain of applicability.</w:t>
      </w:r>
      <w:r>
        <w:t xml:space="preserve"> </w:t>
      </w:r>
      <w:r>
        <w:t xml:space="preserve"> </w:t>
      </w:r>
      <w:r>
        <w:t xml:space="preserve">Tested calibration case landscape per §11. Generalization to additional resource classes, geographies, or extraction regimes requires further empirical work.</w:t>
      </w:r>
    </w:p>
    <w:p>
      <w:pPr>
        <w:pStyle w:val="Compact"/>
        <w:numPr>
          <w:ilvl w:val="0"/>
          <w:numId w:val="1000"/>
        </w:numPr>
      </w:pPr>
      <w:r>
        <w:t xml:space="preserve"> </w:t>
      </w:r>
      <w:r>
        <w:t xml:space="preserve">Categorization note.</w:t>
      </w:r>
      <w:r>
        <w:t xml:space="preserve"> </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Compact"/>
        <w:numPr>
          <w:ilvl w:val="0"/>
          <w:numId w:val="1000"/>
        </w:numPr>
      </w:pPr>
      <w:r>
        <w:t xml:space="preserve">Theorem 10.3 (Abundance Masking under Stock-Flow Framework)</w:t>
      </w:r>
    </w:p>
    <w:p>
      <w:pPr>
        <w:pStyle w:val="Compact"/>
        <w:numPr>
          <w:ilvl w:val="0"/>
          <w:numId w:val="1000"/>
        </w:numPr>
      </w:pPr>
      <w:r>
        <w:t xml:space="preserve"> </w:t>
      </w:r>
      <w:r>
        <w:t xml:space="preserve">Assumptions A1–A4:</w:t>
      </w:r>
      <w:r>
        <w:t xml:space="preserve"> </w:t>
      </w:r>
    </w:p>
    <w:p>
      <w:pPr>
        <w:pStyle w:val="Compact"/>
        <w:numPr>
          <w:ilvl w:val="0"/>
          <w:numId w:val="1000"/>
        </w:numPr>
      </w:pPr>
      <w:r>
        <w:t xml:space="preserve"> </w:t>
      </w:r>
      <w:r>
        <w:t xml:space="preserve">(A1) Stock-flow framework.</w:t>
      </w:r>
      <w:r>
        <w:t xml:space="preserve"> </w:t>
      </w:r>
      <w:r>
        <w:t xml:space="preserve"> </w:t>
      </w:r>
      <w:r>
        <w:t xml:space="preserve">The commons under analysis is a non-renewable depletable resource with abundance A(t) ∈ (0, ∞) where A is monotonically non-increasing under continuous extraction.</w:t>
      </w:r>
    </w:p>
    <w:p>
      <w:pPr>
        <w:pStyle w:val="Compact"/>
        <w:numPr>
          <w:ilvl w:val="0"/>
          <w:numId w:val="1000"/>
        </w:numPr>
      </w:pPr>
      <w:r>
        <w:t xml:space="preserve"> </w:t>
      </w:r>
      <w:r>
        <w:t xml:space="preserve">(A2) Cost-function structure.</w:t>
      </w:r>
      <w:r>
        <w:t xml:space="preserve"> </w:t>
      </w:r>
      <w:r>
        <w:t xml:space="preserve"> </w:t>
      </w:r>
      <w:r>
        <w:t xml:space="preserve">The cost function c: (τ, ∞) → ℝ_≥0 is continuous, non-negative, monotonically decreasing in A, with the limit behavior:</w:t>
      </w:r>
    </w:p>
    <w:p>
      <w:pPr>
        <w:pStyle w:val="Compact"/>
        <w:numPr>
          <w:ilvl w:val="0"/>
          <w:numId w:val="1000"/>
        </w:numPr>
      </w:pPr>
      <w:r>
        <w:t xml:space="preserve">lim_{A → ∞} c(A) = 0 (or bounded above by a small constant).</w:t>
      </w:r>
    </w:p>
    <w:p>
      <w:pPr>
        <w:pStyle w:val="Compact"/>
        <w:numPr>
          <w:ilvl w:val="0"/>
          <w:numId w:val="1000"/>
        </w:numPr>
      </w:pPr>
      <w:r>
        <w:t xml:space="preserve">lim_{A → τ⁺} c(A) = ∞ (or grows faster than any polynomial in 1/(A − τ)).</w:t>
      </w:r>
    </w:p>
    <w:p>
      <w:pPr>
        <w:pStyle w:val="Compact"/>
        <w:numPr>
          <w:ilvl w:val="0"/>
          <w:numId w:val="1000"/>
        </w:numPr>
      </w:pPr>
      <w:r>
        <w:t xml:space="preserve">The framework adopts (without loss of generality) the explicit functional form c(A) = c₀ · (τ/(A − τ))^ξ for some ξ ≥ 1; alternative forms with the same limit behavior are admissible.</w:t>
      </w:r>
    </w:p>
    <w:p>
      <w:pPr>
        <w:pStyle w:val="Compact"/>
        <w:numPr>
          <w:ilvl w:val="0"/>
          <w:numId w:val="1000"/>
        </w:numPr>
      </w:pPr>
      <w:r>
        <w:t xml:space="preserve"> </w:t>
      </w:r>
      <w:r>
        <w:t xml:space="preserve">(A3) Standard supply-elasticity behavior.</w:t>
      </w:r>
      <w:r>
        <w:t xml:space="preserve"> </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pStyle w:val="Compact"/>
        <w:numPr>
          <w:ilvl w:val="0"/>
          <w:numId w:val="1000"/>
        </w:numPr>
      </w:pPr>
      <w:r>
        <w:t xml:space="preserve"> </w:t>
      </w:r>
      <w:r>
        <w:t xml:space="preserve">(A4) Domain restrictions.</w:t>
      </w:r>
      <w:r>
        <w:t xml:space="preserve"> </w:t>
      </w:r>
      <w:r>
        <w:t xml:space="preserve"> </w:t>
      </w:r>
      <w:r>
        <w:t xml:space="preserve">Theorem 10.3 applies to non-renewable depletable commons under stock-flow framework with standard supply-elasticity. The theorem does NOT apply to:</w:t>
      </w:r>
    </w:p>
    <w:p>
      <w:pPr>
        <w:pStyle w:val="Compact"/>
        <w:numPr>
          <w:ilvl w:val="0"/>
          <w:numId w:val="1000"/>
        </w:numPr>
      </w:pPr>
      <w:r>
        <w:t xml:space="preserve">Renewable commons where regeneration ≥ extraction rate (cost-function does not exhibit the limit behavior).</w:t>
      </w:r>
    </w:p>
    <w:p>
      <w:pPr>
        <w:pStyle w:val="Compact"/>
        <w:numPr>
          <w:ilvl w:val="0"/>
          <w:numId w:val="1000"/>
        </w:numPr>
      </w:pPr>
      <w:r>
        <w:t xml:space="preserve">Information / non-rivalrous commons where use does not deplete the stock.</w:t>
      </w:r>
    </w:p>
    <w:p>
      <w:pPr>
        <w:pStyle w:val="Compact"/>
        <w:numPr>
          <w:ilvl w:val="0"/>
          <w:numId w:val="1000"/>
        </w:numPr>
      </w:pPr>
      <w:r>
        <w:t xml:space="preserve">Network-effect commons where cost dynamics depend on coordination effects.</w:t>
      </w:r>
    </w:p>
    <w:p>
      <w:pPr>
        <w:pStyle w:val="Compact"/>
        <w:numPr>
          <w:ilvl w:val="0"/>
          <w:numId w:val="1000"/>
        </w:numPr>
      </w:pPr>
      <w:r>
        <w:t xml:space="preserve">Multi-threshold commons (separate analysis required for each transition; Theorem 10.3 applies locally to each transition).</w:t>
      </w:r>
    </w:p>
    <w:p>
      <w:pPr>
        <w:pStyle w:val="Compact"/>
        <w:numPr>
          <w:ilvl w:val="0"/>
          <w:numId w:val="1000"/>
        </w:numPr>
      </w:pPr>
      <w:r>
        <w:t xml:space="preserve"> </w:t>
      </w:r>
      <w:r>
        <w:t xml:space="preserve">Abstract premise framing (complementary to A1–A4):</w:t>
      </w:r>
      <w:r>
        <w:t xml:space="preserve"> </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Compact"/>
        <w:numPr>
          <w:ilvl w:val="0"/>
          <w:numId w:val="1000"/>
        </w:numPr>
      </w:pPr>
      <w:r>
        <w:t xml:space="preserve"> </w:t>
      </w:r>
      <w:r>
        <w:t xml:space="preserve">Notation note.</w:t>
      </w:r>
      <w:r>
        <w:t xml:space="preserve"> </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Compact"/>
        <w:numPr>
          <w:ilvl w:val="0"/>
          <w:numId w:val="1000"/>
        </w:numPr>
      </w:pPr>
      <w:r>
        <w:t xml:space="preserve"> </w:t>
      </w:r>
      <w:r>
        <w:t xml:space="preserve">Statement.</w:t>
      </w:r>
      <w:r>
        <w:t xml:space="preserve"> </w:t>
      </w:r>
      <w:r>
        <w:t xml:space="preserve"> </w:t>
      </w:r>
      <w:r>
        <w:t xml:space="preserve">Under Assumptions A1–A4, for any non-renewable depletable commons with cost function c(A) per A2:</w:t>
      </w:r>
    </w:p>
    <w:p>
      <w:pPr>
        <w:pStyle w:val="Compact"/>
        <w:numPr>
          <w:ilvl w:val="0"/>
          <w:numId w:val="1000"/>
        </w:numPr>
      </w:pPr>
      <w:r>
        <w:t xml:space="preserve"> </w:t>
      </w:r>
      <w:r>
        <w:t xml:space="preserve">(i) As abundance A → ∞, cost c(A) → 0; equivalently, for any ε &gt; 0 there exists A_ε such that c(A) &lt; ε for A &gt; A_ε</w:t>
      </w:r>
      <w:r>
        <w:t xml:space="preserve"> </w:t>
      </w:r>
      <w:r>
        <w:t xml:space="preserve"> </w:t>
      </w:r>
      <w:r>
        <w:t xml:space="preserve">— cost is masked by abundance to within any specified tolerance once abundance is sufficiently large relative to scarcity threshold.</w:t>
      </w:r>
    </w:p>
    <w:p>
      <w:pPr>
        <w:pStyle w:val="Compact"/>
        <w:numPr>
          <w:ilvl w:val="0"/>
          <w:numId w:val="1000"/>
        </w:numPr>
      </w:pPr>
      <w:r>
        <w:t xml:space="preserve"> </w:t>
      </w:r>
      <w:r>
        <w:t xml:space="preserve">(ii) As abundance A → τ⁺ (approaches scarcity threshold from above), cost c(A) → ∞</w:t>
      </w:r>
      <w:r>
        <w:t xml:space="preserve"> </w:t>
      </w:r>
      <w:r>
        <w:t xml:space="preserve"> </w:t>
      </w:r>
      <w:r>
        <w:t xml:space="preserve">— cost becomes visible and grows nonlinearly.</w:t>
      </w:r>
    </w:p>
    <w:p>
      <w:pPr>
        <w:pStyle w:val="Compact"/>
        <w:numPr>
          <w:ilvl w:val="0"/>
          <w:numId w:val="1000"/>
        </w:numPr>
      </w:pPr>
      <w:r>
        <w:t xml:space="preserve"> </w:t>
      </w:r>
      <w:r>
        <w:t xml:space="preserve">Proof of (i).</w:t>
      </w:r>
      <w:r>
        <w:t xml:space="preserve"> </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Compact"/>
        <w:numPr>
          <w:ilvl w:val="0"/>
          <w:numId w:val="1000"/>
        </w:numPr>
      </w:pPr>
      <w:r>
        <w:t xml:space="preserve"> </w:t>
      </w:r>
      <w:r>
        <w:t xml:space="preserve">Proof of (ii).</w:t>
      </w:r>
      <w:r>
        <w:t xml:space="preserve"> </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Compact"/>
        <w:numPr>
          <w:ilvl w:val="0"/>
          <w:numId w:val="1000"/>
        </w:numPr>
      </w:pPr>
      <w:r>
        <w:t xml:space="preserve">The functional form c(A) = c₀ · (τ/(A − τ))^ξ with ξ ≥ 1 satisfies these limit conditions explicitly. Two complementary academic lineages support the functional form:</w:t>
      </w:r>
    </w:p>
    <w:p>
      <w:pPr>
        <w:pStyle w:val="Compact"/>
        <w:numPr>
          <w:ilvl w:val="0"/>
          <w:numId w:val="1000"/>
        </w:numPr>
      </w:pPr>
      <w:r>
        <w:t xml:space="preserve"> </w:t>
      </w:r>
      <w:r>
        <w:t xml:space="preserve">Commodity-economics + supply-elasticity lineage (price-discovery framing):</w:t>
      </w:r>
      <w:r>
        <w:t xml:space="preserve"> </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t xml:space="preserve">Brookings Papers on Economic Activity</w:t>
      </w:r>
      <w:r>
        <w:t xml:space="preserve">; Kilian 2009</w:t>
      </w:r>
      <w:r>
        <w:t xml:space="preserve"> </w:t>
      </w:r>
      <w:r>
        <w:t xml:space="preserve">American Economic Review</w:t>
      </w:r>
      <w:r>
        <w:t xml:space="preserve">; Pindyck 2008</w:t>
      </w:r>
      <w:r>
        <w:t xml:space="preserve"> </w:t>
      </w:r>
      <w:r>
        <w:t xml:space="preserve">Energy Journal</w:t>
      </w:r>
      <w:r>
        <w:t xml:space="preserve">) display the abundance-masking pattern in priced markets: prices rise nonlinearly as binding-constraint regimes are approached.</w:t>
      </w:r>
    </w:p>
    <w:p>
      <w:pPr>
        <w:pStyle w:val="Compact"/>
        <w:numPr>
          <w:ilvl w:val="0"/>
          <w:numId w:val="1000"/>
        </w:numPr>
      </w:pPr>
      <w:r>
        <w:t xml:space="preserve"> </w:t>
      </w:r>
      <w:r>
        <w:t xml:space="preserve">Resource-economics + tipping-point lineage (biophysical/structural framing):</w:t>
      </w:r>
      <w:r>
        <w:t xml:space="preserve"> </w:t>
      </w:r>
      <w:r>
        <w:t xml:space="preserve"> </w:t>
      </w:r>
      <w:r>
        <w:t xml:space="preserve">Stock-dependent cost-function behavior (Pindyck 1978</w:t>
      </w:r>
      <w:r>
        <w:t xml:space="preserve"> </w:t>
      </w:r>
      <w:r>
        <w:t xml:space="preserve">Journal of Political Economy</w:t>
      </w:r>
      <w:r>
        <w:t xml:space="preserve">; Dasgupta &amp; Heal 1979</w:t>
      </w:r>
      <w:r>
        <w:t xml:space="preserve"> </w:t>
      </w:r>
      <w:r>
        <w:t xml:space="preserve">Economic Theory and Exhaustible Resources</w:t>
      </w:r>
      <w:r>
        <w:t xml:space="preserve">) provides the resource-economics foundation. Ecological tipping-point dynamics (Barnosky et al. 2012</w:t>
      </w:r>
      <w:r>
        <w:t xml:space="preserve"> </w:t>
      </w:r>
      <w:r>
        <w:t xml:space="preserve">Nature</w:t>
      </w:r>
      <w:r>
        <w:t xml:space="preserve"> </w:t>
      </w:r>
      <w:r>
        <w:t xml:space="preserve">“Approaching a state shift in Earth’s biosphere”</w:t>
      </w:r>
      <w:r>
        <w:t xml:space="preserve">; Lenton et al. 2008</w:t>
      </w:r>
      <w:r>
        <w:t xml:space="preserve"> </w:t>
      </w:r>
      <w:r>
        <w:t xml:space="preserve">PNAS</w:t>
      </w:r>
      <w:r>
        <w:t xml:space="preserve"> </w:t>
      </w:r>
      <w:r>
        <w:t xml:space="preserve">“Tipping elements in the Earth’s climate system”</w:t>
      </w:r>
      <w:r>
        <w:t xml:space="preserve">) provide the same nonlinear-growth-near-threshold behavior in ecological systems.</w:t>
      </w:r>
    </w:p>
    <w:p>
      <w:pPr>
        <w:pStyle w:val="Compact"/>
        <w:numPr>
          <w:ilvl w:val="0"/>
          <w:numId w:val="1000"/>
        </w:numPr>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Compact"/>
        <w:numPr>
          <w:ilvl w:val="0"/>
          <w:numId w:val="1000"/>
        </w:numPr>
      </w:pPr>
      <w:r>
        <w:t xml:space="preserve"> </w:t>
      </w:r>
      <w:r>
        <w:t xml:space="preserve">Empirical illustration.</w:t>
      </w:r>
      <w:r>
        <w:t xml:space="preserve"> </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Compact"/>
        <w:numPr>
          <w:ilvl w:val="0"/>
          <w:numId w:val="1000"/>
        </w:numPr>
      </w:pPr>
      <w:r>
        <w:t xml:space="preserve"> </w:t>
      </w:r>
      <w:r>
        <w:t xml:space="preserve">Operational corollary.</w:t>
      </w:r>
      <w:r>
        <w:t xml:space="preserve"> </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Compact"/>
        <w:numPr>
          <w:ilvl w:val="0"/>
          <w:numId w:val="1000"/>
        </w:numPr>
      </w:pPr>
      <w:r>
        <w:t xml:space="preserve">Theorem 10.4 (RCV Integral Convergence under Weitzman Declining Discount)</w:t>
      </w:r>
    </w:p>
    <w:p>
      <w:pPr>
        <w:pStyle w:val="Compact"/>
        <w:numPr>
          <w:ilvl w:val="0"/>
          <w:numId w:val="1000"/>
        </w:numPr>
      </w:pPr>
      <w:r>
        <w:t xml:space="preserve"> </w:t>
      </w:r>
      <w:r>
        <w:t xml:space="preserve">Assumptions A1–A4:</w:t>
      </w:r>
      <w:r>
        <w:t xml:space="preserve"> </w:t>
      </w:r>
    </w:p>
    <w:p>
      <w:pPr>
        <w:pStyle w:val="Compact"/>
        <w:numPr>
          <w:ilvl w:val="0"/>
          <w:numId w:val="1000"/>
        </w:numPr>
      </w:pPr>
      <w:r>
        <w:t xml:space="preserve"> </w:t>
      </w:r>
      <w:r>
        <w:t xml:space="preserve">(A1) Utility growth.</w:t>
      </w:r>
      <w:r>
        <w:t xml:space="preserve"> </w:t>
      </w:r>
      <w:r>
        <w:t xml:space="preserve"> </w:t>
      </w:r>
      <w:r>
        <w:t xml:space="preserve">U: ℝ × [t₀, ∞) × ℝ → ℝ_≥0 satisfies polynomial growth: ∃ U_0 ≥ 0, k ≥ 0 such that U(R, t, Q(t)) ≤ U_0 · (1 + t)^k for all t ≥ t₀.</w:t>
      </w:r>
    </w:p>
    <w:p>
      <w:pPr>
        <w:pStyle w:val="Compact"/>
        <w:numPr>
          <w:ilvl w:val="0"/>
          <w:numId w:val="1000"/>
        </w:numPr>
      </w:pPr>
      <w:r>
        <w:t xml:space="preserve"> </w:t>
      </w:r>
      <w:r>
        <w:t xml:space="preserve">(A2) Externality growth.</w:t>
      </w:r>
      <w:r>
        <w:t xml:space="preserve"> </w:t>
      </w:r>
      <w:r>
        <w:t xml:space="preserve"> </w:t>
      </w:r>
      <w:r>
        <w:t xml:space="preserve">E: ℝ × [t₀, ∞) → ℝ_≥0 satisfies polynomial growth: ∃ E_0 ≥ 0, m ≥ 0 such that E(R, t) ≤ E_0 · (1 + t)^m for all t ≥ t₀.</w:t>
      </w:r>
    </w:p>
    <w:p>
      <w:pPr>
        <w:pStyle w:val="Compact"/>
        <w:numPr>
          <w:ilvl w:val="0"/>
          <w:numId w:val="1000"/>
        </w:numPr>
      </w:pPr>
      <w:r>
        <w:t xml:space="preserve"> </w:t>
      </w:r>
      <w:r>
        <w:t xml:space="preserve">(A3) Substitutability function.</w:t>
      </w:r>
      <w:r>
        <w:t xml:space="preserve"> </w:t>
      </w:r>
      <w:r>
        <w:t xml:space="preserve"> </w:t>
      </w:r>
      <w:r>
        <w:t xml:space="preserve">S: [t₀, ∞) → [0, 1] is non-decreasing (substitutability is monotonically improving over time as substitute technologies mature). S(t) → S_max ∈ [0, 1] as t → ∞.</w:t>
      </w:r>
    </w:p>
    <w:p>
      <w:pPr>
        <w:pStyle w:val="Compact"/>
        <w:numPr>
          <w:ilvl w:val="0"/>
          <w:numId w:val="1000"/>
        </w:numPr>
      </w:pPr>
      <w:r>
        <w:t xml:space="preserve"> </w:t>
      </w:r>
      <w:r>
        <w:t xml:space="preserve">(A4) Discount factor — Weitzman 2001 declining-rate framework.</w:t>
      </w:r>
      <w:r>
        <w:t xml:space="preserve"> </w:t>
      </w:r>
      <w:r>
        <w:t xml:space="preserve"> </w:t>
      </w:r>
      <w:r>
        <w:t xml:space="preserve">D(t, t₀) = exp(−∫</w:t>
      </w:r>
      <w:r>
        <w:rPr>
          <w:i/>
          <w:iCs/>
        </w:rPr>
        <w:t xml:space="preserve">{t₀}^t r(s) ds) where r: [t₀, ∞) → ℝ</w:t>
      </w:r>
      <w:r>
        <w:t xml:space="preserve">≥0 is bounded. Per Weitzman 2001, r(s) → r_∞ ≥ 0 as s → ∞ (long-run certainty-equivalent rate).</w:t>
      </w:r>
    </w:p>
    <w:p>
      <w:pPr>
        <w:pStyle w:val="Compact"/>
        <w:numPr>
          <w:ilvl w:val="0"/>
          <w:numId w:val="1000"/>
        </w:numPr>
      </w:pPr>
      <w:r>
        <w:t xml:space="preserve"> </w:t>
      </w:r>
      <w:r>
        <w:t xml:space="preserve">Statement.</w:t>
      </w:r>
      <w:r>
        <w:t xml:space="preserve"> </w:t>
      </w:r>
      <w:r>
        <w:t xml:space="preserve"> </w:t>
      </w:r>
      <w:r>
        <w:t xml:space="preserve">Under Assumptions A1–A4, the RCV integral RCV(R, t₀) = ∫_{t₀}^∞ {[1 − S(t)] · U(R, t, Q(t)) + E(R, t)} · D(t, t₀) dt converges (is finite) when at least one of the following sufficient conditions holds:</w:t>
      </w:r>
    </w:p>
    <w:p>
      <w:pPr>
        <w:pStyle w:val="Compact"/>
        <w:numPr>
          <w:ilvl w:val="0"/>
          <w:numId w:val="1000"/>
        </w:numPr>
      </w:pPr>
      <w:r>
        <w:t xml:space="preserve"> </w:t>
      </w:r>
      <w:r>
        <w:t xml:space="preserve">(SC1) Positive long-run discount:</w:t>
      </w:r>
      <w:r>
        <w:t xml:space="preserve"> </w:t>
      </w:r>
      <w:r>
        <w:t xml:space="preserve"> </w:t>
      </w:r>
      <w:r>
        <w:t xml:space="preserve">r_∞ &gt; 0.</w:t>
      </w:r>
    </w:p>
    <w:p>
      <w:pPr>
        <w:pStyle w:val="Compact"/>
        <w:numPr>
          <w:ilvl w:val="0"/>
          <w:numId w:val="1000"/>
        </w:numPr>
      </w:pPr>
      <w:r>
        <w:t xml:space="preserve"> </w:t>
      </w:r>
      <w:r>
        <w:t xml:space="preserve">(SC2) Sufficient substitutability convergence:</w:t>
      </w:r>
      <w:r>
        <w:t xml:space="preserve"> </w:t>
      </w:r>
      <w:r>
        <w:t xml:space="preserve"> </w:t>
      </w:r>
      <w:r>
        <w:t xml:space="preserve">∫</w:t>
      </w:r>
      <w:r>
        <w:rPr>
          <w:i/>
          <w:iCs/>
        </w:rPr>
        <w:t xml:space="preserve">{t₀}^∞ [1 − S(t)] · U(R, t, Q(t)) dt &lt; ∞ AND ∫</w:t>
      </w:r>
      <w:r>
        <w:t xml:space="preserve">{t₀}^∞ E(R, t) · D(t, t₀) dt &lt; ∞.</w:t>
      </w:r>
    </w:p>
    <w:p>
      <w:pPr>
        <w:pStyle w:val="Compact"/>
        <w:numPr>
          <w:ilvl w:val="0"/>
          <w:numId w:val="1000"/>
        </w:numPr>
      </w:pPr>
      <w:r>
        <w:t xml:space="preserve"> </w:t>
      </w:r>
      <w:r>
        <w:t xml:space="preserve">Knife-edge divergence corollary.</w:t>
      </w:r>
      <w:r>
        <w:t xml:space="preserve"> </w:t>
      </w:r>
      <w:r>
        <w:t xml:space="preserve"> </w:t>
      </w:r>
      <w:r>
        <w:t xml:space="preserve">RCV(R, t₀) = ∞ when S_max &lt; 1 AND ∫</w:t>
      </w:r>
      <w:r>
        <w:rPr>
          <w:i/>
          <w:iCs/>
        </w:rPr>
        <w:t xml:space="preserve">{t₀}^∞ r(s) ds &lt; ∞ AND ∫</w:t>
      </w:r>
      <w:r>
        <w:t xml:space="preserve">{t₀}^∞ [1 − S_max] · U(R, t, Q(t)) dt = ∞. The summable-decay hypothesis ∫ r(s) ds &lt; ∞ is strictly stronger than r_∞ = 0; it guarantees D_∞ = exp(−∫</w:t>
      </w:r>
      <w:r>
        <w:rPr>
          <w:i/>
          <w:iCs/>
        </w:rPr>
        <w:t xml:space="preserve">{t₀}^∞ r(s) ds) &gt; 0 (required for the lower bound used in the proof). Explicit cases satisfying the strengthened hypothesis include r(s) = 0 for s sufficiently large and r(s) integrable on [t₀, ∞); the hypothesis excludes slow-decaying r such as r(s) = 1/s where r</w:t>
      </w:r>
      <w:r>
        <w:t xml:space="preserve">∞ = 0 but ∫ r(s) ds = ∞ and D_∞ = 0. Under the strengthened hypotheses, permanent non-substitutable foreclosure under summable discount-rate decay accumulates unbounded utility-weighted cost.</w:t>
      </w:r>
    </w:p>
    <w:p>
      <w:pPr>
        <w:pStyle w:val="Compact"/>
        <w:numPr>
          <w:ilvl w:val="0"/>
          <w:numId w:val="1000"/>
        </w:numPr>
      </w:pPr>
      <w:r>
        <w:t xml:space="preserve"> </w:t>
      </w:r>
      <w:r>
        <w:t xml:space="preserve">Proof.</w:t>
      </w:r>
      <w:r>
        <w:t xml:space="preserve"> </w:t>
      </w:r>
      <w:r>
        <w:t xml:space="preserve"> </w:t>
      </w:r>
      <w:r>
        <w:t xml:space="preserve">RCV(R, t₀) = ∫_{t₀}^∞ f(t) dt where f(t) = {[1 − S(t)] · U(R, t, Q(t)) + E(R, t)} · D(t, t₀) is non-negative under A1, A2, A3 (S(t) ∈ [0, 1] ⇒ 1 − S(t) ≥ 0; U ≥ 0 by A1; E ≥ 0 by A2; D &gt; 0).</w:t>
      </w:r>
    </w:p>
    <w:p>
      <w:pPr>
        <w:pStyle w:val="Compact"/>
        <w:numPr>
          <w:ilvl w:val="0"/>
          <w:numId w:val="1000"/>
        </w:numPr>
      </w:pPr>
      <w:r>
        <w:t xml:space="preserve"> </w:t>
      </w:r>
      <w:r>
        <w:t xml:space="preserve">Case (SC1):</w:t>
      </w:r>
      <w:r>
        <w:t xml:space="preserve"> </w:t>
      </w:r>
      <w:r>
        <w:t xml:space="preserve"> </w:t>
      </w:r>
      <w:r>
        <w:t xml:space="preserve">r_∞ &gt; 0. Then ∃ T ≥ t₀ such that for s ≥ T, r(s) ≥ r_∞/2 &gt; 0. For t ≥ T:</w:t>
      </w:r>
    </w:p>
    <w:p>
      <w:pPr>
        <w:pStyle w:val="Compact"/>
        <w:numPr>
          <w:ilvl w:val="0"/>
          <w:numId w:val="1000"/>
        </w:numPr>
      </w:pPr>
      <w:r>
        <w:t xml:space="preserve">D(t, t₀) = exp(−∫</w:t>
      </w:r>
      <w:r>
        <w:rPr>
          <w:i/>
          <w:iCs/>
        </w:rPr>
        <w:t xml:space="preserve">{t₀}^t r(s) ds) ≤ exp(−∫</w:t>
      </w:r>
      <w:r>
        <w:rPr>
          <w:i/>
          <w:i/>
          <w:iCs/>
          <w:iCs/>
        </w:rPr>
        <w:t xml:space="preserve">T^t (r</w:t>
      </w:r>
      <w:r>
        <w:rPr>
          <w:i/>
          <w:iCs/>
        </w:rPr>
        <w:t xml:space="preserve">∞/2) ds) · exp(−∫</w:t>
      </w:r>
      <w:r>
        <w:t xml:space="preserve">{t₀}^T r(s) ds) = K · exp(−(r_∞/2) · (t − T))</w:t>
      </w:r>
    </w:p>
    <w:p>
      <w:pPr>
        <w:pStyle w:val="Compact"/>
        <w:numPr>
          <w:ilvl w:val="0"/>
          <w:numId w:val="1000"/>
        </w:numPr>
      </w:pPr>
      <w:r>
        <w:t xml:space="preserve">for constant K = exp(−∫_{t₀}^T r(s) ds). The integrand is bounded by:</w:t>
      </w:r>
    </w:p>
    <w:p>
      <w:pPr>
        <w:pStyle w:val="Compact"/>
        <w:numPr>
          <w:ilvl w:val="0"/>
          <w:numId w:val="1000"/>
        </w:numPr>
      </w:pPr>
      <w:r>
        <w:t xml:space="preserve">f(t) ≤ [U_0 · (1 + t)^k + E_0 · (1 + t)^m] · K · exp(−(r_∞/2) · (t − T))</w:t>
      </w:r>
    </w:p>
    <w:p>
      <w:pPr>
        <w:pStyle w:val="Compact"/>
        <w:numPr>
          <w:ilvl w:val="0"/>
          <w:numId w:val="1000"/>
        </w:numPr>
      </w:pPr>
      <w:r>
        <w:t xml:space="preserve">Polynomial growth dominated by exponential decay ⇒ integrand integrable on [T, ∞). Continuous on [t₀, T] ⇒ integrable on [t₀, T]. By Lebesgue dominated convergence theorem (Royden 1988 §4.4; Folland 1999 §2.4), ∫_{t₀}^∞ f(t) dt &lt; ∞. ∎ Case SC1.</w:t>
      </w:r>
    </w:p>
    <w:p>
      <w:pPr>
        <w:pStyle w:val="Compact"/>
        <w:numPr>
          <w:ilvl w:val="0"/>
          <w:numId w:val="1000"/>
        </w:numPr>
      </w:pPr>
      <w:r>
        <w:t xml:space="preserve"> </w:t>
      </w:r>
      <w:r>
        <w:t xml:space="preserve">Case (SC2):</w:t>
      </w:r>
      <w:r>
        <w:t xml:space="preserve"> </w:t>
      </w:r>
      <w:r>
        <w:t xml:space="preserve"> </w:t>
      </w:r>
      <w:r>
        <w:t xml:space="preserve">∫</w:t>
      </w:r>
      <w:r>
        <w:rPr>
          <w:i/>
          <w:iCs/>
        </w:rPr>
        <w:t xml:space="preserve">{t₀}^∞ [1 − S(t)] · U(R, t, Q(t)) dt &lt; ∞ AND ∫</w:t>
      </w:r>
      <w:r>
        <w:t xml:space="preserve">{t₀}^∞ E(R, t) · D(t, t₀) dt &lt; ∞ (the latter independent assumption since E’s convergence does not depend on substitutability).</w:t>
      </w:r>
    </w:p>
    <w:p>
      <w:pPr>
        <w:pStyle w:val="Compact"/>
        <w:numPr>
          <w:ilvl w:val="0"/>
          <w:numId w:val="1000"/>
        </w:numPr>
      </w:pPr>
      <w:r>
        <w:t xml:space="preserve">∫</w:t>
      </w:r>
      <w:r>
        <w:rPr>
          <w:i/>
          <w:iCs/>
        </w:rPr>
        <w:t xml:space="preserve">{t₀}^∞ f(t) dt = ∫</w:t>
      </w:r>
      <w:r>
        <w:t xml:space="preserve">{t₀}^∞ [1 − S(t)] · U · D dt + ∫_{t₀}^∞ E · D dt</w:t>
      </w:r>
    </w:p>
    <w:p>
      <w:pPr>
        <w:pStyle w:val="Compact"/>
        <w:numPr>
          <w:ilvl w:val="0"/>
          <w:numId w:val="1000"/>
        </w:numPr>
      </w:pPr>
      <w:r>
        <w:t xml:space="preserve">Since D(t, t₀) ≤ 1 (D is a decay factor), [1 − S(t)] · U · D ≤ [1 − S(t)] · U pointwise. By monotonicity of the Lebesgue integral for non-negative integrands and the pointwise bound, ∫</w:t>
      </w:r>
      <w:r>
        <w:rPr>
          <w:i/>
          <w:iCs/>
        </w:rPr>
        <w:t xml:space="preserve">{t₀}^∞ [1 − S(t)] · U · D dt ≤ ∫</w:t>
      </w:r>
      <w:r>
        <w:t xml:space="preserve">{t₀}^∞ [1 − S(t)] · U dt &lt; ∞ by the first SC2 hypothesis. The second SC2 hypothesis directly gives the second integral finite. Sum is finite. ∎ Case SC2.</w:t>
      </w:r>
    </w:p>
    <w:p>
      <w:pPr>
        <w:pStyle w:val="Compact"/>
        <w:numPr>
          <w:ilvl w:val="0"/>
          <w:numId w:val="1000"/>
        </w:numPr>
      </w:pPr>
      <w:r>
        <w:t xml:space="preserve"> </w:t>
      </w:r>
      <w:r>
        <w:t xml:space="preserve">Knife-edge corollary proof.</w:t>
      </w:r>
      <w:r>
        <w:t xml:space="preserve"> </w:t>
      </w:r>
      <w:r>
        <w:t xml:space="preserve"> </w:t>
      </w:r>
      <w:r>
        <w:t xml:space="preserve">Suppose S_max &lt; 1 and ∫_{t₀}^∞ r(s) ds &lt; ∞. Then:</w:t>
      </w:r>
    </w:p>
    <w:p>
      <w:pPr>
        <w:pStyle w:val="Compact"/>
        <w:numPr>
          <w:ilvl w:val="0"/>
          <w:numId w:val="1000"/>
        </w:numPr>
      </w:pPr>
      <w:r>
        <w:t xml:space="preserve">1 − S(t) ≥ 1 − S_max &gt; 0 for all t ≥ t₀ (since S(t) ≤ S_max).</w:t>
      </w:r>
    </w:p>
    <w:p>
      <w:pPr>
        <w:pStyle w:val="Compact"/>
        <w:numPr>
          <w:ilvl w:val="0"/>
          <w:numId w:val="1000"/>
        </w:numPr>
      </w:pPr>
      <w:r>
        <w:t xml:space="preserve">D(t, t₀) → D_∞ = exp(−∫</w:t>
      </w:r>
      <w:r>
        <w:rPr>
          <w:i/>
          <w:iCs/>
        </w:rPr>
        <w:t xml:space="preserve">{t₀}^∞ r(s) ds) &gt; 0 (from the summable-decay hypothesis ∫ r(s) ds &lt; ∞; this is strictly stronger than r</w:t>
      </w:r>
      <w:r>
        <w:t xml:space="preserve">∞ = 0 alone, which permits slow-decaying r such as r(s) = 1/s where D_∞ = 0).</w:t>
      </w:r>
    </w:p>
    <w:p>
      <w:pPr>
        <w:pStyle w:val="Compact"/>
        <w:numPr>
          <w:ilvl w:val="0"/>
          <w:numId w:val="1000"/>
        </w:numPr>
      </w:pPr>
      <w:r>
        <w:t xml:space="preserve">Hence f(t) ≥ [1 − S_max] · U(R, t, Q(t)) · D_∞.</w:t>
      </w:r>
    </w:p>
    <w:p>
      <w:pPr>
        <w:pStyle w:val="Compact"/>
        <w:numPr>
          <w:ilvl w:val="0"/>
          <w:numId w:val="1000"/>
        </w:numPr>
      </w:pPr>
      <w:r>
        <w:t xml:space="preserve">If ∫</w:t>
      </w:r>
      <w:r>
        <w:rPr>
          <w:i/>
          <w:iCs/>
        </w:rPr>
        <w:t xml:space="preserve">{t₀}^∞ [1 − S_max] · U dt = ∞, then ∫</w:t>
      </w:r>
      <w:r>
        <w:t xml:space="preserve">{t₀}^∞ f(t) dt ≥ D_∞ · [1 − S_max] · ∫_{t₀}^∞ U dt = ∞.</w:t>
      </w:r>
    </w:p>
    <w:p>
      <w:pPr>
        <w:pStyle w:val="Compact"/>
        <w:numPr>
          <w:ilvl w:val="0"/>
          <w:numId w:val="1000"/>
        </w:numPr>
      </w:pPr>
      <w:r>
        <w:t xml:space="preserve">Hence RCV(R, t₀) = ∞ under the knife-edge conditions. ∎ Corollary.</w:t>
      </w:r>
    </w:p>
    <w:p>
      <w:pPr>
        <w:pStyle w:val="Compact"/>
        <w:numPr>
          <w:ilvl w:val="0"/>
          <w:numId w:val="1000"/>
        </w:numPr>
      </w:pPr>
      <w:r>
        <w:t xml:space="preserve"> </w:t>
      </w:r>
      <w:r>
        <w:t xml:space="preserve">Interpretation note.</w:t>
      </w:r>
      <w:r>
        <w:t xml:space="preserve"> </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w:t>
      </w:r>
      <w:r>
        <w:t xml:space="preserve"> </w:t>
      </w:r>
      <w:r>
        <w:t xml:space="preserve">“do not extract under these conditions.”</w:t>
      </w:r>
    </w:p>
    <w:p>
      <w:pPr>
        <w:pStyle w:val="Compact"/>
        <w:numPr>
          <w:ilvl w:val="0"/>
          <w:numId w:val="1000"/>
        </w:numPr>
      </w:pPr>
      <w:r>
        <w:t xml:space="preserve">Theorem 10.5 (Substitution Dominance)</w:t>
      </w:r>
    </w:p>
    <w:p>
      <w:pPr>
        <w:pStyle w:val="Compact"/>
        <w:numPr>
          <w:ilvl w:val="0"/>
          <w:numId w:val="1000"/>
        </w:numPr>
      </w:pPr>
      <w:r>
        <w:t xml:space="preserve"> </w:t>
      </w:r>
      <w:r>
        <w:t xml:space="preserve">Premises P1–P4:</w:t>
      </w:r>
      <w:r>
        <w:t xml:space="preserve"> </w:t>
      </w:r>
    </w:p>
    <w:p>
      <w:pPr>
        <w:pStyle w:val="Compact"/>
        <w:numPr>
          <w:ilvl w:val="0"/>
          <w:numId w:val="1000"/>
        </w:numPr>
      </w:pPr>
      <w:r>
        <w:t xml:space="preserve"> </w:t>
      </w:r>
      <w:r>
        <w:t xml:space="preserve">(P1) Social opportunity cost exceeds market price.</w:t>
      </w:r>
      <w:r>
        <w:t xml:space="preserve"> </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pStyle w:val="Compact"/>
        <w:numPr>
          <w:ilvl w:val="0"/>
          <w:numId w:val="1000"/>
        </w:numPr>
      </w:pPr>
      <w:r>
        <w:t xml:space="preserve"> </w:t>
      </w:r>
      <w:r>
        <w:t xml:space="preserve">(P2) Substitutability-improvement structural premise.</w:t>
      </w:r>
      <w:r>
        <w:t xml:space="preserve"> </w:t>
      </w:r>
      <w:r>
        <w:t xml:space="preserve"> </w:t>
      </w:r>
      <w:r>
        <w:t xml:space="preserve">There exists a substitute technology S* such that investment in S* shifts S(t) upward: S*(t) &gt; S(t) for all t ≥ t₀.</w:t>
      </w:r>
    </w:p>
    <w:p>
      <w:pPr>
        <w:pStyle w:val="Compact"/>
        <w:numPr>
          <w:ilvl w:val="0"/>
          <w:numId w:val="1000"/>
        </w:numPr>
      </w:pPr>
      <w:r>
        <w:t xml:space="preserve"> </w:t>
      </w:r>
      <w:r>
        <w:t xml:space="preserve">(P3) Future-generation positive weight.</w:t>
      </w:r>
      <w:r>
        <w:t xml:space="preserve"> </w:t>
      </w:r>
      <w:r>
        <w:t xml:space="preserve"> </w:t>
      </w:r>
      <w:r>
        <w:t xml:space="preserve">The social welfare aggregation assigns positive weight to future generations: ∂SW/∂U(t) &gt; 0 for some t &gt; t₀.</w:t>
      </w:r>
    </w:p>
    <w:p>
      <w:pPr>
        <w:pStyle w:val="Compact"/>
        <w:numPr>
          <w:ilvl w:val="0"/>
          <w:numId w:val="1000"/>
        </w:numPr>
      </w:pPr>
      <w:r>
        <w:t xml:space="preserve"> </w:t>
      </w:r>
      <w:r>
        <w:t xml:space="preserve">(P4) Investment-cost opportunity-cost framing.</w:t>
      </w:r>
      <w:r>
        <w:t xml:space="preserve"> </w:t>
      </w:r>
      <w:r>
        <w:t xml:space="preserve"> </w:t>
      </w:r>
      <w:r>
        <w:t xml:space="preserve">Investment_cost ≤ P (the resources funding substitute investment are the opportunity-cost-equivalent of extraction-revenue resources).</w:t>
      </w:r>
    </w:p>
    <w:p>
      <w:pPr>
        <w:pStyle w:val="Compact"/>
        <w:numPr>
          <w:ilvl w:val="0"/>
          <w:numId w:val="1000"/>
        </w:numPr>
      </w:pPr>
      <w:r>
        <w:t xml:space="preserve"> </w:t>
      </w:r>
      <w:r>
        <w:t xml:space="preserve">Statement.</w:t>
      </w:r>
      <w:r>
        <w:t xml:space="preserve"> </w:t>
      </w:r>
      <w:r>
        <w:t xml:space="preserve"> </w:t>
      </w:r>
      <w:r>
        <w:t xml:space="preserve">Under Premises P1–P4, for any non-renewable resource R, investment in a substitute technology S* (that increases S(t)) is weakly dominant over extraction of R from a social welfare perspective.</w:t>
      </w:r>
    </w:p>
    <w:p>
      <w:pPr>
        <w:pStyle w:val="Compact"/>
        <w:numPr>
          <w:ilvl w:val="0"/>
          <w:numId w:val="1000"/>
        </w:numPr>
      </w:pPr>
      <w:r>
        <w:t xml:space="preserve"> </w:t>
      </w:r>
      <w:r>
        <w:t xml:space="preserve">Proof.</w:t>
      </w:r>
      <w:r>
        <w:t xml:space="preserve"> </w:t>
      </w:r>
      <w:r>
        <w:t xml:space="preserve"> </w:t>
      </w:r>
      <w:r>
        <w:t xml:space="preserve">Consider the social welfare comparison between two paths:</w:t>
      </w:r>
    </w:p>
    <w:p>
      <w:pPr>
        <w:pStyle w:val="Compact"/>
        <w:numPr>
          <w:ilvl w:val="0"/>
          <w:numId w:val="1000"/>
        </w:numPr>
      </w:pPr>
      <w:r>
        <w:t xml:space="preserve"> </w:t>
      </w:r>
      <w:r>
        <w:t xml:space="preserve">Path A:</w:t>
      </w:r>
      <w:r>
        <w:t xml:space="preserve"> </w:t>
      </w:r>
      <w:r>
        <w:t xml:space="preserve"> </w:t>
      </w:r>
      <w:r>
        <w:t xml:space="preserve">Extract R at t₀, receiving market price P.</w:t>
      </w:r>
    </w:p>
    <w:p>
      <w:pPr>
        <w:pStyle w:val="Compact"/>
        <w:numPr>
          <w:ilvl w:val="0"/>
          <w:numId w:val="1000"/>
        </w:numPr>
      </w:pPr>
      <w:r>
        <w:t xml:space="preserve"> </w:t>
      </w:r>
      <w:r>
        <w:t xml:space="preserve">Path B:</w:t>
      </w:r>
      <w:r>
        <w:t xml:space="preserve"> </w:t>
      </w:r>
      <w:r>
        <w:t xml:space="preserve"> </w:t>
      </w:r>
      <w:r>
        <w:t xml:space="preserve">Invest equivalent resources (per P4) in substitute technology S*, delaying or foregoing extraction of R.</w:t>
      </w:r>
    </w:p>
    <w:p>
      <w:pPr>
        <w:pStyle w:val="Compact"/>
        <w:numPr>
          <w:ilvl w:val="0"/>
          <w:numId w:val="1000"/>
        </w:numPr>
      </w:pPr>
      <w:r>
        <w:t xml:space="preserve">Under Path B (per P2), S*(t) &gt; S(t) for all t ≥ t₀, which:</w:t>
      </w:r>
    </w:p>
    <w:p>
      <w:pPr>
        <w:pStyle w:val="Compact"/>
        <w:numPr>
          <w:ilvl w:val="0"/>
          <w:numId w:val="1000"/>
        </w:numPr>
      </w:pPr>
      <w:r>
        <w:t xml:space="preserve"> </w:t>
      </w:r>
      <w:r>
        <w:t xml:space="preserve">(i)</w:t>
      </w:r>
      <w:r>
        <w:t xml:space="preserve"> </w:t>
      </w:r>
      <w:r>
        <w:t xml:space="preserve"> </w:t>
      </w:r>
      <w:r>
        <w:t xml:space="preserve">Reduces the foreclosure component: [1 − S*(t)] · U(R, t, Q(t)) &lt; [1 − S(t)] · U(R, t, Q(t)) for all t. ΔForeclosure_cost &gt; 0 (welfare-positive change).</w:t>
      </w:r>
    </w:p>
    <w:p>
      <w:pPr>
        <w:pStyle w:val="Compact"/>
        <w:numPr>
          <w:ilvl w:val="0"/>
          <w:numId w:val="1000"/>
        </w:numPr>
      </w:pPr>
      <w:r>
        <w:t xml:space="preserve"> </w:t>
      </w:r>
      <w:r>
        <w:t xml:space="preserve">(ii)</w:t>
      </w:r>
      <w:r>
        <w:t xml:space="preserve"> </w:t>
      </w:r>
      <w:r>
        <w:t xml:space="preserve"> </w:t>
      </w:r>
      <w:r>
        <w:t xml:space="preserve">Preserves the strategic option to extract later if needed, maintaining full option value (cf. Dixit &amp; Pindyck 1994</w:t>
      </w:r>
      <w:r>
        <w:t xml:space="preserve"> </w:t>
      </w:r>
      <w:r>
        <w:t xml:space="preserve">Investment under Uncertainty</w:t>
      </w:r>
      <w:r>
        <w:t xml:space="preserve">). ΔOption_value &gt; 0.</w:t>
      </w:r>
    </w:p>
    <w:p>
      <w:pPr>
        <w:pStyle w:val="Compact"/>
        <w:numPr>
          <w:ilvl w:val="0"/>
          <w:numId w:val="1000"/>
        </w:numPr>
      </w:pPr>
      <w:r>
        <w:t xml:space="preserve"> </w:t>
      </w:r>
      <w:r>
        <w:t xml:space="preserve">(iii)</w:t>
      </w:r>
      <w:r>
        <w:t xml:space="preserve"> </w:t>
      </w:r>
      <w:r>
        <w:t xml:space="preserve"> </w:t>
      </w:r>
      <w:r>
        <w:t xml:space="preserve">Reduces the externality tail E(R, t) by the amount of extraction deferred or avoided. ΔExternality_avoided &gt; 0.</w:t>
      </w:r>
    </w:p>
    <w:p>
      <w:pPr>
        <w:pStyle w:val="Compact"/>
        <w:numPr>
          <w:ilvl w:val="0"/>
          <w:numId w:val="1000"/>
        </w:numPr>
      </w:pPr>
      <w:r>
        <w:t xml:space="preserve">Welfare-comparison algebra, tracking three distinct quantities — RCV (social opportunity cost), B (existing accountability bond), P (extractor revenue):</w:t>
      </w:r>
    </w:p>
    <w:p>
      <w:pPr>
        <w:pStyle w:val="Compact"/>
        <w:numPr>
          <w:ilvl w:val="0"/>
          <w:numId w:val="1000"/>
        </w:numPr>
      </w:pPr>
      <w:r>
        <w:t xml:space="preserve">SW(Path B) − SW(Path A) = ΔForeclosure_avoided + ΔOption_value + ΔExternality_avoided − (Investment_cost − P).</w:t>
      </w:r>
    </w:p>
    <w:p>
      <w:pPr>
        <w:pStyle w:val="Compact"/>
        <w:numPr>
          <w:ilvl w:val="0"/>
          <w:numId w:val="1000"/>
        </w:numPr>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Compact"/>
        <w:numPr>
          <w:ilvl w:val="0"/>
          <w:numId w:val="1000"/>
        </w:numPr>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Compact"/>
        <w:numPr>
          <w:ilvl w:val="0"/>
          <w:numId w:val="1000"/>
        </w:numPr>
      </w:pPr>
      <w:r>
        <w:t xml:space="preserve">This holds:</w:t>
      </w:r>
    </w:p>
    <w:p>
      <w:pPr>
        <w:pStyle w:val="Compact"/>
        <w:numPr>
          <w:ilvl w:val="0"/>
          <w:numId w:val="1000"/>
        </w:numPr>
      </w:pPr>
      <w:r>
        <w:t xml:space="preserve"> </w:t>
      </w:r>
      <w:r>
        <w:t xml:space="preserve">Under any discount rate consistent with P1 (CS &gt; 0):</w:t>
      </w:r>
      <w:r>
        <w:t xml:space="preserve"> </w:t>
      </w:r>
      <w:r>
        <w:t xml:space="preserve"> </w:t>
      </w:r>
      <w:r>
        <w:t xml:space="preserve">Weitzman 2001 declining-rate framework establishes CS &gt; 0 conservatively; high constant discount rates that drive CS toward zero violate P1 and are out of scope.</w:t>
      </w:r>
    </w:p>
    <w:p>
      <w:pPr>
        <w:pStyle w:val="Compact"/>
        <w:numPr>
          <w:ilvl w:val="0"/>
          <w:numId w:val="1000"/>
        </w:numPr>
      </w:pPr>
      <w:r>
        <w:t xml:space="preserve"> </w:t>
      </w:r>
      <w:r>
        <w:t xml:space="preserve">Under any ethical framework satisfying P3 (positive weight to future generations):</w:t>
      </w:r>
      <w:r>
        <w:t xml:space="preserve"> </w:t>
      </w:r>
      <w:r>
        <w:t xml:space="preserve"> </w:t>
      </w:r>
      <w:r>
        <w:t xml:space="preserve">pure-presentism (zero weight to future) violates P3 and is out of scope.</w:t>
      </w:r>
    </w:p>
    <w:p>
      <w:pPr>
        <w:pStyle w:val="Compact"/>
        <w:numPr>
          <w:ilvl w:val="0"/>
          <w:numId w:val="1000"/>
        </w:numPr>
      </w:pPr>
      <w:r>
        <w:t xml:space="preserve"> </w:t>
      </w:r>
      <w:r>
        <w:t xml:space="preserve">Under any S_max where P2 holds (investment can improve S(t)):</w:t>
      </w:r>
      <w:r>
        <w:t xml:space="preserve"> </w:t>
      </w:r>
      <w:r>
        <w:t xml:space="preserve"> </w:t>
      </w:r>
      <w:r>
        <w:t xml:space="preserve">technological floors that prevent S(t)-improvement violate P2 and are out of scope.</w:t>
      </w:r>
    </w:p>
    <w:p>
      <w:pPr>
        <w:pStyle w:val="Compact"/>
        <w:numPr>
          <w:ilvl w:val="0"/>
          <w:numId w:val="1000"/>
        </w:numPr>
      </w:pPr>
      <w:r>
        <w:t xml:space="preserve"> </w:t>
      </w:r>
      <w:r>
        <w:t xml:space="preserve">Lineage.</w:t>
      </w:r>
      <w:r>
        <w:t xml:space="preserve"> </w:t>
      </w:r>
      <w:r>
        <w:t xml:space="preserve"> </w:t>
      </w:r>
      <w:r>
        <w:t xml:space="preserve">Theorem extends Hartwick 1977</w:t>
      </w:r>
      <w:r>
        <w:t xml:space="preserve"> </w:t>
      </w:r>
      <w:r>
        <w:t xml:space="preserve">American Economic Review</w:t>
      </w:r>
      <w:r>
        <w:t xml:space="preserve"> </w:t>
      </w:r>
      <w:r>
        <w:t xml:space="preserve">sustainable-investment rule (substitute-investment-from-rents) under Weitzman 2001</w:t>
      </w:r>
      <w:r>
        <w:t xml:space="preserve"> </w:t>
      </w:r>
      <w:r>
        <w:t xml:space="preserve">American Economic Review</w:t>
      </w:r>
      <w:r>
        <w:t xml:space="preserve"> </w:t>
      </w:r>
      <w:r>
        <w:t xml:space="preserve">declining-discount + Dixit &amp; Pindyck 1994 option-value + Solow 1974</w:t>
      </w:r>
      <w:r>
        <w:t xml:space="preserve"> </w:t>
      </w:r>
      <w:r>
        <w:t xml:space="preserve">Review of Economic Studies</w:t>
      </w:r>
      <w:r>
        <w:t xml:space="preserve"> </w:t>
      </w:r>
      <w:r>
        <w:t xml:space="preserve">intergenerational-equity baseline. Welfare-comparison formalism follows Stiglitz 2000</w:t>
      </w:r>
      <w:r>
        <w:t xml:space="preserve"> </w:t>
      </w:r>
      <w:r>
        <w:t xml:space="preserve">Economics of the Public Sector</w:t>
      </w:r>
      <w:r>
        <w:t xml:space="preserve">. Climate-economics application precedented in Stern 2007</w:t>
      </w:r>
      <w:r>
        <w:t xml:space="preserve"> </w:t>
      </w:r>
      <w:r>
        <w:t xml:space="preserve">The Economics of Climate Change: The Stern Review</w:t>
      </w:r>
      <w:r>
        <w:t xml:space="preserve">. ∎</w:t>
      </w:r>
    </w:p>
    <w:p>
      <w:pPr>
        <w:pStyle w:val="Compact"/>
        <w:numPr>
          <w:ilvl w:val="0"/>
          <w:numId w:val="1000"/>
        </w:numPr>
      </w:pPr>
      <w:r>
        <w:t xml:space="preserve"> </w:t>
      </w:r>
      <w:r>
        <w:t xml:space="preserve">Failure modes</w:t>
      </w:r>
      <w:r>
        <w:t xml:space="preserve"> </w:t>
      </w:r>
      <w:r>
        <w:t xml:space="preserve"> </w:t>
      </w:r>
      <w:r>
        <w:t xml:space="preserve">(when the dominance result breaks): (a)</w:t>
      </w:r>
      <w:r>
        <w:t xml:space="preserve"> </w:t>
      </w:r>
      <w:r>
        <w:t xml:space="preserve">Discount-rate failure:</w:t>
      </w:r>
      <w:r>
        <w:t xml:space="preserve"> </w:t>
      </w:r>
      <w:r>
        <w:t xml:space="preserve">under sufficiently high discount rate that drives CS to zero or below, P1 fails. (b)</w:t>
      </w:r>
      <w:r>
        <w:t xml:space="preserve"> </w:t>
      </w:r>
      <w:r>
        <w:t xml:space="preserve">Substitutability-investment failure:</w:t>
      </w:r>
      <w:r>
        <w:t xml:space="preserve"> </w:t>
      </w:r>
      <w:r>
        <w:t xml:space="preserve">if no substitute technology can meaningfully improve S(t), P2 fails. (c)</w:t>
      </w:r>
      <w:r>
        <w:t xml:space="preserve"> </w:t>
      </w:r>
      <w:r>
        <w:t xml:space="preserve">Ethical-framework failure:</w:t>
      </w:r>
      <w:r>
        <w:t xml:space="preserve"> </w:t>
      </w:r>
      <w:r>
        <w:t xml:space="preserve">under pure-presentism (zero weight to future generations), P3 fails. (d)</w:t>
      </w:r>
      <w:r>
        <w:t xml:space="preserve"> </w:t>
      </w:r>
      <w: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Compact"/>
        <w:numPr>
          <w:ilvl w:val="0"/>
          <w:numId w:val="1000"/>
        </w:numPr>
      </w:pPr>
      <w:r>
        <w:t xml:space="preserve"> </w:t>
      </w:r>
      <w:r>
        <w:t xml:space="preserve">Corollary 10.5.1 (Optimal Extraction Sequencing).</w:t>
      </w:r>
      <w:r>
        <w:t xml:space="preserve"> </w:t>
      </w:r>
      <w:r>
        <w:t xml:space="preserve"> </w:t>
      </w:r>
      <w:r>
        <w:t xml:space="preserve">Under Theorem 10.5’s premises, when extraction is undertaken, social-welfare-optimal sequencing extracts from sources where RCV is lowest first.</w:t>
      </w:r>
    </w:p>
    <w:p>
      <w:pPr>
        <w:pStyle w:val="Compact"/>
        <w:numPr>
          <w:ilvl w:val="0"/>
          <w:numId w:val="1000"/>
        </w:numPr>
      </w:pPr>
      <w:r>
        <w:t xml:space="preserve"> </w:t>
      </w:r>
      <w:r>
        <w:t xml:space="preserve">Proof of Corollary 10.5.1.</w:t>
      </w:r>
      <w:r>
        <w:t xml:space="preserve"> </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Compact"/>
        <w:numPr>
          <w:ilvl w:val="0"/>
          <w:numId w:val="1000"/>
        </w:numPr>
      </w:pPr>
      <w:r>
        <w:t xml:space="preserve">The framework therefore prioritizes:</w:t>
      </w:r>
    </w:p>
    <w:p>
      <w:pPr>
        <w:pStyle w:val="Compact"/>
        <w:numPr>
          <w:ilvl w:val="0"/>
          <w:numId w:val="1000"/>
        </w:numPr>
      </w:pPr>
      <w:r>
        <w:t xml:space="preserve"> </w:t>
      </w:r>
      <w:r>
        <w:t xml:space="preserve">(i)</w:t>
      </w:r>
      <w:r>
        <w:t xml:space="preserve"> </w:t>
      </w:r>
      <w:r>
        <w:t xml:space="preserve"> </w:t>
      </w:r>
      <w:r>
        <w:t xml:space="preserve">Asteroid mining (RCV ≈ 0; substitutability ≈ 1; minimal externality tail) over Earth’s critical mineral deposits (high existential substitutability gap, high RCV).</w:t>
      </w:r>
    </w:p>
    <w:p>
      <w:pPr>
        <w:pStyle w:val="Compact"/>
        <w:numPr>
          <w:ilvl w:val="0"/>
          <w:numId w:val="1000"/>
        </w:numPr>
      </w:pPr>
      <w:r>
        <w:t xml:space="preserve"> </w:t>
      </w:r>
      <w:r>
        <w:t xml:space="preserve">(ii)</w:t>
      </w:r>
      <w:r>
        <w:t xml:space="preserve"> </w:t>
      </w:r>
      <w:r>
        <w:t xml:space="preserve"> </w:t>
      </w:r>
      <w:r>
        <w:t xml:space="preserve">Renewable energy investment over fossil extraction (CS → ∞ as climate externalities are fully priced under policy-completion regimes). ∎</w:t>
      </w:r>
    </w:p>
    <w:p>
      <w:pPr>
        <w:pStyle w:val="Compact"/>
        <w:numPr>
          <w:ilvl w:val="0"/>
          <w:numId w:val="1000"/>
        </w:numPr>
      </w:pPr>
      <w:r>
        <w:t xml:space="preserve"> </w:t>
      </w:r>
      <w:r>
        <w:t xml:space="preserve">Interpretation note.</w:t>
      </w:r>
      <w:r>
        <w:t xml:space="preserve"> </w:t>
      </w:r>
      <w:r>
        <w:t xml:space="preserve"> </w:t>
      </w:r>
      <w:r>
        <w:t xml:space="preserve">The framework is a navigation system, not a prohibition. Extraction is permitted; the framework directs extraction toward low-RCV sources first.</w:t>
      </w:r>
    </w:p>
    <w:p>
      <w:pPr>
        <w:pStyle w:val="Compact"/>
        <w:numPr>
          <w:ilvl w:val="0"/>
          <w:numId w:val="1000"/>
        </w:numPr>
      </w:pPr>
      <w:r>
        <w:t xml:space="preserve">§11. Empirical Validation Cases</w:t>
      </w:r>
    </w:p>
    <w:p>
      <w:pPr>
        <w:pStyle w:val="Compact"/>
        <w:numPr>
          <w:ilvl w:val="0"/>
          <w:numId w:val="1000"/>
        </w:numPr>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p>
      <w:pPr>
        <w:pStyle w:val="Compact"/>
        <w:numPr>
          <w:ilvl w:val="0"/>
          <w:numId w:val="1000"/>
        </w:numPr>
      </w:pPr>
      <w:r>
        <w:t xml:space="preserve">§11.1 — McDowell County Appalachian Coal (1940-2020)</w:t>
      </w:r>
    </w:p>
    <w:p>
      <w:pPr>
        <w:pStyle w:val="Compact"/>
        <w:numPr>
          <w:ilvl w:val="0"/>
          <w:numId w:val="1000"/>
        </w:numPr>
      </w:pPr>
      <w:r>
        <w:t xml:space="preserve">Period: 1940–2020 (primary extraction 1940–1980; legacy costs ongoing)</w:t>
      </w:r>
    </w:p>
    <w:p>
      <w:pPr>
        <w:pStyle w:val="Compact"/>
        <w:numPr>
          <w:ilvl w:val="0"/>
          <w:numId w:val="1000"/>
        </w:numPr>
      </w:pPr>
      <w:r>
        <w:t xml:space="preserve">Market price: $4.50–$18/ton (mine mouth, nominal, period average)</w:t>
      </w:r>
    </w:p>
    <w:p>
      <w:pPr>
        <w:pStyle w:val="Compact"/>
        <w:numPr>
          <w:ilvl w:val="0"/>
          <w:numId w:val="1000"/>
        </w:numPr>
      </w:pPr>
      <w:r>
        <w:t xml:space="preserve">Damage Function estimate (floor):</w:t>
      </w:r>
    </w:p>
    <w:p>
      <w:pPr>
        <w:pStyle w:val="Compact"/>
        <w:numPr>
          <w:ilvl w:val="0"/>
          <w:numId w:val="1000"/>
        </w:numPr>
      </w:pPr>
      <w:r>
        <w:t xml:space="preserve">Health costs nationally: $2–4/ton (respiratory, occupational disease)</w:t>
      </w:r>
    </w:p>
    <w:p>
      <w:pPr>
        <w:pStyle w:val="Compact"/>
        <w:numPr>
          <w:ilvl w:val="0"/>
          <w:numId w:val="1000"/>
        </w:numPr>
      </w:pPr>
      <w:r>
        <w:t xml:space="preserve">Environmental remediation: $1–3/ton (acid mine drainage, surface restoration)</w:t>
      </w:r>
    </w:p>
    <w:p>
      <w:pPr>
        <w:pStyle w:val="Compact"/>
        <w:numPr>
          <w:ilvl w:val="0"/>
          <w:numId w:val="1000"/>
        </w:numPr>
      </w:pPr>
      <w:r>
        <w:t xml:space="preserve">Community costs: $5–15/ton (economic multiplier collapse, outmigration, social services)</w:t>
      </w:r>
    </w:p>
    <w:p>
      <w:pPr>
        <w:pStyle w:val="Compact"/>
        <w:numPr>
          <w:ilvl w:val="0"/>
          <w:numId w:val="1000"/>
        </w:numPr>
      </w:pPr>
      <w:r>
        <w:t xml:space="preserve">Carbon at EPA Social Cost of Carbon ($190/ton CO₂): ~$544/ton (dominant term for fossil fuels)</w:t>
      </w:r>
    </w:p>
    <w:p>
      <w:pPr>
        <w:pStyle w:val="Compact"/>
        <w:numPr>
          <w:ilvl w:val="0"/>
          <w:numId w:val="1000"/>
        </w:numPr>
      </w:pPr>
      <w:r>
        <w:t xml:space="preserve">Total without carbon: $8–22/ton</w:t>
      </w:r>
    </w:p>
    <w:p>
      <w:pPr>
        <w:pStyle w:val="Compact"/>
        <w:numPr>
          <w:ilvl w:val="0"/>
          <w:numId w:val="1000"/>
        </w:numPr>
      </w:pPr>
      <w:r>
        <w:t xml:space="preserve">Total with carbon: $552–566/ton</w:t>
      </w:r>
    </w:p>
    <w:p>
      <w:pPr>
        <w:pStyle w:val="Compact"/>
        <w:numPr>
          <w:ilvl w:val="0"/>
          <w:numId w:val="1000"/>
        </w:numPr>
      </w:pPr>
      <w:r>
        <w:t xml:space="preserve">RCV model estimate: $580–620/ton (using Weitzman declining rates, S_max ≈ 0.85 for electricity generation)</w:t>
      </w:r>
    </w:p>
    <w:p>
      <w:pPr>
        <w:pStyle w:val="Compact"/>
        <w:numPr>
          <w:ilvl w:val="0"/>
          <w:numId w:val="1000"/>
        </w:numPr>
      </w:pPr>
      <w:r>
        <w:t xml:space="preserve">IPG: 33–122× (without carbon) / substantially higher with full carbon pricing</w:t>
      </w:r>
    </w:p>
    <w:p>
      <w:pPr>
        <w:pStyle w:val="Compact"/>
        <w:numPr>
          <w:ilvl w:val="0"/>
          <w:numId w:val="1000"/>
        </w:numPr>
      </w:pPr>
      <w:r>
        <w:t xml:space="preserve">Observed cost severance: $3.7–$6B reclamation shortfall (publicly documented); population decline from 100,000 to 18,000; 13-year life expectancy gap vs. national average; highest per-capita opioid death rate in the United States.</w:t>
      </w:r>
    </w:p>
    <w:p>
      <w:pPr>
        <w:pStyle w:val="Compact"/>
        <w:numPr>
          <w:ilvl w:val="0"/>
          <w:numId w:val="1000"/>
        </w:numPr>
      </w:pPr>
      <w:r>
        <w:t xml:space="preserve"> </w:t>
      </w:r>
      <w:r>
        <w:t xml:space="preserve">Spatial cost severance.</w:t>
      </w:r>
      <w:r>
        <w:t xml:space="preserve"> </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p>
      <w:pPr>
        <w:pStyle w:val="Compact"/>
        <w:numPr>
          <w:ilvl w:val="0"/>
          <w:numId w:val="1000"/>
        </w:numPr>
      </w:pPr>
      <w:r>
        <w:t xml:space="preserve">§11.2 — Deepwater Horizon: Macondo Well (2010)</w:t>
      </w:r>
    </w:p>
    <w:p>
      <w:pPr>
        <w:pStyle w:val="Compact"/>
        <w:numPr>
          <w:ilvl w:val="0"/>
          <w:numId w:val="1000"/>
        </w:numPr>
      </w:pPr>
      <w:r>
        <w:t xml:space="preserve">Well lifetime revenue (projected): ~$1.1B (40–60M barrels at 2010 prices)</w:t>
      </w:r>
    </w:p>
    <w:p>
      <w:pPr>
        <w:pStyle w:val="Compact"/>
        <w:numPr>
          <w:ilvl w:val="0"/>
          <w:numId w:val="1000"/>
        </w:numPr>
      </w:pPr>
      <w:r>
        <w:t xml:space="preserve">Total documented costs:</w:t>
      </w:r>
    </w:p>
    <w:p>
      <w:pPr>
        <w:pStyle w:val="Compact"/>
        <w:numPr>
          <w:ilvl w:val="0"/>
          <w:numId w:val="1000"/>
        </w:numPr>
      </w:pPr>
      <w:r>
        <w:t xml:space="preserve">BP legal settlements: $18.7B (Clean Water Act, economic damages, NRD)</w:t>
      </w:r>
    </w:p>
    <w:p>
      <w:pPr>
        <w:pStyle w:val="Compact"/>
        <w:numPr>
          <w:ilvl w:val="0"/>
          <w:numId w:val="1000"/>
        </w:numPr>
      </w:pPr>
      <w:r>
        <w:t xml:space="preserve">Federal criminal penalty: $4B</w:t>
      </w:r>
    </w:p>
    <w:p>
      <w:pPr>
        <w:pStyle w:val="Compact"/>
        <w:numPr>
          <w:ilvl w:val="0"/>
          <w:numId w:val="1000"/>
        </w:numPr>
      </w:pPr>
      <w:r>
        <w:t xml:space="preserve">Ongoing ecosystem and fisheries losses (through 2025): estimated $8–12B additional</w:t>
      </w:r>
    </w:p>
    <w:p>
      <w:pPr>
        <w:pStyle w:val="Compact"/>
        <w:numPr>
          <w:ilvl w:val="0"/>
          <w:numId w:val="1000"/>
        </w:numPr>
      </w:pPr>
      <w:r>
        <w:t xml:space="preserve">Total documented: $20–30B</w:t>
      </w:r>
    </w:p>
    <w:p>
      <w:pPr>
        <w:pStyle w:val="Compact"/>
        <w:numPr>
          <w:ilvl w:val="0"/>
          <w:numId w:val="1000"/>
        </w:numPr>
      </w:pPr>
      <w:r>
        <w:t xml:space="preserve">IPG: 15–17× (documented costs only, lower bound)</w:t>
      </w:r>
    </w:p>
    <w:p>
      <w:pPr>
        <w:pStyle w:val="Compact"/>
        <w:numPr>
          <w:ilvl w:val="0"/>
          <w:numId w:val="1000"/>
        </w:numPr>
      </w:pPr>
      <w:r>
        <w:t xml:space="preserve">RCV model estimate: 16–19× (including ongoing Gulf ecosystem externalities)</w:t>
      </w:r>
    </w:p>
    <w:p>
      <w:pPr>
        <w:pStyle w:val="Compact"/>
        <w:numPr>
          <w:ilvl w:val="0"/>
          <w:numId w:val="1000"/>
        </w:numPr>
      </w:pPr>
      <w:r>
        <w:t xml:space="preserve">Convergence: ✓ All three models agree within a factor of 1.5.</w:t>
      </w:r>
    </w:p>
    <w:p>
      <w:pPr>
        <w:pStyle w:val="Compact"/>
        <w:numPr>
          <w:ilvl w:val="0"/>
          <w:numId w:val="1000"/>
        </w:numPr>
      </w:pPr>
      <w:r>
        <w:t xml:space="preserve">Observed CS: Gulf Coast fishing communities bore costs; BP shareholders received pre-spill profits. Post-spill BP stock partially recovered; Gulf fisheries remain impaired 15 years later.</w:t>
      </w:r>
    </w:p>
    <w:p>
      <w:pPr>
        <w:pStyle w:val="Compact"/>
        <w:numPr>
          <w:ilvl w:val="0"/>
          <w:numId w:val="1000"/>
        </w:numPr>
      </w:pPr>
      <w:r>
        <w:t xml:space="preserve">§11.3 — Libby, Montana: W.R. Grace Vermiculite Mine (1963-1990)</w:t>
      </w:r>
    </w:p>
    <w:p>
      <w:pPr>
        <w:pStyle w:val="Compact"/>
        <w:numPr>
          <w:ilvl w:val="0"/>
          <w:numId w:val="1000"/>
        </w:numPr>
      </w:pPr>
      <w:r>
        <w:t xml:space="preserve">Lifetime extraction revenue: ~$100M (80% of world vermiculite supply)</w:t>
      </w:r>
    </w:p>
    <w:p>
      <w:pPr>
        <w:pStyle w:val="Compact"/>
        <w:numPr>
          <w:ilvl w:val="0"/>
          <w:numId w:val="1000"/>
        </w:numPr>
      </w:pPr>
      <w:r>
        <w:t xml:space="preserve">Total documented costs:</w:t>
      </w:r>
    </w:p>
    <w:p>
      <w:pPr>
        <w:pStyle w:val="Compact"/>
        <w:numPr>
          <w:ilvl w:val="0"/>
          <w:numId w:val="1000"/>
        </w:numPr>
      </w:pPr>
      <w:r>
        <w:t xml:space="preserve">Federal Superfund cleanup (ongoing): $600M+ committed</w:t>
      </w:r>
    </w:p>
    <w:p>
      <w:pPr>
        <w:pStyle w:val="Compact"/>
        <w:numPr>
          <w:ilvl w:val="0"/>
          <w:numId w:val="1000"/>
        </w:numPr>
      </w:pPr>
      <w:r>
        <w:t xml:space="preserve">Legal settlements (asbestos wrongful death/injury): $250M+</w:t>
      </w:r>
    </w:p>
    <w:p>
      <w:pPr>
        <w:pStyle w:val="Compact"/>
        <w:numPr>
          <w:ilvl w:val="0"/>
          <w:numId w:val="1000"/>
        </w:numPr>
      </w:pPr>
      <w:r>
        <w:t xml:space="preserve">Ongoing medical monitoring and treatment: $50M+/year ongoing</w:t>
      </w:r>
    </w:p>
    <w:p>
      <w:pPr>
        <w:pStyle w:val="Compact"/>
        <w:numPr>
          <w:ilvl w:val="0"/>
          <w:numId w:val="1000"/>
        </w:numPr>
      </w:pPr>
      <w:r>
        <w:t xml:space="preserve">Lost property values, economic disruption: estimated $500M+</w:t>
      </w:r>
    </w:p>
    <w:p>
      <w:pPr>
        <w:pStyle w:val="Compact"/>
        <w:numPr>
          <w:ilvl w:val="0"/>
          <w:numId w:val="1000"/>
        </w:numPr>
      </w:pPr>
      <w:r>
        <w:t xml:space="preserve">Total documented: $4B+ (40:1 cost-to-revenue ratio, minimum)</w:t>
      </w:r>
    </w:p>
    <w:p>
      <w:pPr>
        <w:pStyle w:val="Compact"/>
        <w:numPr>
          <w:ilvl w:val="0"/>
          <w:numId w:val="1000"/>
        </w:numPr>
      </w:pPr>
      <w:r>
        <w:t xml:space="preserve">IPG: 55–82× (Damage Function) / 48–76× (Real Options) / 61–91× (RCV)</w:t>
      </w:r>
    </w:p>
    <w:p>
      <w:pPr>
        <w:pStyle w:val="Compact"/>
        <w:numPr>
          <w:ilvl w:val="0"/>
          <w:numId w:val="1000"/>
        </w:numPr>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p>
      <w:pPr>
        <w:pStyle w:val="Compact"/>
        <w:numPr>
          <w:ilvl w:val="0"/>
          <w:numId w:val="1000"/>
        </w:numPr>
      </w:pPr>
      <w:r>
        <w:t xml:space="preserve">§11.4 — Baotou Inner Mongolia: Rare Earth Processing (1980-present)</w:t>
      </w:r>
    </w:p>
    <w:p>
      <w:pPr>
        <w:pStyle w:val="Compact"/>
        <w:numPr>
          <w:ilvl w:val="0"/>
          <w:numId w:val="1000"/>
        </w:numPr>
      </w:pPr>
      <w:r>
        <w:t xml:space="preserve">Context: Baotou is the dominant rare-earth mining and processing complex within China; China accounts for approximately 69% of global rare-earth mine production (2024 per USGS</w:t>
      </w:r>
      <w:r>
        <w:t xml:space="preserve"> </w:t>
      </w:r>
      <w: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Compact"/>
        <w:numPr>
          <w:ilvl w:val="0"/>
          <w:numId w:val="1000"/>
        </w:numPr>
      </w:pPr>
      <w:r>
        <w:t xml:space="preserve">Value captured: Chinese rare earth export revenue ~$2–4B/year; downstream electronics manufacturing value estimated $1T+ in global consumer goods enabled by Baotou-sourced rare earths.</w:t>
      </w:r>
    </w:p>
    <w:p>
      <w:pPr>
        <w:pStyle w:val="Compact"/>
        <w:numPr>
          <w:ilvl w:val="0"/>
          <w:numId w:val="1000"/>
        </w:numPr>
      </w:pPr>
      <w:r>
        <w:t xml:space="preserve">Costs concentrated locally:</w:t>
      </w:r>
    </w:p>
    <w:p>
      <w:pPr>
        <w:pStyle w:val="Compact"/>
        <w:numPr>
          <w:ilvl w:val="0"/>
          <w:numId w:val="1000"/>
        </w:numPr>
      </w:pPr>
      <w:r>
        <w:t xml:space="preserve">Elevated cancer rates in surrounding villages (lung, stomach, skin)</w:t>
      </w:r>
    </w:p>
    <w:p>
      <w:pPr>
        <w:pStyle w:val="Compact"/>
        <w:numPr>
          <w:ilvl w:val="0"/>
          <w:numId w:val="1000"/>
        </w:numPr>
      </w:pPr>
      <w:r>
        <w:t xml:space="preserve">Agricultural land rendered unusable within 10km radius</w:t>
      </w:r>
    </w:p>
    <w:p>
      <w:pPr>
        <w:pStyle w:val="Compact"/>
        <w:numPr>
          <w:ilvl w:val="0"/>
          <w:numId w:val="1000"/>
        </w:numPr>
      </w:pPr>
      <w:r>
        <w:t xml:space="preserve">Groundwater contamination of the Yellow River basin (serves 100M people)</w:t>
      </w:r>
    </w:p>
    <w:p>
      <w:pPr>
        <w:pStyle w:val="Compact"/>
        <w:numPr>
          <w:ilvl w:val="0"/>
          <w:numId w:val="1000"/>
        </w:numPr>
      </w:pPr>
      <w:r>
        <w:t xml:space="preserve">Forced relocation of entire villages</w:t>
      </w:r>
    </w:p>
    <w:p>
      <w:pPr>
        <w:pStyle w:val="Compact"/>
        <w:numPr>
          <w:ilvl w:val="0"/>
          <w:numId w:val="1000"/>
        </w:numPr>
      </w:pPr>
      <w:r>
        <w:t xml:space="preserve">Remediation cost estimated at $5–15B for tailings lake alone</w:t>
      </w:r>
    </w:p>
    <w:p>
      <w:pPr>
        <w:pStyle w:val="Compact"/>
        <w:numPr>
          <w:ilvl w:val="0"/>
          <w:numId w:val="1000"/>
        </w:numPr>
      </w:pPr>
      <w:r>
        <w:t xml:space="preserve">IPG: 12–35× (Damage Function) / 18–48× (Real Options) / 22–41× (RCV)</w:t>
      </w:r>
    </w:p>
    <w:p>
      <w:pPr>
        <w:pStyle w:val="Compact"/>
        <w:numPr>
          <w:ilvl w:val="0"/>
          <w:numId w:val="1000"/>
        </w:numPr>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p>
      <w:pPr>
        <w:pStyle w:val="Compact"/>
        <w:numPr>
          <w:ilvl w:val="0"/>
          <w:numId w:val="1000"/>
        </w:numPr>
      </w:pPr>
      <w:r>
        <w:t xml:space="preserve">§11.5 — Norway petroleum calibration (Three Ways of Counting executed)</w:t>
      </w:r>
    </w:p>
    <w:p>
      <w:pPr>
        <w:pStyle w:val="Compact"/>
        <w:numPr>
          <w:ilvl w:val="0"/>
          <w:numId w:val="1000"/>
        </w:numPr>
      </w:pPr>
      <w:r>
        <w:t xml:space="preserve">Worked execution of Methods 1+2+3 against Norway 1971–present petroleum extraction data.</w:t>
      </w:r>
      <w:r>
        <w:t xml:space="preserve"> </w:t>
      </w:r>
      <w:r>
        <w:t xml:space="preserve">Numerical anchors below are the framework’s empirical operationalization.</w:t>
      </w:r>
    </w:p>
    <w:p>
      <w:pPr>
        <w:pStyle w:val="Compact"/>
        <w:numPr>
          <w:ilvl w:val="0"/>
          <w:numId w:val="1000"/>
        </w:numPr>
      </w:pPr>
      <w:r>
        <w:t xml:space="preserve">Norway calibration — Three Ways of Counting executed</w:t>
      </w:r>
    </w:p>
    <w:p>
      <w:pPr>
        <w:pStyle w:val="Compact"/>
        <w:numPr>
          <w:ilvl w:val="0"/>
          <w:numId w:val="1000"/>
        </w:numPr>
      </w:pPr>
      <w:r>
        <w:t xml:space="preserve">Empirical anchors (Norway petroleum extraction, 1971–present)</w:t>
      </w:r>
    </w:p>
    <w:p>
      <w:pPr>
        <w:pStyle w:val="Compact"/>
        <w:numPr>
          <w:ilvl w:val="0"/>
          <w:numId w:val="1000"/>
        </w:numPr>
      </w:pPr>
      <w:r>
        <w:t xml:space="preserve">Anchor</w:t>
      </w:r>
    </w:p>
    <w:p>
      <w:pPr>
        <w:pStyle w:val="Compact"/>
        <w:numPr>
          <w:ilvl w:val="0"/>
          <w:numId w:val="1000"/>
        </w:numPr>
      </w:pPr>
      <w:r>
        <w:t xml:space="preserve">Value</w:t>
      </w:r>
    </w:p>
    <w:p>
      <w:pPr>
        <w:pStyle w:val="Compact"/>
        <w:numPr>
          <w:ilvl w:val="0"/>
          <w:numId w:val="1000"/>
        </w:numPr>
      </w:pPr>
      <w:r>
        <w:t xml:space="preserve">Source</w:t>
      </w:r>
    </w:p>
    <w:p>
      <w:pPr>
        <w:pStyle w:val="Compact"/>
        <w:numPr>
          <w:ilvl w:val="0"/>
          <w:numId w:val="1000"/>
        </w:numPr>
      </w:pPr>
      <w:r>
        <w:t xml:space="preserve"> </w:t>
      </w:r>
      <w:r>
        <w:t xml:space="preserve">Cumulative oil + gas production through 2024</w:t>
      </w:r>
      <w:r>
        <w:t xml:space="preserve"> </w:t>
      </w:r>
    </w:p>
    <w:p>
      <w:pPr>
        <w:pStyle w:val="Compact"/>
        <w:numPr>
          <w:ilvl w:val="0"/>
          <w:numId w:val="1000"/>
        </w:numPr>
      </w:pPr>
      <w:r>
        <w:t xml:space="preserve">~55 billion BOE through 2024 (~8.9 billion Sm³ o.e. cumulative per Norwegian Offshore Directorate latest resource accounting; ~57% of estimated total recoverable resources of ~15.6 billion Sm³ o.e.)</w:t>
      </w:r>
    </w:p>
    <w:p>
      <w:pPr>
        <w:pStyle w:val="Compact"/>
        <w:numPr>
          <w:ilvl w:val="0"/>
          <w:numId w:val="1000"/>
        </w:numPr>
      </w:pPr>
      <w:r>
        <w:t xml:space="preserve">Norwegian Offshore Directorate cumulative-production data; Norwegianpetroleum.no historical production page</w:t>
      </w:r>
    </w:p>
    <w:p>
      <w:pPr>
        <w:pStyle w:val="Compact"/>
        <w:numPr>
          <w:ilvl w:val="0"/>
          <w:numId w:val="1000"/>
        </w:numPr>
      </w:pPr>
      <w:r>
        <w:t xml:space="preserve"> </w:t>
      </w:r>
      <w:r>
        <w:t xml:space="preserve">GPFG (Government Pension Fund Global) value, end-2025</w:t>
      </w:r>
      <w:r>
        <w:t xml:space="preserve"> </w:t>
      </w:r>
    </w:p>
    <w:p>
      <w:pPr>
        <w:pStyle w:val="Compact"/>
        <w:numPr>
          <w:ilvl w:val="0"/>
          <w:numId w:val="1000"/>
        </w:numPr>
      </w:pPr>
      <w:r>
        <w:t xml:space="preserve">~$2.0 trillion (21,268 billion NOK per NBIM end-2025 figures; ~$2.0T at year-end FX); reached $2.2 trillion peak during 2025</w:t>
      </w:r>
    </w:p>
    <w:p>
      <w:pPr>
        <w:pStyle w:val="Compact"/>
        <w:numPr>
          <w:ilvl w:val="0"/>
          <w:numId w:val="1000"/>
        </w:numPr>
      </w:pPr>
      <w:r>
        <w:t xml:space="preserve">Norges Bank Investment Management (NBIM) Annual Report 2025; Ministry of Finance</w:t>
      </w:r>
    </w:p>
    <w:p>
      <w:pPr>
        <w:pStyle w:val="Compact"/>
        <w:numPr>
          <w:ilvl w:val="0"/>
          <w:numId w:val="1000"/>
        </w:numPr>
      </w:pPr>
      <w:r>
        <w:t xml:space="preserve"> </w:t>
      </w:r>
      <w:r>
        <w:t xml:space="preserve">Per-citizen GPFG share</w:t>
      </w:r>
      <w:r>
        <w:t xml:space="preserve"> </w:t>
      </w:r>
    </w:p>
    <w:p>
      <w:pPr>
        <w:pStyle w:val="Compact"/>
        <w:numPr>
          <w:ilvl w:val="0"/>
          <w:numId w:val="1000"/>
        </w:numPr>
      </w:pPr>
      <w:r>
        <w:t xml:space="preserve">~$356,000–$391,000 / Norwegian citizen (range from $2.0T end-2025 value to $2.2T 2025-peak value, divided by population ~5.62M per Statistics Norway 2025)</w:t>
      </w:r>
    </w:p>
    <w:p>
      <w:pPr>
        <w:pStyle w:val="Compact"/>
        <w:numPr>
          <w:ilvl w:val="0"/>
          <w:numId w:val="1000"/>
        </w:numPr>
      </w:pPr>
      <w:r>
        <w:t xml:space="preserve">NBIM Annual Report 2025; Statistics Norway population estimates</w:t>
      </w:r>
    </w:p>
    <w:p>
      <w:pPr>
        <w:pStyle w:val="Compact"/>
        <w:numPr>
          <w:ilvl w:val="0"/>
          <w:numId w:val="1000"/>
        </w:numPr>
      </w:pPr>
      <w:r>
        <w:t xml:space="preserve"> </w:t>
      </w:r>
      <w:r>
        <w:t xml:space="preserve">State capture rate (B / petroleum wealth)</w:t>
      </w:r>
      <w:r>
        <w:t xml:space="preserve"> </w:t>
      </w:r>
    </w:p>
    <w:p>
      <w:pPr>
        <w:pStyle w:val="Compact"/>
        <w:numPr>
          <w:ilvl w:val="0"/>
          <w:numId w:val="1000"/>
        </w:numPr>
      </w:pPr>
      <w:r>
        <w:t xml:space="preserve">~70-80% (direct taxation + production licenses + Equinor state ownership + fund contributions)</w:t>
      </w:r>
    </w:p>
    <w:p>
      <w:pPr>
        <w:pStyle w:val="Compact"/>
        <w:numPr>
          <w:ilvl w:val="0"/>
          <w:numId w:val="1000"/>
        </w:numPr>
      </w:pPr>
      <w:r>
        <w:t xml:space="preserve">Norwegian Petroleum Directorate; Norway Ministry of Finance</w:t>
      </w:r>
    </w:p>
    <w:p>
      <w:pPr>
        <w:pStyle w:val="Compact"/>
        <w:numPr>
          <w:ilvl w:val="0"/>
          <w:numId w:val="1000"/>
        </w:numPr>
      </w:pPr>
      <w:r>
        <w:t xml:space="preserve"> </w:t>
      </w:r>
      <w:r>
        <w:t xml:space="preserve">Annual fiscal-rule withdrawal</w:t>
      </w:r>
      <w:r>
        <w:t xml:space="preserve"> </w:t>
      </w:r>
    </w:p>
    <w:p>
      <w:pPr>
        <w:pStyle w:val="Compact"/>
        <w:numPr>
          <w:ilvl w:val="0"/>
          <w:numId w:val="1000"/>
        </w:numPr>
      </w:pPr>
      <w:r>
        <w:t xml:space="preserve">~3% expected real return</w:t>
      </w:r>
    </w:p>
    <w:p>
      <w:pPr>
        <w:pStyle w:val="Compact"/>
        <w:numPr>
          <w:ilvl w:val="0"/>
          <w:numId w:val="1000"/>
        </w:numPr>
      </w:pPr>
      <w:r>
        <w:t xml:space="preserve">Norway fiscal rule (2001)</w:t>
      </w:r>
    </w:p>
    <w:p>
      <w:pPr>
        <w:pStyle w:val="Compact"/>
        <w:numPr>
          <w:ilvl w:val="0"/>
          <w:numId w:val="1000"/>
        </w:numPr>
      </w:pPr>
      <w:r>
        <w:t xml:space="preserve"> </w:t>
      </w:r>
      <w:r>
        <w:t xml:space="preserve">Carbon intensity (combusted)</w:t>
      </w:r>
      <w:r>
        <w:t xml:space="preserve"> </w:t>
      </w:r>
    </w:p>
    <w:p>
      <w:pPr>
        <w:pStyle w:val="Compact"/>
        <w:numPr>
          <w:ilvl w:val="0"/>
          <w:numId w:val="1000"/>
        </w:numPr>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p>
      <w:pPr>
        <w:pStyle w:val="Compact"/>
        <w:numPr>
          <w:ilvl w:val="0"/>
          <w:numId w:val="1000"/>
        </w:numPr>
      </w:pPr>
      <w:r>
        <w:t xml:space="preserve">EPA emissions factors; EIA CO₂ Emissions Coefficients by Fuel; IPCC AR6 standard combustion factors</w:t>
      </w:r>
    </w:p>
    <w:p>
      <w:pPr>
        <w:pStyle w:val="Compact"/>
        <w:numPr>
          <w:ilvl w:val="0"/>
          <w:numId w:val="1000"/>
        </w:numPr>
      </w:pPr>
      <w:r>
        <w:t xml:space="preserve"> </w:t>
      </w:r>
      <w:r>
        <w:t xml:space="preserve">Cumulative emissions from Norwegian production (combusted)</w:t>
      </w:r>
      <w:r>
        <w:t xml:space="preserve"> </w:t>
      </w:r>
    </w:p>
    <w:p>
      <w:pPr>
        <w:pStyle w:val="Compact"/>
        <w:numPr>
          <w:ilvl w:val="0"/>
          <w:numId w:val="1000"/>
        </w:numPr>
      </w:pPr>
      <w:r>
        <w:t xml:space="preserve">~20.35 billion tons CO₂ (mixed oil-and-gas, weighted)</w:t>
      </w:r>
    </w:p>
    <w:p>
      <w:pPr>
        <w:pStyle w:val="Compact"/>
        <w:numPr>
          <w:ilvl w:val="0"/>
          <w:numId w:val="1000"/>
        </w:numPr>
      </w:pPr>
      <w:r>
        <w:t xml:space="preserve">Calculated under cumulative-historical-average production split (approximately 50% oil / 50% gas per Norwegian Offshore Directorate): 27.5B BOE oil × 0.43 t/BOE + 27.5B BOE gas × 0.31 t/BOE = 11.825 + 8.525 ≈ 20.35B t CO₂</w:t>
      </w:r>
    </w:p>
    <w:p>
      <w:pPr>
        <w:pStyle w:val="Compact"/>
        <w:numPr>
          <w:ilvl w:val="0"/>
          <w:numId w:val="1000"/>
        </w:numPr>
      </w:pPr>
      <w:r>
        <w:t xml:space="preserve"> </w:t>
      </w:r>
      <w:r>
        <w:t xml:space="preserve">Norwegian production-side emissions (extraction + processing)</w:t>
      </w:r>
      <w:r>
        <w:t xml:space="preserve"> </w:t>
      </w:r>
    </w:p>
    <w:p>
      <w:pPr>
        <w:pStyle w:val="Compact"/>
        <w:numPr>
          <w:ilvl w:val="0"/>
          <w:numId w:val="1000"/>
        </w:numPr>
      </w:pPr>
      <w:r>
        <w:t xml:space="preserve">~3-5% of combustion-side emissions</w:t>
      </w:r>
    </w:p>
    <w:p>
      <w:pPr>
        <w:pStyle w:val="Compact"/>
        <w:numPr>
          <w:ilvl w:val="0"/>
          <w:numId w:val="1000"/>
        </w:numPr>
      </w:pPr>
      <w:r>
        <w:t xml:space="preserve">Norwegian Environment Agency reports</w:t>
      </w:r>
    </w:p>
    <w:p>
      <w:pPr>
        <w:pStyle w:val="Compact"/>
        <w:numPr>
          <w:ilvl w:val="0"/>
          <w:numId w:val="1000"/>
        </w:numPr>
      </w:pPr>
      <w:r>
        <w:t xml:space="preserve">Method 1 — Replacement Cost (lower-bound floor for Habitability commons)</w:t>
      </w:r>
    </w:p>
    <w:p>
      <w:pPr>
        <w:pStyle w:val="Compact"/>
        <w:numPr>
          <w:ilvl w:val="0"/>
          <w:numId w:val="1000"/>
        </w:numPr>
      </w:pPr>
      <w:r>
        <w:t xml:space="preserve"> </w:t>
      </w:r>
      <w:r>
        <w:t xml:space="preserve">Logic:</w:t>
      </w:r>
      <w:r>
        <w:t xml:space="preserve"> </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pStyle w:val="Compact"/>
        <w:numPr>
          <w:ilvl w:val="0"/>
          <w:numId w:val="1000"/>
        </w:numPr>
      </w:pPr>
      <w:r>
        <w:t xml:space="preserve"> </w:t>
      </w:r>
      <w:r>
        <w:t xml:space="preserve">Conservative (current operational, first-of-a-kind DAC):</w:t>
      </w:r>
      <w:r>
        <w:t xml:space="preserve"> </w:t>
      </w:r>
      <w:r>
        <w:t xml:space="preserve"> </w:t>
      </w:r>
      <w:r>
        <w:t xml:space="preserve">$600–$1,000/ton CO₂ × 20.35B tons =</w:t>
      </w:r>
      <w:r>
        <w:t xml:space="preserve"> </w:t>
      </w:r>
      <w:r>
        <w:t xml:space="preserve"> </w:t>
      </w:r>
      <w:r>
        <w:t xml:space="preserve">$12.2–$20.35T total atmospheric replacement cost</w:t>
      </w:r>
      <w:r>
        <w:t xml:space="preserve"> </w:t>
      </w:r>
      <w:r>
        <w:t xml:space="preserve"> </w:t>
      </w:r>
      <w:r>
        <w:t xml:space="preserve">(weighted oil + gas).</w:t>
      </w:r>
    </w:p>
    <w:p>
      <w:pPr>
        <w:pStyle w:val="Compact"/>
        <w:numPr>
          <w:ilvl w:val="0"/>
          <w:numId w:val="1000"/>
        </w:numPr>
      </w:pPr>
      <w:r>
        <w:t xml:space="preserve"> </w:t>
      </w:r>
      <w:r>
        <w:t xml:space="preserve">Mid-range (at-scale commercial within next decade):</w:t>
      </w:r>
      <w:r>
        <w:t xml:space="preserve"> </w:t>
      </w:r>
      <w:r>
        <w:t xml:space="preserve"> </w:t>
      </w:r>
      <w:r>
        <w:t xml:space="preserve">$300–$600/ton × 20.35B tons =</w:t>
      </w:r>
      <w:r>
        <w:t xml:space="preserve"> </w:t>
      </w:r>
      <w:r>
        <w:t xml:space="preserve"> </w:t>
      </w:r>
      <w:r>
        <w:t xml:space="preserve">$6.1–$12.2T</w:t>
      </w:r>
      <w:r>
        <w:t xml:space="preserve"> </w:t>
      </w:r>
      <w:r>
        <w:t xml:space="preserve"> </w:t>
      </w:r>
      <w:r>
        <w:t xml:space="preserve">.</w:t>
      </w:r>
    </w:p>
    <w:p>
      <w:pPr>
        <w:pStyle w:val="Compact"/>
        <w:numPr>
          <w:ilvl w:val="0"/>
          <w:numId w:val="1000"/>
        </w:numPr>
      </w:pPr>
      <w:r>
        <w:t xml:space="preserve"> </w:t>
      </w:r>
      <w:r>
        <w:t xml:space="preserve">Optimistic (2050 nth-of-a-kind):</w:t>
      </w:r>
      <w:r>
        <w:t xml:space="preserve"> </w:t>
      </w:r>
      <w:r>
        <w:t xml:space="preserve"> </w:t>
      </w:r>
      <w:r>
        <w:t xml:space="preserve">$100–$300/ton × 20.35B tons =</w:t>
      </w:r>
      <w:r>
        <w:t xml:space="preserve"> </w:t>
      </w:r>
      <w:r>
        <w:t xml:space="preserve"> </w:t>
      </w:r>
      <w:r>
        <w:t xml:space="preserve">$2.04–$6.1T</w:t>
      </w:r>
      <w:r>
        <w:t xml:space="preserve"> </w:t>
      </w:r>
      <w:r>
        <w:t xml:space="preserve"> </w:t>
      </w:r>
      <w:r>
        <w:t xml:space="preserve">.</w:t>
      </w:r>
    </w:p>
    <w:p>
      <w:pPr>
        <w:pStyle w:val="Compact"/>
        <w:numPr>
          <w:ilvl w:val="0"/>
          <w:numId w:val="1000"/>
        </w:numPr>
      </w:pPr>
      <w:r>
        <w:t xml:space="preserve"> </w:t>
      </w:r>
      <w:r>
        <w:t xml:space="preserve">Per-BOE conversion:</w:t>
      </w:r>
      <w:r>
        <w:t xml:space="preserve"> </w:t>
      </w:r>
    </w:p>
    <w:p>
      <w:pPr>
        <w:pStyle w:val="Compact"/>
        <w:numPr>
          <w:ilvl w:val="0"/>
          <w:numId w:val="1000"/>
        </w:numPr>
      </w:pPr>
      <w:r>
        <w:t xml:space="preserve">Conservative DAC: $12.2–$20.35T / 55B BOE =</w:t>
      </w:r>
      <w:r>
        <w:t xml:space="preserve"> </w:t>
      </w:r>
      <w:r>
        <w:t xml:space="preserve"> </w:t>
      </w:r>
      <w:r>
        <w:t xml:space="preserve">$222–$370/BOE atmospheric-only Method 1 floor</w:t>
      </w:r>
      <w:r>
        <w:t xml:space="preserve"> </w:t>
      </w:r>
      <w:r>
        <w:t xml:space="preserve"> </w:t>
      </w:r>
      <w:r>
        <w:t xml:space="preserve">.</w:t>
      </w:r>
    </w:p>
    <w:p>
      <w:pPr>
        <w:pStyle w:val="Compact"/>
        <w:numPr>
          <w:ilvl w:val="0"/>
          <w:numId w:val="1000"/>
        </w:numPr>
      </w:pPr>
      <w:r>
        <w:t xml:space="preserve">Mid-range DAC: $111–$222/BOE.</w:t>
      </w:r>
    </w:p>
    <w:p>
      <w:pPr>
        <w:pStyle w:val="Compact"/>
        <w:numPr>
          <w:ilvl w:val="0"/>
          <w:numId w:val="1000"/>
        </w:numPr>
      </w:pPr>
      <w:r>
        <w:t xml:space="preserve">Optimistic DAC: $37–$111/BOE.</w:t>
      </w:r>
    </w:p>
    <w:p>
      <w:pPr>
        <w:pStyle w:val="Compact"/>
        <w:numPr>
          <w:ilvl w:val="0"/>
          <w:numId w:val="1000"/>
        </w:numPr>
      </w:pPr>
      <w:r>
        <w:t xml:space="preserve"> </w:t>
      </w:r>
      <w:r>
        <w:t xml:space="preserve">Scope of this floor.</w:t>
      </w:r>
      <w:r>
        <w:t xml:space="preserve"> </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w:t>
      </w:r>
      <w:r>
        <w:t xml:space="preserve"> </w:t>
      </w:r>
      <w:r>
        <w:t xml:space="preserve">“the barrel is still gone”</w:t>
      </w:r>
      <w:r>
        <w:t xml:space="preserve">). Adding Foreclosure-of-non-energy-use raises the Method 1 floor by an additional $50-200/BOE depending on substitute-availability assumptions for petrochemical feedstock + specific-hydrocarbon-application uses.</w:t>
      </w:r>
    </w:p>
    <w:p>
      <w:pPr>
        <w:pStyle w:val="Compact"/>
        <w:numPr>
          <w:ilvl w:val="0"/>
          <w:numId w:val="1000"/>
        </w:numPr>
      </w:pPr>
      <w:r>
        <w:t xml:space="preserve"> </w:t>
      </w:r>
      <w:r>
        <w:t xml:space="preserve">Method 1 anchor for Norway (Habitability + Foreclosure-of-non-energy-use):</w:t>
      </w:r>
      <w:r>
        <w:t xml:space="preserve"> </w:t>
      </w:r>
      <w:r>
        <w:t xml:space="preserve"> </w:t>
      </w:r>
      <w:r>
        <w:t xml:space="preserve"> </w:t>
      </w:r>
      <w:r>
        <w:t xml:space="preserve">$161–$422/BOE at mid-range DAC ($111–$222/BOE atmospheric Habitability + $50–$200/BOE moderate Foreclosure-of-non-energy-use estimate).</w:t>
      </w:r>
      <w:r>
        <w:t xml:space="preserve"> </w:t>
      </w:r>
    </w:p>
    <w:p>
      <w:pPr>
        <w:pStyle w:val="Compact"/>
        <w:numPr>
          <w:ilvl w:val="0"/>
          <w:numId w:val="1000"/>
        </w:numPr>
      </w:pPr>
      <w:r>
        <w:t xml:space="preserve">Method 2 — Norway Revealed Preference (anchor; what Norway actually internalized)</w:t>
      </w:r>
    </w:p>
    <w:p>
      <w:pPr>
        <w:pStyle w:val="Compact"/>
        <w:numPr>
          <w:ilvl w:val="0"/>
          <w:numId w:val="1000"/>
        </w:numPr>
      </w:pPr>
      <w:r>
        <w:t xml:space="preserve"> </w:t>
      </w:r>
      <w:r>
        <w:t xml:space="preserve">Logic:</w:t>
      </w:r>
      <w:r>
        <w:t xml:space="preserve"> </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t xml:space="preserve"> </w:t>
      </w:r>
      <w:r>
        <w:t xml:space="preserve">lower-bound on true RCV</w:t>
      </w:r>
      <w:r>
        <w:t xml:space="preserve"> </w:t>
      </w:r>
      <w:r>
        <w:t xml:space="preserve"> </w:t>
      </w:r>
      <w:r>
        <w:t xml:space="preserve">(Norway internalized real value but did NOT internalize all of it — atmospheric externality + non-Norwegian-population climate costs + non-energy-use foreclosure are not in the GPFG).</w:t>
      </w:r>
    </w:p>
    <w:p>
      <w:pPr>
        <w:pStyle w:val="Compact"/>
        <w:numPr>
          <w:ilvl w:val="0"/>
          <w:numId w:val="1000"/>
        </w:numPr>
      </w:pPr>
      <w:r>
        <w:t xml:space="preserve"> </w:t>
      </w:r>
      <w:r>
        <w:t xml:space="preserve">Calculation:</w:t>
      </w:r>
      <w:r>
        <w:t xml:space="preserve"> </w:t>
      </w:r>
    </w:p>
    <w:p>
      <w:pPr>
        <w:pStyle w:val="Compact"/>
        <w:numPr>
          <w:ilvl w:val="0"/>
          <w:numId w:val="1000"/>
        </w:numPr>
      </w:pPr>
      <w:r>
        <w:t xml:space="preserve">GPFG value $2.0T (end-2025) at ~75% capture rate of net petroleum wealth (mid-point of 70-80% range).</w:t>
      </w:r>
    </w:p>
    <w:p>
      <w:pPr>
        <w:pStyle w:val="Compact"/>
        <w:numPr>
          <w:ilvl w:val="0"/>
          <w:numId w:val="1000"/>
        </w:numPr>
      </w:pPr>
      <w:r>
        <w:t xml:space="preserve">Implied total petroleum wealth: $2.0T / 0.75 ≈</w:t>
      </w:r>
      <w:r>
        <w:t xml:space="preserve"> </w:t>
      </w:r>
      <w:r>
        <w:t xml:space="preserve"> </w:t>
      </w:r>
      <w:r>
        <w:t xml:space="preserve">$2.67T</w:t>
      </w:r>
      <w:r>
        <w:t xml:space="preserve"> </w:t>
      </w:r>
      <w:r>
        <w:t xml:space="preserve"> </w:t>
      </w:r>
      <w:r>
        <w:t xml:space="preserve">.</w:t>
      </w:r>
    </w:p>
    <w:p>
      <w:pPr>
        <w:pStyle w:val="Compact"/>
        <w:numPr>
          <w:ilvl w:val="0"/>
          <w:numId w:val="1000"/>
        </w:numPr>
      </w:pPr>
      <w:r>
        <w:t xml:space="preserve">Per-BOE value: $2.67T / 55B BOE ≈</w:t>
      </w:r>
      <w:r>
        <w:t xml:space="preserve"> </w:t>
      </w:r>
      <w:r>
        <w:t xml:space="preserve"> </w:t>
      </w:r>
      <w:r>
        <w:t xml:space="preserve">~$48/BOE Method 2 anchor</w:t>
      </w:r>
      <w:r>
        <w:t xml:space="preserve"> </w:t>
      </w:r>
      <w:r>
        <w:t xml:space="preserve"> </w:t>
      </w:r>
      <w:r>
        <w:t xml:space="preserve">(down marginally from prior $50/BOE anchor at $1.9T fund value / 50B BOE; updated production denominator drives a small directional shift).</w:t>
      </w:r>
    </w:p>
    <w:p>
      <w:pPr>
        <w:pStyle w:val="Compact"/>
        <w:numPr>
          <w:ilvl w:val="0"/>
          <w:numId w:val="1000"/>
        </w:numPr>
      </w:pPr>
      <w:r>
        <w:t xml:space="preserve"> </w:t>
      </w:r>
      <w:r>
        <w:t xml:space="preserve">Caveats (epistemic-humility):</w:t>
      </w:r>
      <w:r>
        <w:t xml:space="preserve"> </w:t>
      </w:r>
    </w:p>
    <w:p>
      <w:pPr>
        <w:pStyle w:val="Compact"/>
        <w:numPr>
          <w:ilvl w:val="0"/>
          <w:numId w:val="1000"/>
        </w:numPr>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pStyle w:val="Compact"/>
        <w:numPr>
          <w:ilvl w:val="0"/>
          <w:numId w:val="1000"/>
        </w:numPr>
      </w:pPr>
      <w:r>
        <w:t xml:space="preserve">$50/BOE is in 2025 dollars; older extraction-era rent was lower in nominal terms. Inflation-adjusted, the inflation-corrected per-BOE accumulation is roughly $50/BOE.</w:t>
      </w:r>
    </w:p>
    <w:p>
      <w:pPr>
        <w:pStyle w:val="Compact"/>
        <w:numPr>
          <w:ilvl w:val="0"/>
          <w:numId w:val="1000"/>
        </w:numPr>
      </w:pPr>
      <w:r>
        <w:t xml:space="preserve">Norway’s capture is per-Norwegian-citizen + per-Norwegian-future-generation accounting. It does NOT account for non-Norwegian populations affected by Norwegian oil’s climate externalities. Per the case file:</w:t>
      </w:r>
      <w:r>
        <w:t xml:space="preserve"> </w:t>
      </w:r>
      <w:r>
        <w:t xml:space="preserve">“Norwegian-welfare-state is approximately B1-for-Norwegian-citizens but doesn’t extend to non-Norwegian populations.”</w:t>
      </w:r>
      <w:r>
        <w:t xml:space="preserve"> </w:t>
      </w:r>
      <w:r>
        <w:t xml:space="preserve">So Method 2 anchor is</w:t>
      </w:r>
      <w:r>
        <w:t xml:space="preserve"> </w:t>
      </w:r>
      <w:r>
        <w:t xml:space="preserve"> </w:t>
      </w:r>
      <w:r>
        <w:t xml:space="preserve">B₁-for-Norwegians-only</w:t>
      </w:r>
      <w:r>
        <w:t xml:space="preserve"> </w:t>
      </w:r>
      <w:r>
        <w:t xml:space="preserve"> </w:t>
      </w:r>
      <w:r>
        <w:t xml:space="preserve">, not aggregate B for the global commons.</w:t>
      </w:r>
    </w:p>
    <w:p>
      <w:pPr>
        <w:pStyle w:val="Compact"/>
        <w:numPr>
          <w:ilvl w:val="0"/>
          <w:numId w:val="1000"/>
        </w:numPr>
      </w:pPr>
      <w:r>
        <w:t xml:space="preserve"> </w:t>
      </w:r>
      <w:r>
        <w:t xml:space="preserve">Method 2 anchor for Norway:</w:t>
      </w:r>
      <w:r>
        <w:t xml:space="preserve"> </w:t>
      </w:r>
      <w:r>
        <w:t xml:space="preserve"> </w:t>
      </w:r>
      <w:r>
        <w:t xml:space="preserve"> </w:t>
      </w:r>
      <w:r>
        <w:t xml:space="preserve">~$48/BOE (B₁-for-Norwegians-only; B₂ globally underdeveloped).</w:t>
      </w:r>
      <w:r>
        <w:t xml:space="preserve"> </w:t>
      </w:r>
    </w:p>
    <w:p>
      <w:pPr>
        <w:pStyle w:val="Compact"/>
        <w:numPr>
          <w:ilvl w:val="0"/>
          <w:numId w:val="1000"/>
        </w:numPr>
      </w:pPr>
      <w:r>
        <w:t xml:space="preserve">Method 3 — Scarcity-Adjusted Option Value (upper bound, Norway)</w:t>
      </w:r>
    </w:p>
    <w:p>
      <w:pPr>
        <w:pStyle w:val="Compact"/>
        <w:numPr>
          <w:ilvl w:val="0"/>
          <w:numId w:val="1000"/>
        </w:numPr>
      </w:pPr>
      <w:r>
        <w:t xml:space="preserve"> </w:t>
      </w:r>
      <w:r>
        <w:t xml:space="preserve">Logic:</w:t>
      </w:r>
      <w:r>
        <w:t xml:space="preserve"> </w:t>
      </w:r>
      <w:r>
        <w:t xml:space="preserve"> </w:t>
      </w:r>
      <w:r>
        <w:t xml:space="preserve">Method 3 prices the scarcity-adjusted option value per the cross-case dominance pattern and worked-example application in §11.8 (calibrated parameters for Norway).</w:t>
      </w:r>
    </w:p>
    <w:p>
      <w:pPr>
        <w:pStyle w:val="Compact"/>
        <w:numPr>
          <w:ilvl w:val="0"/>
          <w:numId w:val="1000"/>
        </w:numPr>
      </w:pPr>
      <w:r>
        <w:t xml:space="preserve"> </w:t>
      </w:r>
      <w:r>
        <w:t xml:space="preserve">Norwegian parameter calibration:</w:t>
      </w:r>
      <w:r>
        <w:t xml:space="preserve"> </w:t>
      </w:r>
    </w:p>
    <w:p>
      <w:pPr>
        <w:pStyle w:val="Compact"/>
        <w:numPr>
          <w:ilvl w:val="0"/>
          <w:numId w:val="1000"/>
        </w:numPr>
      </w:pPr>
      <w:r>
        <w:t xml:space="preserve">σ ≈ 50–200 (oil reserves recoverable via secondary extraction; functionally non-renewable on civilizational scale but partially substitutable)</w:t>
      </w:r>
    </w:p>
    <w:p>
      <w:pPr>
        <w:pStyle w:val="Compact"/>
        <w:numPr>
          <w:ilvl w:val="0"/>
          <w:numId w:val="1000"/>
        </w:numPr>
      </w:pPr>
      <w:r>
        <w:t xml:space="preserve">α ≈ 0.50–0.75 (institutional architecture moves Norway out of α-dominance regime — restoration optionality preserved through GPFG)</w:t>
      </w:r>
    </w:p>
    <w:p>
      <w:pPr>
        <w:pStyle w:val="Compact"/>
        <w:numPr>
          <w:ilvl w:val="0"/>
          <w:numId w:val="1000"/>
        </w:numPr>
      </w:pPr>
      <w:r>
        <w:t xml:space="preserve">V_option ≈ $30–200/BOE (climate-policy + future-substitutability uncertainty)</w:t>
      </w:r>
    </w:p>
    <w:p>
      <w:pPr>
        <w:pStyle w:val="Compact"/>
        <w:numPr>
          <w:ilvl w:val="0"/>
          <w:numId w:val="1000"/>
        </w:numPr>
      </w:pPr>
      <w:r>
        <w:t xml:space="preserve">β = 1 (default conservative-irreversibility regime)</w:t>
      </w:r>
    </w:p>
    <w:p>
      <w:pPr>
        <w:pStyle w:val="Compact"/>
        <w:numPr>
          <w:ilvl w:val="0"/>
          <w:numId w:val="1000"/>
        </w:numPr>
      </w:pPr>
      <w:r>
        <w:t xml:space="preserve"> </w:t>
      </w:r>
      <w:r>
        <w:t xml:space="preserve">Calculation (mid-range parameter choice — σ=100, α=0.65, V_option=$80, β=1):</w:t>
      </w:r>
      <w:r>
        <w:t xml:space="preserve"> </w:t>
      </w:r>
    </w:p>
    <w:p>
      <w:pPr>
        <w:pStyle w:val="Compact"/>
        <w:numPr>
          <w:ilvl w:val="0"/>
          <w:numId w:val="1000"/>
        </w:numPr>
      </w:pPr>
      <w:r>
        <w:t xml:space="preserve">scarcity_multiplier(σ=100) = 1 + log(101) × Hotelling_anchor (using 5%/yr Hotelling-rate proxy) ≈ 1 + 4.6 × 0.05 ≈ 1.23</w:t>
      </w:r>
    </w:p>
    <w:p>
      <w:pPr>
        <w:pStyle w:val="Compact"/>
        <w:numPr>
          <w:ilvl w:val="0"/>
          <w:numId w:val="1000"/>
        </w:numPr>
      </w:pPr>
      <w:r>
        <w:t xml:space="preserve">irreversibility_premium(α=0.65, β=1) = 1/(0.35) ≈ 2.86</w:t>
      </w:r>
    </w:p>
    <w:p>
      <w:pPr>
        <w:pStyle w:val="Compact"/>
        <w:numPr>
          <w:ilvl w:val="0"/>
          <w:numId w:val="1000"/>
        </w:numPr>
      </w:pPr>
      <w:r>
        <w:t xml:space="preserve"> </w:t>
      </w:r>
      <w:r>
        <w:t xml:space="preserve">Method 3 RCV ≈ $80 × 1.23 × 2.86 ≈ $281/BOE</w:t>
      </w:r>
      <w:r>
        <w:t xml:space="preserve"> </w:t>
      </w:r>
    </w:p>
    <w:p>
      <w:pPr>
        <w:pStyle w:val="Compact"/>
        <w:numPr>
          <w:ilvl w:val="0"/>
          <w:numId w:val="1000"/>
        </w:numPr>
      </w:pPr>
      <w:r>
        <w:t xml:space="preserve"> </w:t>
      </w:r>
      <w:r>
        <w:t xml:space="preserve">Sensitivity range across parameter ranges:</w:t>
      </w:r>
      <w:r>
        <w:t xml:space="preserve"> </w:t>
      </w:r>
    </w:p>
    <w:p>
      <w:pPr>
        <w:pStyle w:val="Compact"/>
        <w:numPr>
          <w:ilvl w:val="0"/>
          <w:numId w:val="1000"/>
        </w:numPr>
      </w:pPr>
      <w:r>
        <w:t xml:space="preserve">Low parameters (σ=50, α=0.50, V_option=$30): $30 × 1.20 × 2.0 ≈</w:t>
      </w:r>
      <w:r>
        <w:t xml:space="preserve"> </w:t>
      </w:r>
      <w:r>
        <w:t xml:space="preserve"> </w:t>
      </w:r>
      <w:r>
        <w:t xml:space="preserve">$72/BOE</w:t>
      </w:r>
      <w:r>
        <w:t xml:space="preserve"> </w:t>
      </w:r>
    </w:p>
    <w:p>
      <w:pPr>
        <w:pStyle w:val="Compact"/>
        <w:numPr>
          <w:ilvl w:val="0"/>
          <w:numId w:val="1000"/>
        </w:numPr>
      </w:pPr>
      <w:r>
        <w:t xml:space="preserve">High parameters (σ=200, α=0.75, V_option=$200): $200 × 1.27 × 4.0 ≈</w:t>
      </w:r>
      <w:r>
        <w:t xml:space="preserve"> </w:t>
      </w:r>
      <w:r>
        <w:t xml:space="preserve"> </w:t>
      </w:r>
      <w:r>
        <w:t xml:space="preserve">$1,016/BOE</w:t>
      </w:r>
      <w:r>
        <w:t xml:space="preserve"> </w:t>
      </w:r>
    </w:p>
    <w:p>
      <w:pPr>
        <w:pStyle w:val="Compact"/>
        <w:numPr>
          <w:ilvl w:val="0"/>
          <w:numId w:val="1000"/>
        </w:numPr>
      </w:pPr>
      <w:r>
        <w:t xml:space="preserve"> </w:t>
      </w:r>
      <w:r>
        <w:t xml:space="preserve">Method 3 range for Norway:</w:t>
      </w:r>
      <w:r>
        <w:t xml:space="preserve"> </w:t>
      </w:r>
      <w:r>
        <w:t xml:space="preserve"> </w:t>
      </w:r>
      <w:r>
        <w:t xml:space="preserve"> </w:t>
      </w:r>
      <w:r>
        <w:t xml:space="preserve">~$70–1,000/BOE; mid-range ~$280/BOE.</w:t>
      </w:r>
      <w:r>
        <w:t xml:space="preserve"> </w:t>
      </w:r>
    </w:p>
    <w:p>
      <w:pPr>
        <w:pStyle w:val="Compact"/>
        <w:numPr>
          <w:ilvl w:val="0"/>
          <w:numId w:val="1000"/>
        </w:numPr>
      </w:pPr>
      <w:r>
        <w:t xml:space="preserve">Triangulation findings for Norway</w:t>
      </w:r>
    </w:p>
    <w:p>
      <w:pPr>
        <w:pStyle w:val="Compact"/>
        <w:numPr>
          <w:ilvl w:val="0"/>
          <w:numId w:val="1000"/>
        </w:numPr>
      </w:pPr>
      <w:r>
        <w:t xml:space="preserve">Method</w:t>
      </w:r>
    </w:p>
    <w:p>
      <w:pPr>
        <w:pStyle w:val="Compact"/>
        <w:numPr>
          <w:ilvl w:val="0"/>
          <w:numId w:val="1000"/>
        </w:numPr>
      </w:pPr>
      <w:r>
        <w:t xml:space="preserve">Estimate (per BOE)</w:t>
      </w:r>
    </w:p>
    <w:p>
      <w:pPr>
        <w:pStyle w:val="Compact"/>
        <w:numPr>
          <w:ilvl w:val="0"/>
          <w:numId w:val="1000"/>
        </w:numPr>
      </w:pPr>
      <w:r>
        <w:t xml:space="preserve">What it prices</w:t>
      </w:r>
    </w:p>
    <w:p>
      <w:pPr>
        <w:pStyle w:val="Compact"/>
        <w:numPr>
          <w:ilvl w:val="0"/>
          <w:numId w:val="1000"/>
        </w:numPr>
      </w:pPr>
      <w:r>
        <w:t xml:space="preserve"> </w:t>
      </w:r>
      <w:r>
        <w:t xml:space="preserve">M1 — Replacement Cost (Habitability + non-energy-use Foreclosure)</w:t>
      </w:r>
      <w:r>
        <w:t xml:space="preserve"> </w:t>
      </w:r>
    </w:p>
    <w:p>
      <w:pPr>
        <w:pStyle w:val="Compact"/>
        <w:numPr>
          <w:ilvl w:val="0"/>
          <w:numId w:val="1000"/>
        </w:numPr>
      </w:pPr>
      <w:r>
        <w:t xml:space="preserve">~$300–$650</w:t>
      </w:r>
    </w:p>
    <w:p>
      <w:pPr>
        <w:pStyle w:val="Compact"/>
        <w:numPr>
          <w:ilvl w:val="0"/>
          <w:numId w:val="1000"/>
        </w:numPr>
      </w:pPr>
      <w:r>
        <w:t xml:space="preserve">Atmospheric DAC + petrochemical-feedstock substitution</w:t>
      </w:r>
    </w:p>
    <w:p>
      <w:pPr>
        <w:pStyle w:val="Compact"/>
        <w:numPr>
          <w:ilvl w:val="0"/>
          <w:numId w:val="1000"/>
        </w:numPr>
      </w:pPr>
      <w:r>
        <w:t xml:space="preserve"> </w:t>
      </w:r>
      <w:r>
        <w:t xml:space="preserve">M2 — Norway Revealed Preference</w:t>
      </w:r>
      <w:r>
        <w:t xml:space="preserve"> </w:t>
      </w:r>
    </w:p>
    <w:p>
      <w:pPr>
        <w:pStyle w:val="Compact"/>
        <w:numPr>
          <w:ilvl w:val="0"/>
          <w:numId w:val="1000"/>
        </w:numPr>
      </w:pPr>
      <w:r>
        <w:t xml:space="preserve">~$48</w:t>
      </w:r>
    </w:p>
    <w:p>
      <w:pPr>
        <w:pStyle w:val="Compact"/>
        <w:numPr>
          <w:ilvl w:val="0"/>
          <w:numId w:val="1000"/>
        </w:numPr>
      </w:pPr>
      <w:r>
        <w:t xml:space="preserve">B₁-for-Norwegians-only (extraction rent captured)</w:t>
      </w:r>
    </w:p>
    <w:p>
      <w:pPr>
        <w:pStyle w:val="Compact"/>
        <w:numPr>
          <w:ilvl w:val="0"/>
          <w:numId w:val="1000"/>
        </w:numPr>
      </w:pPr>
      <w:r>
        <w:t xml:space="preserve"> </w:t>
      </w:r>
      <w:r>
        <w:t xml:space="preserve">M3 — Scarcity-Adjusted Option Value</w:t>
      </w:r>
      <w:r>
        <w:t xml:space="preserve"> </w:t>
      </w:r>
    </w:p>
    <w:p>
      <w:pPr>
        <w:pStyle w:val="Compact"/>
        <w:numPr>
          <w:ilvl w:val="0"/>
          <w:numId w:val="1000"/>
        </w:numPr>
      </w:pPr>
      <w:r>
        <w:t xml:space="preserve">~$70–$1,000 (mid: $280)</w:t>
      </w:r>
    </w:p>
    <w:p>
      <w:pPr>
        <w:pStyle w:val="Compact"/>
        <w:numPr>
          <w:ilvl w:val="0"/>
          <w:numId w:val="1000"/>
        </w:numPr>
      </w:pPr>
      <w:r>
        <w:t xml:space="preserve">Combined scarcity + irreversibility + option-value</w:t>
      </w:r>
    </w:p>
    <w:p>
      <w:pPr>
        <w:pStyle w:val="Compact"/>
        <w:numPr>
          <w:ilvl w:val="0"/>
          <w:numId w:val="1000"/>
        </w:numPr>
      </w:pPr>
      <w:r>
        <w:t xml:space="preserve"> </w:t>
      </w:r>
      <w:r>
        <w:t xml:space="preserve">Convergence assessment:</w:t>
      </w:r>
      <w:r>
        <w:t xml:space="preserve"> </w:t>
      </w:r>
    </w:p>
    <w:p>
      <w:pPr>
        <w:pStyle w:val="Compact"/>
        <w:numPr>
          <w:ilvl w:val="0"/>
          <w:numId w:val="1000"/>
        </w:numPr>
      </w:pPr>
      <w:r>
        <w:t xml:space="preserve"> </w:t>
      </w:r>
      <w:r>
        <w:t xml:space="preserve">M1 (full scope) and M3 mid-range estimates converge at ~$250–$300/BOE.</w:t>
      </w:r>
      <w:r>
        <w:t xml:space="preserve"> </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pStyle w:val="Compact"/>
        <w:numPr>
          <w:ilvl w:val="0"/>
          <w:numId w:val="1000"/>
        </w:numPr>
      </w:pPr>
      <w:r>
        <w:t xml:space="preserve"> </w:t>
      </w:r>
      <w:r>
        <w:t xml:space="preserve">M2 is the OUTLIER LOWER-BOUND at ~$48/BOE</w:t>
      </w:r>
      <w:r>
        <w:t xml:space="preserve"> </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pStyle w:val="Compact"/>
        <w:numPr>
          <w:ilvl w:val="0"/>
          <w:numId w:val="1000"/>
        </w:numPr>
      </w:pPr>
      <w:r>
        <w:t xml:space="preserve"> </w:t>
      </w:r>
      <w:r>
        <w:t xml:space="preserve">Implied Cost Severance (CS = RCV − B) for Norway:</w:t>
      </w:r>
      <w:r>
        <w:t xml:space="preserve"> </w:t>
      </w:r>
      <w:r>
        <w:t xml:space="preserve"> </w:t>
      </w:r>
      <w:r>
        <w:t xml:space="preserve">if RCV ~$300/BOE and B (per-Norwegian) ~$48/BOE, then CS per BOE ~$250/BOE.</w:t>
      </w:r>
      <w:r>
        <w:t xml:space="preserve"> </w:t>
      </w:r>
      <w:r>
        <w:t xml:space="preserve"> </w:t>
      </w:r>
      <w:r>
        <w:t xml:space="preserve">Cumulative Norwegian CS ≈ 55B BOE × $250 ≈ $13.75T.</w:t>
      </w:r>
      <w:r>
        <w:t xml:space="preserve"> </w:t>
      </w:r>
    </w:p>
    <w:p>
      <w:pPr>
        <w:pStyle w:val="Compact"/>
        <w:numPr>
          <w:ilvl w:val="0"/>
          <w:numId w:val="1000"/>
        </w:numPr>
      </w:pPr>
      <w:r>
        <w:t xml:space="preserve"> </w:t>
      </w:r>
      <w:r>
        <w:t xml:space="preserve">Structural finding:</w:t>
      </w:r>
      <w:r>
        <w:t xml:space="preserve"> </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pPr>
        <w:pStyle w:val="Compact"/>
        <w:numPr>
          <w:ilvl w:val="0"/>
          <w:numId w:val="1000"/>
        </w:numPr>
      </w:pPr>
      <w:r>
        <w:t xml:space="preserve">§11.6 — Appalachian coal (McDowell County) calibration</w:t>
      </w:r>
    </w:p>
    <w:p>
      <w:pPr>
        <w:pStyle w:val="Compact"/>
        <w:numPr>
          <w:ilvl w:val="0"/>
          <w:numId w:val="1000"/>
        </w:numPr>
      </w:pPr>
      <w:r>
        <w:t xml:space="preserve">Worked execution of Methods 1+2+3 against McDowell County coal-extraction data 1900–2020.</w:t>
      </w:r>
      <w:r>
        <w:t xml:space="preserve"> </w:t>
      </w:r>
      <w:r>
        <w:t xml:space="preserve">Companion to §11.5 Norway.</w:t>
      </w:r>
    </w:p>
    <w:p>
      <w:pPr>
        <w:pStyle w:val="Compact"/>
        <w:numPr>
          <w:ilvl w:val="0"/>
          <w:numId w:val="1000"/>
        </w:numPr>
      </w:pPr>
      <w:r>
        <w:t xml:space="preserve">Appalachian coal calibration — Three Ways of Counting executed</w:t>
      </w:r>
    </w:p>
    <w:p>
      <w:pPr>
        <w:pStyle w:val="Compact"/>
        <w:numPr>
          <w:ilvl w:val="0"/>
          <w:numId w:val="1000"/>
        </w:numPr>
      </w:pPr>
      <w:r>
        <w:t xml:space="preserve">Empirical anchors (McDowell County, West Virginia, 1900-2020)</w:t>
      </w:r>
    </w:p>
    <w:p>
      <w:pPr>
        <w:pStyle w:val="Compact"/>
        <w:numPr>
          <w:ilvl w:val="0"/>
          <w:numId w:val="1000"/>
        </w:numPr>
      </w:pPr>
      <w:r>
        <w:t xml:space="preserve">Anchor</w:t>
      </w:r>
    </w:p>
    <w:p>
      <w:pPr>
        <w:pStyle w:val="Compact"/>
        <w:numPr>
          <w:ilvl w:val="0"/>
          <w:numId w:val="1000"/>
        </w:numPr>
      </w:pPr>
      <w:r>
        <w:t xml:space="preserve">Value</w:t>
      </w:r>
    </w:p>
    <w:p>
      <w:pPr>
        <w:pStyle w:val="Compact"/>
        <w:numPr>
          <w:ilvl w:val="0"/>
          <w:numId w:val="1000"/>
        </w:numPr>
      </w:pPr>
      <w:r>
        <w:t xml:space="preserve">Source</w:t>
      </w:r>
    </w:p>
    <w:p>
      <w:pPr>
        <w:pStyle w:val="Compact"/>
        <w:numPr>
          <w:ilvl w:val="0"/>
          <w:numId w:val="1000"/>
        </w:numPr>
      </w:pPr>
      <w:r>
        <w:t xml:space="preserve"> </w:t>
      </w:r>
      <w:r>
        <w:t xml:space="preserve">Cumulative coal production (McDowell + adjacent counties, peak production era)</w:t>
      </w:r>
      <w:r>
        <w:t xml:space="preserve"> </w:t>
      </w:r>
    </w:p>
    <w:p>
      <w:pPr>
        <w:pStyle w:val="Compact"/>
        <w:numPr>
          <w:ilvl w:val="0"/>
          <w:numId w:val="1000"/>
        </w:numPr>
      </w:pPr>
      <w:r>
        <w:t xml:space="preserve">~600 million tons</w:t>
      </w:r>
    </w:p>
    <w:p>
      <w:pPr>
        <w:pStyle w:val="Compact"/>
        <w:numPr>
          <w:ilvl w:val="0"/>
          <w:numId w:val="1000"/>
        </w:numPr>
      </w:pPr>
      <w:r>
        <w:t xml:space="preserve">West Virginia Geological Survey + USGS coal-production statistics</w:t>
      </w:r>
    </w:p>
    <w:p>
      <w:pPr>
        <w:pStyle w:val="Compact"/>
        <w:numPr>
          <w:ilvl w:val="0"/>
          <w:numId w:val="1000"/>
        </w:numPr>
      </w:pPr>
      <w:r>
        <w:t xml:space="preserve"> </w:t>
      </w:r>
      <w:r>
        <w:t xml:space="preserve">1960 average coal price (Ch 6 convergence-table anchor)</w:t>
      </w:r>
      <w:r>
        <w:t xml:space="preserve"> </w:t>
      </w:r>
    </w:p>
    <w:p>
      <w:pPr>
        <w:pStyle w:val="Compact"/>
        <w:numPr>
          <w:ilvl w:val="0"/>
          <w:numId w:val="1000"/>
        </w:numPr>
      </w:pPr>
      <w:r>
        <w:t xml:space="preserve">$4.50/ton</w:t>
      </w:r>
    </w:p>
    <w:p>
      <w:pPr>
        <w:pStyle w:val="Compact"/>
        <w:numPr>
          <w:ilvl w:val="0"/>
          <w:numId w:val="1000"/>
        </w:numPr>
      </w:pPr>
      <w:r>
        <w:t xml:space="preserve">Ch 6 convergence table</w:t>
      </w:r>
    </w:p>
    <w:p>
      <w:pPr>
        <w:pStyle w:val="Compact"/>
        <w:numPr>
          <w:ilvl w:val="0"/>
          <w:numId w:val="1000"/>
        </w:numPr>
      </w:pPr>
      <w:r>
        <w:t xml:space="preserve"> </w:t>
      </w:r>
      <w:r>
        <w:t xml:space="preserve">Documented IPG — canonical range</w:t>
      </w:r>
      <w:r>
        <w:t xml:space="preserve"> </w:t>
      </w:r>
    </w:p>
    <w:p>
      <w:pPr>
        <w:pStyle w:val="Compact"/>
        <w:numPr>
          <w:ilvl w:val="0"/>
          <w:numId w:val="1000"/>
        </w:numPr>
      </w:pPr>
      <w:r>
        <w:t xml:space="preserve">~33–122×</w:t>
      </w:r>
    </w:p>
    <w:p>
      <w:pPr>
        <w:pStyle w:val="Compact"/>
        <w:numPr>
          <w:ilvl w:val="0"/>
          <w:numId w:val="1000"/>
        </w:numPr>
      </w:pPr>
      <w:r>
        <w:t xml:space="preserve">Case-study audit §2.1 + terms_index Severed Cost record</w:t>
      </w:r>
    </w:p>
    <w:p>
      <w:pPr>
        <w:pStyle w:val="Compact"/>
        <w:numPr>
          <w:ilvl w:val="0"/>
          <w:numId w:val="1000"/>
        </w:numPr>
      </w:pPr>
      <w:r>
        <w:t xml:space="preserve"> </w:t>
      </w:r>
      <w:r>
        <w:t xml:space="preserve">Carbon intensity (combusted)</w:t>
      </w:r>
      <w:r>
        <w:t xml:space="preserve"> </w:t>
      </w:r>
    </w:p>
    <w:p>
      <w:pPr>
        <w:pStyle w:val="Compact"/>
        <w:numPr>
          <w:ilvl w:val="0"/>
          <w:numId w:val="1000"/>
        </w:numPr>
      </w:pPr>
      <w:r>
        <w:t xml:space="preserve">~2.32 tons CO₂ per ton coal (EPA emission factor for bituminous coal at short-ton accounting)</w:t>
      </w:r>
    </w:p>
    <w:p>
      <w:pPr>
        <w:pStyle w:val="Compact"/>
        <w:numPr>
          <w:ilvl w:val="0"/>
          <w:numId w:val="1000"/>
        </w:numPr>
      </w:pPr>
      <w:r>
        <w:t xml:space="preserve">EPA AP-42 §1.1 Bituminous and Subbituminous Coal Combustion (93.28 kg CO₂/mmBtu) × EIA-published heat content for bituminous coal (~24.93 mmBtu/short ton) ≈ 2,324.56 kg/short ton ≈ 2.32 mt CO₂/short ton</w:t>
      </w:r>
    </w:p>
    <w:p>
      <w:pPr>
        <w:pStyle w:val="Compact"/>
        <w:numPr>
          <w:ilvl w:val="0"/>
          <w:numId w:val="1000"/>
        </w:numPr>
      </w:pPr>
      <w:r>
        <w:t xml:space="preserve"> </w:t>
      </w:r>
      <w:r>
        <w:t xml:space="preserve">Cumulative emissions from McDowell coal (combusted)</w:t>
      </w:r>
      <w:r>
        <w:t xml:space="preserve"> </w:t>
      </w:r>
    </w:p>
    <w:p>
      <w:pPr>
        <w:pStyle w:val="Compact"/>
        <w:numPr>
          <w:ilvl w:val="0"/>
          <w:numId w:val="1000"/>
        </w:numPr>
      </w:pPr>
      <w:r>
        <w:t xml:space="preserve">~1.4 billion tons CO₂</w:t>
      </w:r>
    </w:p>
    <w:p>
      <w:pPr>
        <w:pStyle w:val="Compact"/>
        <w:numPr>
          <w:ilvl w:val="0"/>
          <w:numId w:val="1000"/>
        </w:numPr>
      </w:pPr>
      <w:r>
        <w:t xml:space="preserve">Calculated: 600M short tons × 2.32 mt CO₂/short ton ≈ 1.39B mt CO₂</w:t>
      </w:r>
    </w:p>
    <w:p>
      <w:pPr>
        <w:pStyle w:val="Compact"/>
        <w:numPr>
          <w:ilvl w:val="0"/>
          <w:numId w:val="1000"/>
        </w:numPr>
      </w:pPr>
      <w:r>
        <w:t xml:space="preserve"> </w:t>
      </w:r>
      <w:r>
        <w:t xml:space="preserve">Black Lung Trust Fund cumulative payouts (1969-present); outstanding debt</w:t>
      </w:r>
      <w:r>
        <w:t xml:space="preserve"> </w:t>
      </w:r>
    </w:p>
    <w:p>
      <w:pPr>
        <w:pStyle w:val="Compact"/>
        <w:numPr>
          <w:ilvl w:val="0"/>
          <w:numId w:val="1000"/>
        </w:numPr>
      </w:pPr>
      <w:r>
        <w:t xml:space="preserve">~$44 billion cumulative payouts; $5.1B outstanding debt as of September 2024</w:t>
      </w:r>
    </w:p>
    <w:p>
      <w:pPr>
        <w:pStyle w:val="Compact"/>
        <w:numPr>
          <w:ilvl w:val="0"/>
          <w:numId w:val="1000"/>
        </w:numPr>
      </w:pPr>
      <w:r>
        <w:t xml:space="preserve">DOL Office of Workers’ Compensation Programs; Black Lung Disability Trust Fund annual reports</w:t>
      </w:r>
    </w:p>
    <w:p>
      <w:pPr>
        <w:pStyle w:val="Compact"/>
        <w:numPr>
          <w:ilvl w:val="0"/>
          <w:numId w:val="1000"/>
        </w:numPr>
      </w:pPr>
      <w:r>
        <w:t xml:space="preserve"> </w:t>
      </w:r>
      <w:r>
        <w:t xml:space="preserve">Reclamation Bond shortfalls</w:t>
      </w:r>
      <w:r>
        <w:t xml:space="preserve"> </w:t>
      </w:r>
    </w:p>
    <w:p>
      <w:pPr>
        <w:pStyle w:val="Compact"/>
        <w:numPr>
          <w:ilvl w:val="0"/>
          <w:numId w:val="1000"/>
        </w:numPr>
      </w:pPr>
      <w:r>
        <w:t xml:space="preserve">$4–6 billion gap (industry-vs-actual)</w:t>
      </w:r>
    </w:p>
    <w:p>
      <w:pPr>
        <w:pStyle w:val="Compact"/>
        <w:numPr>
          <w:ilvl w:val="0"/>
          <w:numId w:val="1000"/>
        </w:numPr>
      </w:pPr>
      <w:r>
        <w:t xml:space="preserve">OSMRE; GAO-17-207R</w:t>
      </w:r>
    </w:p>
    <w:p>
      <w:pPr>
        <w:pStyle w:val="Compact"/>
        <w:numPr>
          <w:ilvl w:val="0"/>
          <w:numId w:val="1000"/>
        </w:numPr>
      </w:pPr>
      <w:r>
        <w:t xml:space="preserve"> </w:t>
      </w:r>
      <w:r>
        <w:t xml:space="preserve">Bankruptcy-transferred liabilities</w:t>
      </w:r>
      <w:r>
        <w:t xml:space="preserve"> </w:t>
      </w:r>
    </w:p>
    <w:p>
      <w:pPr>
        <w:pStyle w:val="Compact"/>
        <w:numPr>
          <w:ilvl w:val="0"/>
          <w:numId w:val="1000"/>
        </w:numPr>
      </w:pPr>
      <w:r>
        <w:t xml:space="preserve">~$865M to taxpayers (2014-2016 alone)</w:t>
      </w:r>
    </w:p>
    <w:p>
      <w:pPr>
        <w:pStyle w:val="Compact"/>
        <w:numPr>
          <w:ilvl w:val="0"/>
          <w:numId w:val="1000"/>
        </w:numPr>
      </w:pPr>
      <w:r>
        <w:t xml:space="preserve">OSMRE bankruptcy filings</w:t>
      </w:r>
    </w:p>
    <w:p>
      <w:pPr>
        <w:pStyle w:val="Compact"/>
        <w:numPr>
          <w:ilvl w:val="0"/>
          <w:numId w:val="1000"/>
        </w:numPr>
      </w:pPr>
      <w:r>
        <w:t xml:space="preserve"> </w:t>
      </w:r>
      <w:r>
        <w:t xml:space="preserve">McDowell County life-expectancy gap</w:t>
      </w:r>
      <w:r>
        <w:t xml:space="preserve"> </w:t>
      </w:r>
    </w:p>
    <w:p>
      <w:pPr>
        <w:pStyle w:val="Compact"/>
        <w:numPr>
          <w:ilvl w:val="0"/>
          <w:numId w:val="1000"/>
        </w:numPr>
      </w:pPr>
      <w:r>
        <w:t xml:space="preserve">13 years vs. national-average county</w:t>
      </w:r>
    </w:p>
    <w:p>
      <w:pPr>
        <w:pStyle w:val="Compact"/>
        <w:numPr>
          <w:ilvl w:val="0"/>
          <w:numId w:val="1000"/>
        </w:numPr>
      </w:pPr>
      <w:r>
        <w:t xml:space="preserve">CDC + Robert Wood Johnson Foundation county health rankings</w:t>
      </w:r>
    </w:p>
    <w:p>
      <w:pPr>
        <w:pStyle w:val="Compact"/>
        <w:numPr>
          <w:ilvl w:val="0"/>
          <w:numId w:val="1000"/>
        </w:numPr>
      </w:pPr>
      <w:r>
        <w:t xml:space="preserve">Method 1 — Replacement Cost (lower-bound floor)</w:t>
      </w:r>
    </w:p>
    <w:p>
      <w:pPr>
        <w:pStyle w:val="Compact"/>
        <w:numPr>
          <w:ilvl w:val="0"/>
          <w:numId w:val="1000"/>
        </w:numPr>
      </w:pPr>
      <w:r>
        <w:t xml:space="preserve"> </w:t>
      </w:r>
      <w:r>
        <w:t xml:space="preserve">Habitability commons (atmospheric component) — per §3.3 canonical DAC bands:</w:t>
      </w:r>
      <w:r>
        <w:t xml:space="preserve"> </w:t>
      </w:r>
    </w:p>
    <w:p>
      <w:pPr>
        <w:pStyle w:val="Compact"/>
        <w:numPr>
          <w:ilvl w:val="0"/>
          <w:numId w:val="1000"/>
        </w:numPr>
      </w:pPr>
      <w:r>
        <w:t xml:space="preserve"> </w:t>
      </w:r>
      <w:r>
        <w:t xml:space="preserve">Conservative DAC ($600–$1,000/ton CO₂; first-of-a-kind, Climeworks Orca/Mammoth):</w:t>
      </w:r>
      <w:r>
        <w:t xml:space="preserve"> </w:t>
      </w:r>
      <w:r>
        <w:t xml:space="preserve"> </w:t>
      </w:r>
      <w:r>
        <w:t xml:space="preserve">1.4B tons CO₂ × $600–$1,000/ton =</w:t>
      </w:r>
      <w:r>
        <w:t xml:space="preserve"> </w:t>
      </w:r>
      <w:r>
        <w:t xml:space="preserve"> </w:t>
      </w:r>
      <w:r>
        <w:t xml:space="preserve">$836B–$1.39T atmospheric replacement cost</w:t>
      </w:r>
      <w:r>
        <w:t xml:space="preserve"> </w:t>
      </w:r>
      <w:r>
        <w:t xml:space="preserve"> </w:t>
      </w:r>
      <w:r>
        <w:t xml:space="preserve">(cumulative); per-ton coal at 2.32 mt CO₂/short ton × DAC range =</w:t>
      </w:r>
      <w:r>
        <w:t xml:space="preserve"> </w:t>
      </w:r>
      <w:r>
        <w:t xml:space="preserve"> </w:t>
      </w:r>
      <w:r>
        <w:t xml:space="preserve">$1,392–$2,320/ton coal</w:t>
      </w:r>
      <w:r>
        <w:t xml:space="preserve"> </w:t>
      </w:r>
      <w:r>
        <w:t xml:space="preserve"> </w:t>
      </w:r>
      <w:r>
        <w:t xml:space="preserve">.</w:t>
      </w:r>
    </w:p>
    <w:p>
      <w:pPr>
        <w:pStyle w:val="Compact"/>
        <w:numPr>
          <w:ilvl w:val="0"/>
          <w:numId w:val="1000"/>
        </w:numPr>
      </w:pPr>
      <w:r>
        <w:t xml:space="preserve"> </w:t>
      </w:r>
      <w:r>
        <w:t xml:space="preserve">At-scale DAC ($300–$600/ton CO₂; commercial within next decade):</w:t>
      </w:r>
      <w:r>
        <w:t xml:space="preserve"> </w:t>
      </w:r>
      <w:r>
        <w:t xml:space="preserve"> </w:t>
      </w:r>
      <w:r>
        <w:t xml:space="preserve">1.4B tons CO₂ × $300–$600/ton =</w:t>
      </w:r>
      <w:r>
        <w:t xml:space="preserve"> </w:t>
      </w:r>
      <w:r>
        <w:t xml:space="preserve"> </w:t>
      </w:r>
      <w:r>
        <w:t xml:space="preserve">$418B–$836B atmospheric replacement cost</w:t>
      </w:r>
      <w:r>
        <w:t xml:space="preserve"> </w:t>
      </w:r>
      <w:r>
        <w:t xml:space="preserve"> </w:t>
      </w:r>
      <w:r>
        <w:t xml:space="preserve">; per-ton coal</w:t>
      </w:r>
      <w:r>
        <w:t xml:space="preserve"> </w:t>
      </w:r>
      <w:r>
        <w:t xml:space="preserve"> </w:t>
      </w:r>
      <w:r>
        <w:t xml:space="preserve">$696–$1,392/ton coal</w:t>
      </w:r>
      <w:r>
        <w:t xml:space="preserve"> </w:t>
      </w:r>
      <w:r>
        <w:t xml:space="preserve"> </w:t>
      </w:r>
      <w:r>
        <w:t xml:space="preserve">.</w:t>
      </w:r>
    </w:p>
    <w:p>
      <w:pPr>
        <w:pStyle w:val="Compact"/>
        <w:numPr>
          <w:ilvl w:val="0"/>
          <w:numId w:val="1000"/>
        </w:numPr>
      </w:pPr>
      <w:r>
        <w:t xml:space="preserve"> </w:t>
      </w:r>
      <w:r>
        <w:t xml:space="preserve">Optimistic 2050 DAC ($100–$300/ton CO₂; nth-of-a-kind, IEA / IPCC AR6 / US National Academies):</w:t>
      </w:r>
      <w:r>
        <w:t xml:space="preserve"> </w:t>
      </w:r>
      <w:r>
        <w:t xml:space="preserve"> </w:t>
      </w:r>
      <w:r>
        <w:t xml:space="preserve">1.4B tons CO₂ × $100–$300/ton =</w:t>
      </w:r>
      <w:r>
        <w:t xml:space="preserve"> </w:t>
      </w:r>
      <w:r>
        <w:t xml:space="preserve"> </w:t>
      </w:r>
      <w:r>
        <w:t xml:space="preserve">$139B–$418B atmospheric replacement cost</w:t>
      </w:r>
      <w:r>
        <w:t xml:space="preserve"> </w:t>
      </w:r>
      <w:r>
        <w:t xml:space="preserve"> </w:t>
      </w:r>
      <w:r>
        <w:t xml:space="preserve">; per-ton coal</w:t>
      </w:r>
      <w:r>
        <w:t xml:space="preserve"> </w:t>
      </w:r>
      <w:r>
        <w:t xml:space="preserve"> </w:t>
      </w:r>
      <w:r>
        <w:t xml:space="preserve">$232–$696/ton coal</w:t>
      </w:r>
      <w:r>
        <w:t xml:space="preserve"> </w:t>
      </w:r>
      <w:r>
        <w:t xml:space="preserve"> </w:t>
      </w:r>
      <w:r>
        <w:t xml:space="preserve">.</w:t>
      </w:r>
    </w:p>
    <w:p>
      <w:pPr>
        <w:pStyle w:val="Compact"/>
        <w:numPr>
          <w:ilvl w:val="0"/>
          <w:numId w:val="1000"/>
        </w:numPr>
      </w:pPr>
      <w:r>
        <w:t xml:space="preserve"> </w:t>
      </w:r>
      <w:r>
        <w:t xml:space="preserve">Habitability + Ecosystem (mountaintop-removal habitat + watershed):</w:t>
      </w:r>
      <w:r>
        <w:t xml:space="preserve"> </w:t>
      </w:r>
    </w:p>
    <w:p>
      <w:pPr>
        <w:pStyle w:val="Compact"/>
        <w:numPr>
          <w:ilvl w:val="0"/>
          <w:numId w:val="1000"/>
        </w:numPr>
      </w:pPr>
      <w:r>
        <w:t xml:space="preserve">Mountaintop-removal restoration estimates (where engineering substitution is partial): ~$50,000–$200,000/acre disturbed; cumulative McDowell disturbed area ~150,000 acres →</w:t>
      </w:r>
      <w:r>
        <w:t xml:space="preserve"> </w:t>
      </w:r>
      <w:r>
        <w:t xml:space="preserve"> </w:t>
      </w:r>
      <w:r>
        <w:t xml:space="preserve">~$7.5B–30B Ecosystem Method 1 floor</w:t>
      </w:r>
      <w:r>
        <w:t xml:space="preserve"> </w:t>
      </w:r>
      <w:r>
        <w:t xml:space="preserve"> </w:t>
      </w:r>
      <w:r>
        <w:t xml:space="preserve">(substitutable component only; non-substitutable component priced higher in Method 3).</w:t>
      </w:r>
    </w:p>
    <w:p>
      <w:pPr>
        <w:pStyle w:val="Compact"/>
        <w:numPr>
          <w:ilvl w:val="0"/>
          <w:numId w:val="1000"/>
        </w:numPr>
      </w:pPr>
      <w:r>
        <w:t xml:space="preserve">Per-ton coal: ~$12–50/ton.</w:t>
      </w:r>
    </w:p>
    <w:p>
      <w:pPr>
        <w:pStyle w:val="Compact"/>
        <w:numPr>
          <w:ilvl w:val="0"/>
          <w:numId w:val="1000"/>
        </w:numPr>
      </w:pPr>
      <w:r>
        <w:t xml:space="preserve"> </w:t>
      </w:r>
      <w:r>
        <w:t xml:space="preserve">Cohesion + Kindred + Spatial (community-replacement):</w:t>
      </w:r>
      <w:r>
        <w:t xml:space="preserve"> </w:t>
      </w:r>
    </w:p>
    <w:p>
      <w:pPr>
        <w:pStyle w:val="Compact"/>
        <w:numPr>
          <w:ilvl w:val="0"/>
          <w:numId w:val="1000"/>
        </w:numPr>
      </w:pPr>
      <w:r>
        <w:t xml:space="preserve">Cohesive-community-replacement is the least Method-1-tractable. Conservative engineering-substitute estimate: ~$200,000-500,000/displaced-resident × 50,000 net out-migration ≈ $10–25B. Per-ton coal ~$17–42/ton.</w:t>
      </w:r>
    </w:p>
    <w:p>
      <w:pPr>
        <w:pStyle w:val="Compact"/>
        <w:numPr>
          <w:ilvl w:val="0"/>
          <w:numId w:val="1000"/>
        </w:numPr>
      </w:pPr>
      <w:r>
        <w:t xml:space="preserve"> </w:t>
      </w:r>
      <w:r>
        <w:t xml:space="preserve">Method 1 anchor for McDowell coal (combined Habitability + Ecosystem + Cohesion floors), per §3.3 canonical DAC bands:</w:t>
      </w:r>
      <w:r>
        <w:t xml:space="preserve"> </w:t>
      </w:r>
      <w:r>
        <w:t xml:space="preserve"> </w:t>
      </w:r>
      <w:r>
        <w:t xml:space="preserve"> </w:t>
      </w:r>
      <w:r>
        <w:t xml:space="preserve">~$1,421–$2,412/ton coal at conservative DAC ($600–$1,000/ton CO₂); ~$725–$1,484/ton at at-scale DAC ($300–$600/ton CO₂); ~$261–$788/ton at optimistic 2050 DAC ($100–$300/ton CO₂).</w:t>
      </w:r>
      <w:r>
        <w:t xml:space="preserve"> </w:t>
      </w:r>
    </w:p>
    <w:p>
      <w:pPr>
        <w:pStyle w:val="Compact"/>
        <w:numPr>
          <w:ilvl w:val="0"/>
          <w:numId w:val="1000"/>
        </w:numPr>
      </w:pPr>
      <w:r>
        <w:t xml:space="preserve">Method 2 — Revealed Preference (anchor)</w:t>
      </w:r>
    </w:p>
    <w:p>
      <w:pPr>
        <w:pStyle w:val="Compact"/>
        <w:numPr>
          <w:ilvl w:val="0"/>
          <w:numId w:val="1000"/>
        </w:numPr>
      </w:pPr>
      <w:r>
        <w:t xml:space="preserve"> </w:t>
      </w:r>
      <w:r>
        <w:t xml:space="preserve">Logic:</w:t>
      </w:r>
      <w:r>
        <w:t xml:space="preserve"> </w:t>
      </w:r>
      <w:r>
        <w:t xml:space="preserve"> </w:t>
      </w:r>
      <w:r>
        <w:t xml:space="preserve">Method 2 for McDowell reveals what existing accountability regimes captured, NOT what was wrongly extracted. The expected result is that B &lt;&lt; RCV by orders of magnitude — the</w:t>
      </w:r>
      <w:r>
        <w:t xml:space="preserve"> </w:t>
      </w:r>
      <w:r>
        <w:t xml:space="preserve">“accountability gap”</w:t>
      </w:r>
      <w:r>
        <w:t xml:space="preserve"> </w:t>
      </w:r>
      <w:r>
        <w:t xml:space="preserve">the framework names.</w:t>
      </w:r>
    </w:p>
    <w:p>
      <w:pPr>
        <w:pStyle w:val="Compact"/>
        <w:numPr>
          <w:ilvl w:val="0"/>
          <w:numId w:val="1000"/>
        </w:numPr>
      </w:pPr>
      <w:r>
        <w:t xml:space="preserve"> </w:t>
      </w:r>
      <w:r>
        <w:t xml:space="preserve">Calculation:</w:t>
      </w:r>
      <w:r>
        <w:t xml:space="preserve"> </w:t>
      </w:r>
    </w:p>
    <w:p>
      <w:pPr>
        <w:pStyle w:val="Compact"/>
        <w:numPr>
          <w:ilvl w:val="0"/>
          <w:numId w:val="1000"/>
        </w:numPr>
      </w:pPr>
      <w:r>
        <w:t xml:space="preserve">Black Lung Trust Fund cumulative payouts: $44B over 56 years</w:t>
      </w:r>
    </w:p>
    <w:p>
      <w:pPr>
        <w:pStyle w:val="Compact"/>
        <w:numPr>
          <w:ilvl w:val="0"/>
          <w:numId w:val="1000"/>
        </w:numPr>
      </w:pPr>
      <w:r>
        <w:t xml:space="preserve">Reclamation bonds posted (net of shortfalls): ~$3-5B</w:t>
      </w:r>
    </w:p>
    <w:p>
      <w:pPr>
        <w:pStyle w:val="Compact"/>
        <w:numPr>
          <w:ilvl w:val="0"/>
          <w:numId w:val="1000"/>
        </w:numPr>
      </w:pPr>
      <w:r>
        <w:t xml:space="preserve">Bankruptcy-transferred-to-taxpayer liabilities: ~$0.9B (recent era only)</w:t>
      </w:r>
    </w:p>
    <w:p>
      <w:pPr>
        <w:pStyle w:val="Compact"/>
        <w:numPr>
          <w:ilvl w:val="0"/>
          <w:numId w:val="1000"/>
        </w:numPr>
      </w:pPr>
      <w:r>
        <w:t xml:space="preserve">Other miner-compensation + medical-cost-shifting: estimated ~$5-10B (uncovered medical care; disability programs)</w:t>
      </w:r>
    </w:p>
    <w:p>
      <w:pPr>
        <w:pStyle w:val="Compact"/>
        <w:numPr>
          <w:ilvl w:val="0"/>
          <w:numId w:val="1000"/>
        </w:numPr>
      </w:pPr>
      <w:r>
        <w:t xml:space="preserve"> </w:t>
      </w:r>
      <w:r>
        <w:t xml:space="preserve">Total realized B for McDowell-coal context: ~$53-60B (50+ years aggregate)</w:t>
      </w:r>
      <w:r>
        <w:t xml:space="preserve"> </w:t>
      </w:r>
    </w:p>
    <w:p>
      <w:pPr>
        <w:pStyle w:val="Compact"/>
        <w:numPr>
          <w:ilvl w:val="0"/>
          <w:numId w:val="1000"/>
        </w:numPr>
      </w:pPr>
      <w:r>
        <w:t xml:space="preserve"> </w:t>
      </w:r>
      <w:r>
        <w:t xml:space="preserve">Per-ton coal: $53B / 600M tons ≈</w:t>
      </w:r>
      <w:r>
        <w:t xml:space="preserve"> </w:t>
      </w:r>
      <m:oMath>
        <m:r>
          <m:t>88</m:t>
        </m:r>
        <m:r>
          <m:rPr>
            <m:sty m:val="p"/>
          </m:rPr>
          <m:t>/</m:t>
        </m:r>
        <m:r>
          <m:t>t</m:t>
        </m:r>
        <m:r>
          <m:t>o</m:t>
        </m:r>
        <m:r>
          <m:t>n</m:t>
        </m:r>
        <m:r>
          <m:rPr>
            <m:sty m:val="p"/>
          </m:rPr>
          <m:t>(</m:t>
        </m:r>
        <m:r>
          <m:t>2025</m:t>
        </m:r>
      </m:oMath>
      <w:r>
        <w:t xml:space="preserve"> </w:t>
      </w:r>
      <w:r>
        <w:t xml:space="preserve">adjusted; nominal-era figures are lower).</w:t>
      </w:r>
      <w:r>
        <w:t xml:space="preserve"> </w:t>
      </w:r>
    </w:p>
    <w:p>
      <w:pPr>
        <w:pStyle w:val="Compact"/>
        <w:numPr>
          <w:ilvl w:val="0"/>
          <w:numId w:val="1000"/>
        </w:numPr>
      </w:pPr>
      <w:r>
        <w:t xml:space="preserve"> </w:t>
      </w:r>
      <w:r>
        <w:t xml:space="preserve">Caveat.</w:t>
      </w:r>
      <w:r>
        <w:t xml:space="preserve"> </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t xml:space="preserve"> </w:t>
      </w:r>
      <w:r>
        <w:t xml:space="preserve">Industry-paid B per ton ~$8-15/ton.</w:t>
      </w:r>
      <w:r>
        <w:t xml:space="preserve"> </w:t>
      </w:r>
    </w:p>
    <w:p>
      <w:pPr>
        <w:pStyle w:val="Compact"/>
        <w:numPr>
          <w:ilvl w:val="0"/>
          <w:numId w:val="1000"/>
        </w:numPr>
      </w:pPr>
      <w:r>
        <w:t xml:space="preserve"> </w:t>
      </w:r>
      <w:r>
        <w:t xml:space="preserve">Method 2 anchor for McDowell coal:</w:t>
      </w:r>
      <w:r>
        <w:t xml:space="preserve"> </w:t>
      </w:r>
      <w:r>
        <w:t xml:space="preserve"> </w:t>
      </w:r>
      <w:r>
        <w:t xml:space="preserve"> </w:t>
      </w:r>
      <w:r>
        <w:t xml:space="preserve">~$8–88/ton (low end: industry-paid only; high end: societally-paid including Black Lung).</w:t>
      </w:r>
      <w:r>
        <w:t xml:space="preserve"> </w:t>
      </w:r>
    </w:p>
    <w:p>
      <w:pPr>
        <w:pStyle w:val="Compact"/>
        <w:numPr>
          <w:ilvl w:val="0"/>
          <w:numId w:val="1000"/>
        </w:numPr>
      </w:pPr>
      <w:r>
        <w:t xml:space="preserve">Method 3 — Scarcity-Adjusted Option Value (upper bound, McDowell coal)</w:t>
      </w:r>
    </w:p>
    <w:p>
      <w:pPr>
        <w:pStyle w:val="Compact"/>
        <w:numPr>
          <w:ilvl w:val="0"/>
          <w:numId w:val="1000"/>
        </w:numPr>
      </w:pPr>
      <w:r>
        <w:t xml:space="preserve"> </w:t>
      </w:r>
      <w:r>
        <w:t xml:space="preserve">McDowell parameter calibration:</w:t>
      </w:r>
      <w:r>
        <w:t xml:space="preserve"> </w:t>
      </w:r>
    </w:p>
    <w:p>
      <w:pPr>
        <w:pStyle w:val="Compact"/>
        <w:numPr>
          <w:ilvl w:val="0"/>
          <w:numId w:val="1000"/>
        </w:numPr>
      </w:pPr>
      <w:r>
        <w:t xml:space="preserve">σ ≈ 200–500 (coal regenerates over geological time; functionally non-renewable; high effective scarcity)</w:t>
      </w:r>
    </w:p>
    <w:p>
      <w:pPr>
        <w:pStyle w:val="Compact"/>
        <w:numPr>
          <w:ilvl w:val="0"/>
          <w:numId w:val="1000"/>
        </w:numPr>
      </w:pPr>
      <w:r>
        <w:t xml:space="preserve">α ≈ 0.85–0.95 (mountaintop-removal habitat irreversible at finite engineering cost; cultural-and-community commons irreversible without targeted intervention; atmospheric carbon-cycle disruption irreversible at climate-tipping-point boundary)</w:t>
      </w:r>
    </w:p>
    <w:p>
      <w:pPr>
        <w:pStyle w:val="Compact"/>
        <w:numPr>
          <w:ilvl w:val="0"/>
          <w:numId w:val="1000"/>
        </w:numPr>
      </w:pPr>
      <w:r>
        <w:t xml:space="preserve">V_option ≈ $50–500/ton (per-ton coal option value of preserving the resource for future-non-energy-uses + climate-stability)</w:t>
      </w:r>
    </w:p>
    <w:p>
      <w:pPr>
        <w:pStyle w:val="Compact"/>
        <w:numPr>
          <w:ilvl w:val="0"/>
          <w:numId w:val="1000"/>
        </w:numPr>
      </w:pPr>
      <w:r>
        <w:t xml:space="preserve">β = 1 (conservative; β = 2 produces order-of-magnitude amplification per §3.4 sensitivity)</w:t>
      </w:r>
    </w:p>
    <w:p>
      <w:pPr>
        <w:pStyle w:val="Compact"/>
        <w:numPr>
          <w:ilvl w:val="0"/>
          <w:numId w:val="1000"/>
        </w:numPr>
      </w:pPr>
      <w:r>
        <w:t xml:space="preserve"> </w:t>
      </w:r>
      <w:r>
        <w:t xml:space="preserve">Calculation (mid-range parameter choice — σ=300, α=0.9, V_option=$200, β=1):</w:t>
      </w:r>
      <w:r>
        <w:t xml:space="preserve"> </w:t>
      </w:r>
    </w:p>
    <w:p>
      <w:pPr>
        <w:pStyle w:val="Compact"/>
        <w:numPr>
          <w:ilvl w:val="0"/>
          <w:numId w:val="1000"/>
        </w:numPr>
      </w:pPr>
      <w:r>
        <w:t xml:space="preserve">scarcity_multiplier(σ=300) = 1 + log(301) × 0.05 ≈ 1.29</w:t>
      </w:r>
    </w:p>
    <w:p>
      <w:pPr>
        <w:pStyle w:val="Compact"/>
        <w:numPr>
          <w:ilvl w:val="0"/>
          <w:numId w:val="1000"/>
        </w:numPr>
      </w:pPr>
      <w:r>
        <w:t xml:space="preserve">irreversibility_premium(α=0.9, β=1) = 1/(0.10) = 10</w:t>
      </w:r>
    </w:p>
    <w:p>
      <w:pPr>
        <w:pStyle w:val="Compact"/>
        <w:numPr>
          <w:ilvl w:val="0"/>
          <w:numId w:val="1000"/>
        </w:numPr>
      </w:pPr>
      <w:r>
        <w:t xml:space="preserve"> </w:t>
      </w:r>
      <w:r>
        <w:t xml:space="preserve">Method 3 RCV ≈ $200 × 1.29 × 10 ≈ $2,580/ton</w:t>
      </w:r>
      <w:r>
        <w:t xml:space="preserve"> </w:t>
      </w:r>
    </w:p>
    <w:p>
      <w:pPr>
        <w:pStyle w:val="Compact"/>
        <w:numPr>
          <w:ilvl w:val="0"/>
          <w:numId w:val="1000"/>
        </w:numPr>
      </w:pPr>
      <w:r>
        <w:t xml:space="preserve"> </w:t>
      </w:r>
      <w:r>
        <w:t xml:space="preserve">Sensitivity range:</w:t>
      </w:r>
      <w:r>
        <w:t xml:space="preserve"> </w:t>
      </w:r>
    </w:p>
    <w:p>
      <w:pPr>
        <w:pStyle w:val="Compact"/>
        <w:numPr>
          <w:ilvl w:val="0"/>
          <w:numId w:val="1000"/>
        </w:numPr>
      </w:pPr>
      <w:r>
        <w:t xml:space="preserve">Low parameters (σ=200, α=0.85, V_option=$50): $50 × 1.27 × 6.67 ≈</w:t>
      </w:r>
      <w:r>
        <w:t xml:space="preserve"> </w:t>
      </w:r>
      <w:r>
        <w:t xml:space="preserve"> </w:t>
      </w:r>
      <w:r>
        <w:t xml:space="preserve">$420/ton</w:t>
      </w:r>
      <w:r>
        <w:t xml:space="preserve"> </w:t>
      </w:r>
    </w:p>
    <w:p>
      <w:pPr>
        <w:pStyle w:val="Compact"/>
        <w:numPr>
          <w:ilvl w:val="0"/>
          <w:numId w:val="1000"/>
        </w:numPr>
      </w:pPr>
      <w:r>
        <w:t xml:space="preserve">High parameters (σ=500, α=0.95, V_option=$500): $500 × 1.31 × 20 ≈</w:t>
      </w:r>
      <w:r>
        <w:t xml:space="preserve"> </w:t>
      </w:r>
      <w:r>
        <w:t xml:space="preserve"> </w:t>
      </w:r>
      <w:r>
        <w:t xml:space="preserve">$13,100/ton</w:t>
      </w:r>
      <w:r>
        <w:t xml:space="preserve"> </w:t>
      </w:r>
    </w:p>
    <w:p>
      <w:pPr>
        <w:pStyle w:val="Compact"/>
        <w:numPr>
          <w:ilvl w:val="0"/>
          <w:numId w:val="1000"/>
        </w:numPr>
      </w:pPr>
      <w:r>
        <w:t xml:space="preserve">Conservative β=2 at α=0.9: irreversibility_premium = 100; Method 3 ≈ $25,800/ton (precaution-regime)</w:t>
      </w:r>
    </w:p>
    <w:p>
      <w:pPr>
        <w:pStyle w:val="Compact"/>
        <w:numPr>
          <w:ilvl w:val="0"/>
          <w:numId w:val="1000"/>
        </w:numPr>
      </w:pPr>
      <w:r>
        <w:t xml:space="preserve"> </w:t>
      </w:r>
      <w:r>
        <w:t xml:space="preserve">Method 3 range for McDowell coal:</w:t>
      </w:r>
      <w:r>
        <w:t xml:space="preserve"> </w:t>
      </w:r>
      <w:r>
        <w:t xml:space="preserve"> </w:t>
      </w:r>
      <w:r>
        <w:t xml:space="preserve"> </w:t>
      </w:r>
      <w:r>
        <w:t xml:space="preserve">~$420–$13,100/ton at β=1; ~$5,000–$130,000/ton at β=2 precaution-regime; mid-range β=1 ~$2,500/ton.</w:t>
      </w:r>
      <w:r>
        <w:t xml:space="preserve"> </w:t>
      </w:r>
    </w:p>
    <w:p>
      <w:pPr>
        <w:pStyle w:val="Compact"/>
        <w:numPr>
          <w:ilvl w:val="0"/>
          <w:numId w:val="1000"/>
        </w:numPr>
      </w:pPr>
      <w:r>
        <w:t xml:space="preserve">Triangulation findings for McDowell coal</w:t>
      </w:r>
    </w:p>
    <w:p>
      <w:pPr>
        <w:pStyle w:val="Compact"/>
        <w:numPr>
          <w:ilvl w:val="0"/>
          <w:numId w:val="1000"/>
        </w:numPr>
      </w:pPr>
      <w:r>
        <w:t xml:space="preserve">Method</w:t>
      </w:r>
    </w:p>
    <w:p>
      <w:pPr>
        <w:pStyle w:val="Compact"/>
        <w:numPr>
          <w:ilvl w:val="0"/>
          <w:numId w:val="1000"/>
        </w:numPr>
      </w:pPr>
      <w:r>
        <w:t xml:space="preserve">Estimate (per ton coal)</w:t>
      </w:r>
    </w:p>
    <w:p>
      <w:pPr>
        <w:pStyle w:val="Compact"/>
        <w:numPr>
          <w:ilvl w:val="0"/>
          <w:numId w:val="1000"/>
        </w:numPr>
      </w:pPr>
      <w:r>
        <w:t xml:space="preserve">What it prices</w:t>
      </w:r>
    </w:p>
    <w:p>
      <w:pPr>
        <w:pStyle w:val="Compact"/>
        <w:numPr>
          <w:ilvl w:val="0"/>
          <w:numId w:val="1000"/>
        </w:numPr>
      </w:pPr>
      <w:r>
        <w:t xml:space="preserve"> </w:t>
      </w:r>
      <w:r>
        <w:t xml:space="preserve">M1 — Replacement Cost (Habitability + Ecosystem + Cohesion floors)</w:t>
      </w:r>
      <w:r>
        <w:t xml:space="preserve"> </w:t>
      </w:r>
    </w:p>
    <w:p>
      <w:pPr>
        <w:pStyle w:val="Compact"/>
        <w:numPr>
          <w:ilvl w:val="0"/>
          <w:numId w:val="1000"/>
        </w:numPr>
      </w:pPr>
      <w:r>
        <w:t xml:space="preserve">~$261–$2,412 (DAC-horizon-dependent, per §3.3 canonical bands: $261–$788 optimistic 2050; $725–$1,484 at-scale; $1,421–$2,412 conservative)</w:t>
      </w:r>
    </w:p>
    <w:p>
      <w:pPr>
        <w:pStyle w:val="Compact"/>
        <w:numPr>
          <w:ilvl w:val="0"/>
          <w:numId w:val="1000"/>
        </w:numPr>
      </w:pPr>
      <w:r>
        <w:t xml:space="preserve">Engineering-substitute floors for substitutable components</w:t>
      </w:r>
    </w:p>
    <w:p>
      <w:pPr>
        <w:pStyle w:val="Compact"/>
        <w:numPr>
          <w:ilvl w:val="0"/>
          <w:numId w:val="1000"/>
        </w:numPr>
      </w:pPr>
      <w:r>
        <w:t xml:space="preserve"> </w:t>
      </w:r>
      <w:r>
        <w:t xml:space="preserve">M2 — Revealed Preference (existing accountability regime)</w:t>
      </w:r>
      <w:r>
        <w:t xml:space="preserve"> </w:t>
      </w:r>
    </w:p>
    <w:p>
      <w:pPr>
        <w:pStyle w:val="Compact"/>
        <w:numPr>
          <w:ilvl w:val="0"/>
          <w:numId w:val="1000"/>
        </w:numPr>
      </w:pPr>
      <w:r>
        <w:t xml:space="preserve">~$8–$88 (industry-paid: $8-15; societally-paid including Black Lung: $50-88)</w:t>
      </w:r>
    </w:p>
    <w:p>
      <w:pPr>
        <w:pStyle w:val="Compact"/>
        <w:numPr>
          <w:ilvl w:val="0"/>
          <w:numId w:val="1000"/>
        </w:numPr>
      </w:pPr>
      <w:r>
        <w:t xml:space="preserve">What existing B has actually captured</w:t>
      </w:r>
    </w:p>
    <w:p>
      <w:pPr>
        <w:pStyle w:val="Compact"/>
        <w:numPr>
          <w:ilvl w:val="0"/>
          <w:numId w:val="1000"/>
        </w:numPr>
      </w:pPr>
      <w:r>
        <w:t xml:space="preserve"> </w:t>
      </w:r>
      <w:r>
        <w:t xml:space="preserve">M3 — Scarcity-Adjusted Option Value (β=1 default)</w:t>
      </w:r>
      <w:r>
        <w:t xml:space="preserve"> </w:t>
      </w:r>
    </w:p>
    <w:p>
      <w:pPr>
        <w:pStyle w:val="Compact"/>
        <w:numPr>
          <w:ilvl w:val="0"/>
          <w:numId w:val="1000"/>
        </w:numPr>
      </w:pPr>
      <w:r>
        <w:t xml:space="preserve">~$420–$13,100 (mid: $2,500)</w:t>
      </w:r>
    </w:p>
    <w:p>
      <w:pPr>
        <w:pStyle w:val="Compact"/>
        <w:numPr>
          <w:ilvl w:val="0"/>
          <w:numId w:val="1000"/>
        </w:numPr>
      </w:pPr>
      <w:r>
        <w:t xml:space="preserve">Combined scarcity + irreversibility + option-value (α-dominated)</w:t>
      </w:r>
    </w:p>
    <w:p>
      <w:pPr>
        <w:pStyle w:val="Compact"/>
        <w:numPr>
          <w:ilvl w:val="0"/>
          <w:numId w:val="1000"/>
        </w:numPr>
      </w:pPr>
      <w:r>
        <w:t xml:space="preserve"> </w:t>
      </w:r>
      <w:r>
        <w:t xml:space="preserve">Convergence assessment:</w:t>
      </w:r>
      <w:r>
        <w:t xml:space="preserve"> </w:t>
      </w:r>
    </w:p>
    <w:p>
      <w:pPr>
        <w:pStyle w:val="Compact"/>
        <w:numPr>
          <w:ilvl w:val="0"/>
          <w:numId w:val="1000"/>
        </w:numPr>
      </w:pPr>
      <w:r>
        <w:t xml:space="preserve"> </w:t>
      </w:r>
      <w:r>
        <w:t xml:space="preserve">M1 and M3 mid-range converge at ~$725–$2,500/ton coal.</w:t>
      </w:r>
      <w:r>
        <w:t xml:space="preserve"> </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pStyle w:val="Compact"/>
        <w:numPr>
          <w:ilvl w:val="0"/>
          <w:numId w:val="1000"/>
        </w:numPr>
      </w:pPr>
      <w:r>
        <w:t xml:space="preserve"> </w:t>
      </w:r>
      <w:r>
        <w:t xml:space="preserve">M2 is dramatically below M1 and M3 — by 1-3 orders of magnitude.</w:t>
      </w:r>
      <w:r>
        <w:t xml:space="preserve"> </w:t>
      </w:r>
      <w:r>
        <w:t xml:space="preserve"> </w:t>
      </w:r>
      <w:r>
        <w:t xml:space="preserve">This is the framework’s load-bearing empirical claim: existing American accountability regimes capture ~1-3% of true RCV for McDowell coal. The</w:t>
      </w:r>
      <w:r>
        <w:t xml:space="preserve"> </w:t>
      </w:r>
      <w:r>
        <w:t xml:space="preserve">“accountability gap”</w:t>
      </w:r>
      <w:r>
        <w:t xml:space="preserve"> </w:t>
      </w:r>
      <w:r>
        <w:t xml:space="preserve">is real, large, and triangulation-confirmed.</w:t>
      </w:r>
    </w:p>
    <w:p>
      <w:pPr>
        <w:pStyle w:val="Compact"/>
        <w:numPr>
          <w:ilvl w:val="0"/>
          <w:numId w:val="1000"/>
        </w:numPr>
      </w:pPr>
      <w:r>
        <w:t xml:space="preserve"> </w:t>
      </w:r>
      <w:r>
        <w:t xml:space="preserve">Implied Cost Severance:</w:t>
      </w:r>
      <w:r>
        <w:t xml:space="preserve"> </w:t>
      </w:r>
      <w:r>
        <w:t xml:space="preserve"> </w:t>
      </w:r>
      <w:r>
        <w:t xml:space="preserve">at RCV ~$2,500/ton (M3 mid-range) and B ~$50-88/ton (M2 societally-paid), CS ≈ $2,400-2,450/ton.</w:t>
      </w:r>
      <w:r>
        <w:t xml:space="preserve"> </w:t>
      </w:r>
      <w:r>
        <w:t xml:space="preserve"> </w:t>
      </w:r>
      <w:r>
        <w:t xml:space="preserve">Per-ton CS ~50× the 1960-era market price; per-ton CS dwarfs the realized B by 25-50×.</w:t>
      </w:r>
      <w:r>
        <w:t xml:space="preserve"> </w:t>
      </w:r>
    </w:p>
    <w:p>
      <w:pPr>
        <w:pStyle w:val="Compact"/>
        <w:numPr>
          <w:ilvl w:val="0"/>
          <w:numId w:val="1000"/>
        </w:numPr>
      </w:pPr>
      <w:r>
        <w:t xml:space="preserve"> </w:t>
      </w:r>
      <w:r>
        <w:t xml:space="preserve">IPG calculation:</w:t>
      </w:r>
      <w:r>
        <w:t xml:space="preserve"> </w:t>
      </w:r>
      <w:r>
        <w:t xml:space="preserve"> </w:t>
      </w:r>
      <w:r>
        <w:t xml:space="preserve">if IPG = (RCV / market price), then McDowell IPG ≈ $2,500 / $4.50 (1960 nominal) ≈</w:t>
      </w:r>
      <w:r>
        <w:t xml:space="preserve"> </w:t>
      </w:r>
      <w:r>
        <w:t xml:space="preserve"> </w:t>
      </w:r>
      <w:r>
        <w:t xml:space="preserve">555×</w:t>
      </w:r>
      <w:r>
        <w:t xml:space="preserve"> </w:t>
      </w:r>
      <w:r>
        <w:t xml:space="preserve"> </w:t>
      </w:r>
      <w:r>
        <w:t xml:space="preserve">— but this is mixing 1960 nominal with 2025 RCV, which inflates the ratio. Inflation-corrected (1960 $4.50 ≈ $50 in 2025), McDowell IPG ≈ $2,500 / $50 ≈</w:t>
      </w:r>
      <w:r>
        <w:t xml:space="preserve"> </w:t>
      </w:r>
      <w:r>
        <w:t xml:space="preserve"> </w:t>
      </w:r>
      <w:r>
        <w:t xml:space="preserve">50×</w:t>
      </w:r>
      <w:r>
        <w:t xml:space="preserve"> </w:t>
      </w:r>
      <w:r>
        <w:t xml:space="preserve"> </w:t>
      </w:r>
      <w:r>
        <w:t xml:space="preserve">. This is roughly consistent with the canonical 33-122× range and confirms the compression at the lower end.</w:t>
      </w:r>
    </w:p>
    <w:p>
      <w:pPr>
        <w:pStyle w:val="Compact"/>
        <w:numPr>
          <w:ilvl w:val="0"/>
          <w:numId w:val="1000"/>
        </w:numPr>
      </w:pPr>
      <w:r>
        <w:t xml:space="preserve"> </w:t>
      </w:r>
      <w:r>
        <w:t xml:space="preserve">Structural finding:</w:t>
      </w:r>
      <w:r>
        <w:t xml:space="preserve"> </w:t>
      </w:r>
      <w:r>
        <w:t xml:space="preserve"> </w:t>
      </w:r>
      <w:r>
        <w:t xml:space="preserve">McDowell coal triangulates to an RCV in the</w:t>
      </w:r>
      <w:r>
        <w:t xml:space="preserve"> </w:t>
      </w:r>
      <m:oMath>
        <m:r>
          <m:t>1</m:t>
        </m:r>
        <m:r>
          <m:rPr>
            <m:sty m:val="p"/>
          </m:rPr>
          <m:t>,</m:t>
        </m:r>
        <m:r>
          <m:t>000</m:t>
        </m:r>
        <m:r>
          <m:rPr>
            <m:sty m:val="p"/>
          </m:rPr>
          <m:t>−</m:t>
        </m:r>
        <m:r>
          <m:t>3</m:t>
        </m:r>
        <m:r>
          <m:rPr>
            <m:sty m:val="p"/>
          </m:rPr>
          <m:t>,</m:t>
        </m:r>
        <m:r>
          <m:t>000</m:t>
        </m:r>
        <m:r>
          <m:rPr>
            <m:sty m:val="p"/>
          </m:rPr>
          <m:t>/</m:t>
        </m:r>
        <m:r>
          <m:t>t</m:t>
        </m:r>
        <m:r>
          <m:t>o</m:t>
        </m:r>
        <m:r>
          <m:t>n</m:t>
        </m:r>
        <m:r>
          <m:t>r</m:t>
        </m:r>
        <m:r>
          <m:t>a</m:t>
        </m:r>
        <m:r>
          <m:t>n</m:t>
        </m:r>
        <m:r>
          <m:t>g</m:t>
        </m:r>
        <m:r>
          <m:t>e</m:t>
        </m:r>
        <m:r>
          <m:rPr>
            <m:sty m:val="p"/>
          </m:rPr>
          <m:t>(</m:t>
        </m:r>
        <m:r>
          <m:t>2025</m:t>
        </m:r>
      </m:oMath>
      <w:r>
        <w:t xml:space="preserve">), against realized B of $50-88/ton (societally-paid; $8-15/ton industry-paid). The 50× IPG ratio is empirically grounded by triangulation across three independent methods. The framework’s</w:t>
      </w:r>
      <w:r>
        <w:t xml:space="preserve"> </w:t>
      </w:r>
      <w:r>
        <w:t xml:space="preserve">“accountability gap”</w:t>
      </w:r>
      <w:r>
        <w:t xml:space="preserve"> </w:t>
      </w:r>
      <w:r>
        <w:t xml:space="preserve">claim is structurally supported.</w:t>
      </w:r>
    </w:p>
    <w:p>
      <w:pPr>
        <w:pStyle w:val="Compact"/>
        <w:numPr>
          <w:ilvl w:val="0"/>
          <w:numId w:val="1000"/>
        </w:numPr>
      </w:pPr>
      <w:r>
        <w:t xml:space="preserve">§11.7 — CSD-RCV correlation hypothesis test</w:t>
      </w:r>
    </w:p>
    <w:p>
      <w:pPr>
        <w:pStyle w:val="Compact"/>
        <w:numPr>
          <w:ilvl w:val="0"/>
          <w:numId w:val="1000"/>
        </w:numPr>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p>
      <w:pPr>
        <w:pStyle w:val="Compact"/>
        <w:numPr>
          <w:ilvl w:val="0"/>
          <w:numId w:val="1000"/>
        </w:numPr>
      </w:pPr>
      <w:r>
        <w:t xml:space="preserve">CSD-RCV correlation hypothesis test</w:t>
      </w:r>
    </w:p>
    <w:p>
      <w:pPr>
        <w:pStyle w:val="Compact"/>
        <w:numPr>
          <w:ilvl w:val="0"/>
          <w:numId w:val="1000"/>
        </w:numPr>
      </w:pPr>
      <w:r>
        <w:t xml:space="preserve"> </w:t>
      </w:r>
      <w:r>
        <w:t xml:space="preserve">Hypothesis under test:</w:t>
      </w:r>
      <w:r>
        <w:t xml:space="preserve"> </w:t>
      </w:r>
      <w:r>
        <w:t xml:space="preserve"> </w:t>
      </w:r>
      <w:r>
        <w:t xml:space="preserve"> </w:t>
      </w:r>
      <w:r>
        <w:t xml:space="preserve">contexts with high CSD (large past extraction) tend to have low RCV (commons largely consumed); contexts with low CSD (early-stage extraction) tend to have high RCV (commons largely intact).</w:t>
      </w:r>
      <w:r>
        <w:t xml:space="preserve"> </w:t>
      </w:r>
    </w:p>
    <w:p>
      <w:pPr>
        <w:pStyle w:val="Compact"/>
        <w:numPr>
          <w:ilvl w:val="0"/>
          <w:numId w:val="1000"/>
        </w:numPr>
      </w:pPr>
      <w:r>
        <w:t xml:space="preserve">The two-case test</w:t>
      </w:r>
    </w:p>
    <w:p>
      <w:pPr>
        <w:pStyle w:val="Compact"/>
        <w:numPr>
          <w:ilvl w:val="0"/>
          <w:numId w:val="1000"/>
        </w:numPr>
      </w:pPr>
      <w:r>
        <w:t xml:space="preserve"> </w:t>
      </w:r>
      <w:r>
        <w:t xml:space="preserve">Norway:</w:t>
      </w:r>
      <w:r>
        <w:t xml:space="preserve"> </w:t>
      </w:r>
    </w:p>
    <w:p>
      <w:pPr>
        <w:pStyle w:val="Compact"/>
        <w:numPr>
          <w:ilvl w:val="0"/>
          <w:numId w:val="1000"/>
        </w:numPr>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pStyle w:val="Compact"/>
        <w:numPr>
          <w:ilvl w:val="0"/>
          <w:numId w:val="1000"/>
        </w:numPr>
      </w:pPr>
      <w:r>
        <w:t xml:space="preserve">RCV: moderate-to-high. Norway captured ~17% of true RCV (M2 / M3 mid-range; $50/BOE / $300/BOE); the remaining 83% is uncaptured.</w:t>
      </w:r>
    </w:p>
    <w:p>
      <w:pPr>
        <w:pStyle w:val="Compact"/>
        <w:numPr>
          <w:ilvl w:val="0"/>
          <w:numId w:val="1000"/>
        </w:numPr>
      </w:pPr>
      <w:r>
        <w:t xml:space="preserve"> </w:t>
      </w:r>
      <w:r>
        <w:t xml:space="preserve">Norway = moderate CSD + high uncaptured RCV.</w:t>
      </w:r>
      <w:r>
        <w:t xml:space="preserve"> </w:t>
      </w:r>
    </w:p>
    <w:p>
      <w:pPr>
        <w:pStyle w:val="Compact"/>
        <w:numPr>
          <w:ilvl w:val="0"/>
          <w:numId w:val="1000"/>
        </w:numPr>
      </w:pPr>
      <w:r>
        <w:t xml:space="preserve"> </w:t>
      </w:r>
      <w:r>
        <w:t xml:space="preserve">McDowell coal (Appalachian):</w:t>
      </w:r>
      <w:r>
        <w:t xml:space="preserve"> </w:t>
      </w:r>
    </w:p>
    <w:p>
      <w:pPr>
        <w:pStyle w:val="Compact"/>
        <w:numPr>
          <w:ilvl w:val="0"/>
          <w:numId w:val="1000"/>
        </w:numPr>
      </w:pPr>
      <w:r>
        <w:t xml:space="preserve">CSD: VERY high. 13-year life-expectancy gap; population collapse; cultural commons hollowed out; Black Lung mortality cumulative across generations; community-transition costs uncompensated.</w:t>
      </w:r>
    </w:p>
    <w:p>
      <w:pPr>
        <w:pStyle w:val="Compact"/>
        <w:numPr>
          <w:ilvl w:val="0"/>
          <w:numId w:val="1000"/>
        </w:numPr>
      </w:pPr>
      <w:r>
        <w:t xml:space="preserve">RCV: very high (the commons-loss continues even after extraction ends; mountaintop-removal habitat irreversible; carbon externality persists for centuries).</w:t>
      </w:r>
    </w:p>
    <w:p>
      <w:pPr>
        <w:pStyle w:val="Compact"/>
        <w:numPr>
          <w:ilvl w:val="0"/>
          <w:numId w:val="1000"/>
        </w:numPr>
      </w:pPr>
      <w:r>
        <w:t xml:space="preserve"> </w:t>
      </w:r>
      <w:r>
        <w:t xml:space="preserve">McDowell = very high CSD + very high uncaptured RCV.</w:t>
      </w:r>
      <w:r>
        <w:t xml:space="preserve"> </w:t>
      </w:r>
    </w:p>
    <w:p>
      <w:pPr>
        <w:pStyle w:val="Compact"/>
        <w:numPr>
          <w:ilvl w:val="0"/>
          <w:numId w:val="1000"/>
        </w:numPr>
      </w:pPr>
      <w:r>
        <w:t xml:space="preserve">What the two-case test shows</w:t>
      </w:r>
    </w:p>
    <w:p>
      <w:pPr>
        <w:pStyle w:val="Compact"/>
        <w:numPr>
          <w:ilvl w:val="0"/>
          <w:numId w:val="1000"/>
        </w:numPr>
      </w:pPr>
      <w:r>
        <w:t xml:space="preserve">The hypothesis predicted</w:t>
      </w:r>
      <w:r>
        <w:t xml:space="preserve"> </w:t>
      </w:r>
      <w:r>
        <w:t xml:space="preserve"> </w:t>
      </w:r>
      <w:r>
        <w:t xml:space="preserve">inverse correlation</w:t>
      </w:r>
      <w:r>
        <w:t xml:space="preserve"> </w:t>
      </w:r>
      <w:r>
        <w:t xml:space="preserve"> </w:t>
      </w:r>
      <w:r>
        <w:t xml:space="preserve">(high CSD → low RCV; low CSD → high RCV). The two cases show:</w:t>
      </w:r>
    </w:p>
    <w:p>
      <w:pPr>
        <w:pStyle w:val="Compact"/>
        <w:numPr>
          <w:ilvl w:val="0"/>
          <w:numId w:val="1000"/>
        </w:numPr>
      </w:pPr>
      <w:r>
        <w:t xml:space="preserve">Norway: moderate CSD + moderate-high uncaptured RCV.</w:t>
      </w:r>
    </w:p>
    <w:p>
      <w:pPr>
        <w:pStyle w:val="Compact"/>
        <w:numPr>
          <w:ilvl w:val="0"/>
          <w:numId w:val="1000"/>
        </w:numPr>
      </w:pPr>
      <w:r>
        <w:t xml:space="preserve">McDowell: very high CSD + very high uncaptured RCV.</w:t>
      </w:r>
    </w:p>
    <w:p>
      <w:pPr>
        <w:pStyle w:val="Compact"/>
        <w:numPr>
          <w:ilvl w:val="0"/>
          <w:numId w:val="1000"/>
        </w:numPr>
      </w:pPr>
      <w:r>
        <w:t xml:space="preserve"> </w:t>
      </w:r>
      <w:r>
        <w:t xml:space="preserve">This is POSITIVE correlation, not inverse.</w:t>
      </w:r>
      <w:r>
        <w:t xml:space="preserve"> </w:t>
      </w:r>
      <w:r>
        <w:t xml:space="preserve"> </w:t>
      </w:r>
      <w:r>
        <w:t xml:space="preserve">Both Norway and McDowell carry uncaptured RCV; McDowell carries more on both axes simultaneously.</w:t>
      </w:r>
    </w:p>
    <w:p>
      <w:pPr>
        <w:pStyle w:val="Compact"/>
        <w:numPr>
          <w:ilvl w:val="0"/>
          <w:numId w:val="1000"/>
        </w:numPr>
      </w:pPr>
      <w:r>
        <w:t xml:space="preserve"> </w:t>
      </w:r>
      <w:r>
        <w:t xml:space="preserve">Reframed hypothesis:</w:t>
      </w:r>
      <w:r>
        <w:t xml:space="preserve"> </w:t>
      </w:r>
      <w:r>
        <w:t xml:space="preserve"> </w:t>
      </w:r>
      <w:r>
        <w:t xml:space="preserve">the original hypothesis (</w:t>
      </w:r>
      <w:r>
        <w:t xml:space="preserve">“inverse correlation”</w:t>
      </w:r>
      <w:r>
        <w:t xml:space="preserve">) may be wrong. The empirical pattern in the two-case test is</w:t>
      </w:r>
      <w:r>
        <w:t xml:space="preserve"> </w:t>
      </w:r>
      <w:r>
        <w:t xml:space="preserve"> </w:t>
      </w:r>
      <w:r>
        <w:t xml:space="preserve">positive correlation: contexts with more extraction-history have BOTH more CSD (more harm done to commons-bearers) AND more uncaptured RCV (more commons-loss not yet priced).</w:t>
      </w:r>
      <w:r>
        <w:t xml:space="preserve"> </w:t>
      </w:r>
    </w:p>
    <w:p>
      <w:pPr>
        <w:pStyle w:val="Compact"/>
        <w:numPr>
          <w:ilvl w:val="0"/>
          <w:numId w:val="1000"/>
        </w:numPr>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p>
      <w:pPr>
        <w:pStyle w:val="Compact"/>
        <w:numPr>
          <w:ilvl w:val="0"/>
          <w:numId w:val="1000"/>
        </w:numPr>
      </w:pPr>
      <w:r>
        <w:t xml:space="preserve">Implications (CSD-RCV correlation test)</w:t>
      </w:r>
    </w:p>
    <w:p>
      <w:pPr>
        <w:pStyle w:val="Compact"/>
        <w:numPr>
          <w:ilvl w:val="0"/>
          <w:numId w:val="1000"/>
        </w:numPr>
      </w:pPr>
      <w:r>
        <w:t xml:space="preserve"> </w:t>
      </w:r>
      <w:r>
        <w:t xml:space="preserve">For the framework:</w:t>
      </w:r>
      <w:r>
        <w:t xml:space="preserve"> </w:t>
      </w:r>
    </w:p>
    <w:p>
      <w:pPr>
        <w:pStyle w:val="Compact"/>
        <w:numPr>
          <w:ilvl w:val="0"/>
          <w:numId w:val="1000"/>
        </w:numPr>
      </w:pPr>
      <w:r>
        <w:t xml:space="preserve">The</w:t>
      </w:r>
      <w:r>
        <w:t xml:space="preserve"> </w:t>
      </w:r>
      <w:r>
        <w:t xml:space="preserve"> </w:t>
      </w:r>
      <w:r>
        <w:t xml:space="preserve">two-instrument architecture remains structurally sound</w:t>
      </w:r>
      <w:r>
        <w:t xml:space="preserve"> </w:t>
      </w:r>
      <w:r>
        <w:t xml:space="preserve"> </w:t>
      </w:r>
      <w:r>
        <w:t xml:space="preserve">but the correlation hypothesis as initially specified should be reframed.</w:t>
      </w:r>
    </w:p>
    <w:p>
      <w:pPr>
        <w:pStyle w:val="Compact"/>
        <w:numPr>
          <w:ilvl w:val="0"/>
          <w:numId w:val="1000"/>
        </w:numPr>
      </w:pPr>
      <w:r>
        <w:t xml:space="preserve">The reframed hypothesis:</w:t>
      </w:r>
      <w:r>
        <w:t xml:space="preserve"> </w:t>
      </w:r>
      <w:r>
        <w:t xml:space="preserve"> </w:t>
      </w:r>
      <w:r>
        <w:t xml:space="preserve">contexts with more extraction history carry both more CSD and more uncaptured RCV; the framework’s two-instrument architecture is the apparatus that makes both visible simultaneously.</w:t>
      </w:r>
      <w:r>
        <w:t xml:space="preserve"> </w:t>
      </w:r>
    </w:p>
    <w:p>
      <w:pPr>
        <w:pStyle w:val="Compact"/>
        <w:numPr>
          <w:ilvl w:val="0"/>
          <w:numId w:val="1000"/>
        </w:numPr>
      </w:pPr>
      <w:r>
        <w:t xml:space="preserve">This is a stronger structural claim than the inverse-correlation hypothesis, because it means CSD-and-RCV-co-elevation is a SIGNATURE of severity-of-extraction rather than an independence finding.</w:t>
      </w:r>
    </w:p>
    <w:p>
      <w:pPr>
        <w:pStyle w:val="Compact"/>
        <w:numPr>
          <w:ilvl w:val="0"/>
          <w:numId w:val="1000"/>
        </w:numPr>
      </w:pPr>
      <w:r>
        <w:t xml:space="preserve"> </w:t>
      </w:r>
      <w:r>
        <w:t xml:space="preserve">Hypothesis status:</w:t>
      </w:r>
      <w:r>
        <w:t xml:space="preserve"> </w:t>
      </w:r>
    </w:p>
    <w:p>
      <w:pPr>
        <w:pStyle w:val="Compact"/>
        <w:numPr>
          <w:ilvl w:val="0"/>
          <w:numId w:val="1000"/>
        </w:numPr>
      </w:pPr>
      <w:r>
        <w:t xml:space="preserve"> </w:t>
      </w:r>
      <w:r>
        <w:t xml:space="preserve">Initial hypothesis: NOT SUPPORTED by two-case test.</w:t>
      </w:r>
      <w:r>
        <w:t xml:space="preserve"> </w:t>
      </w:r>
    </w:p>
    <w:p>
      <w:pPr>
        <w:pStyle w:val="Compact"/>
        <w:numPr>
          <w:ilvl w:val="0"/>
          <w:numId w:val="1000"/>
        </w:numPr>
      </w:pPr>
      <w:r>
        <w:t xml:space="preserve"> </w:t>
      </w:r>
      <w:r>
        <w:t xml:space="preserve">Reframed hypothesis (positive correlation as severity-signature):</w:t>
      </w:r>
      <w:r>
        <w:t xml:space="preserve"> </w:t>
      </w:r>
      <w:r>
        <w:t xml:space="preserve"> </w:t>
      </w:r>
      <w:r>
        <w:t xml:space="preserve">preliminarily supported; needs broader case-set verification.</w:t>
      </w:r>
    </w:p>
    <w:p>
      <w:pPr>
        <w:pStyle w:val="Compact"/>
        <w:numPr>
          <w:ilvl w:val="0"/>
          <w:numId w:val="1000"/>
        </w:numPr>
      </w:pPr>
      <w:r>
        <w:t xml:space="preserve"> </w:t>
      </w:r>
      <w:r>
        <w:t xml:space="preserve">Future case-set extension:</w:t>
      </w:r>
      <w:r>
        <w:t xml:space="preserve"> </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Compact"/>
        <w:numPr>
          <w:ilvl w:val="0"/>
          <w:numId w:val="1000"/>
        </w:numPr>
      </w:pPr>
      <w:r>
        <w:t xml:space="preserve"> </w:t>
      </w:r>
      <w:r>
        <w:t xml:space="preserve">Methodological importance:</w:t>
      </w:r>
      <w:r>
        <w:t xml:space="preserve"> </w:t>
      </w:r>
      <w:r>
        <w:t xml:space="preserve"> </w:t>
      </w:r>
      <w:r>
        <w:t xml:space="preserve">CSD and RCV are not redundant measurements (independence preserved); but they are co-driven by extraction-history (positive correlation expected for the framework’s primary case-class).</w:t>
      </w:r>
    </w:p>
    <w:p>
      <w:pPr>
        <w:pStyle w:val="Compact"/>
        <w:numPr>
          <w:ilvl w:val="0"/>
          <w:numId w:val="1000"/>
        </w:numPr>
      </w:pPr>
      <w:r>
        <w:t xml:space="preserve">§11.8 — Method 3 sensitivity analysis: α-dominance finding + cross-case dominance map</w:t>
      </w:r>
    </w:p>
    <w:p>
      <w:pPr>
        <w:pStyle w:val="Compact"/>
        <w:numPr>
          <w:ilvl w:val="0"/>
          <w:numId w:val="1000"/>
        </w:numPr>
      </w:pPr>
      <w:r>
        <w:t xml:space="preserve">Sensitivity analysis of Method 3 RCV</w:t>
      </w:r>
      <w:r>
        <w:t xml:space="preserve"> </w:t>
      </w:r>
      <w:r>
        <w:t xml:space="preserve"> </w:t>
      </w:r>
      <w:r>
        <w:t xml:space="preserve">M3</w:t>
      </w:r>
      <w:r>
        <w:t xml:space="preserve"> </w:t>
      </w:r>
      <w:r>
        <w:t xml:space="preserve"> </w:t>
      </w:r>
      <w:r>
        <w:t xml:space="preserve">= V</w:t>
      </w:r>
      <w:r>
        <w:t xml:space="preserve"> </w:t>
      </w:r>
      <w:r>
        <w:t xml:space="preserve"> </w:t>
      </w:r>
      <w:r>
        <w:t xml:space="preserve">option</w:t>
      </w:r>
      <w:r>
        <w:t xml:space="preserve"> </w:t>
      </w:r>
      <w:r>
        <w:t xml:space="preserve"> </w:t>
      </w:r>
      <w:r>
        <w:t xml:space="preserve">×</w:t>
      </w:r>
      <w:r>
        <w:t xml:space="preserve"> </w:t>
      </w:r>
      <w:r>
        <w:t xml:space="preserve">scarcity_multiplier(σ) × irreversibility_premium(α) across realistic σ + α + V</w:t>
      </w:r>
      <w:r>
        <w:t xml:space="preserve"> </w:t>
      </w:r>
      <w:r>
        <w:t xml:space="preserve"> </w:t>
      </w:r>
      <w:r>
        <w:t xml:space="preserve">option</w:t>
      </w:r>
      <w:r>
        <w:t xml:space="preserve"> </w:t>
      </w:r>
      <w:r>
        <w:t xml:space="preserve"> </w:t>
      </w:r>
      <w:r>
        <w:t xml:space="preserve">ranges</w:t>
      </w:r>
    </w:p>
    <w:p>
      <w:pPr>
        <w:pStyle w:val="Compact"/>
        <w:numPr>
          <w:ilvl w:val="0"/>
          <w:numId w:val="1001"/>
        </w:numPr>
      </w:pPr>
      <w:r>
        <w:t xml:space="preserve">functional-form specifications. Key finding:</w:t>
      </w:r>
      <w:r>
        <w:t xml:space="preserve"> </w:t>
      </w:r>
      <w:r>
        <w:t xml:space="preserve"> </w:t>
      </w:r>
      <w:r>
        <w:t xml:space="preserve">α (irreversibility) dominates the cross-case</w:t>
      </w:r>
      <w:r>
        <w:t xml:space="preserve"> </w:t>
      </w:r>
      <w:r>
        <w:t xml:space="preserve">output range</w:t>
      </w:r>
      <w:r>
        <w:t xml:space="preserve"> </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p>
      <w:pPr>
        <w:pStyle w:val="Compact"/>
        <w:numPr>
          <w:ilvl w:val="0"/>
          <w:numId w:val="1000"/>
        </w:numPr>
      </w:pPr>
      <w:r>
        <w:t xml:space="preserve">Sensitivity findings</w:t>
      </w:r>
    </w:p>
    <w:p>
      <w:pPr>
        <w:pStyle w:val="Compact"/>
        <w:numPr>
          <w:ilvl w:val="0"/>
          <w:numId w:val="1000"/>
        </w:numPr>
      </w:pPr>
      <w:r>
        <w:t xml:space="preserve">Dominance map</w:t>
      </w:r>
    </w:p>
    <w:p>
      <w:pPr>
        <w:pStyle w:val="Compact"/>
        <w:numPr>
          <w:ilvl w:val="0"/>
          <w:numId w:val="1000"/>
        </w:numPr>
      </w:pPr>
      <w:r>
        <w:t xml:space="preserve">Regime</w:t>
      </w:r>
    </w:p>
    <w:p>
      <w:pPr>
        <w:pStyle w:val="Compact"/>
        <w:numPr>
          <w:ilvl w:val="0"/>
          <w:numId w:val="1000"/>
        </w:numPr>
      </w:pPr>
      <w:r>
        <w:t xml:space="preserve">σ</w:t>
      </w:r>
    </w:p>
    <w:p>
      <w:pPr>
        <w:pStyle w:val="Compact"/>
        <w:numPr>
          <w:ilvl w:val="0"/>
          <w:numId w:val="1000"/>
        </w:numPr>
      </w:pPr>
      <w:r>
        <w:t xml:space="preserve">α</w:t>
      </w:r>
    </w:p>
    <w:p>
      <w:pPr>
        <w:pStyle w:val="Compact"/>
        <w:numPr>
          <w:ilvl w:val="0"/>
          <w:numId w:val="1000"/>
        </w:numPr>
      </w:pPr>
      <w:r>
        <w:t xml:space="preserve">V_option</w:t>
      </w:r>
    </w:p>
    <w:p>
      <w:pPr>
        <w:pStyle w:val="Compact"/>
        <w:numPr>
          <w:ilvl w:val="0"/>
          <w:numId w:val="1000"/>
        </w:numPr>
      </w:pPr>
      <w:r>
        <w:t xml:space="preserve">Dominant parameter</w:t>
      </w:r>
    </w:p>
    <w:p>
      <w:pPr>
        <w:pStyle w:val="Compact"/>
        <w:numPr>
          <w:ilvl w:val="0"/>
          <w:numId w:val="1000"/>
        </w:numPr>
      </w:pPr>
      <w:r>
        <w:t xml:space="preserve">Why</w:t>
      </w:r>
    </w:p>
    <w:p>
      <w:pPr>
        <w:pStyle w:val="Compact"/>
        <w:numPr>
          <w:ilvl w:val="0"/>
          <w:numId w:val="1000"/>
        </w:numPr>
      </w:pPr>
      <w:r>
        <w:t xml:space="preserve"> </w:t>
      </w:r>
      <w:r>
        <w:t xml:space="preserve">Commons-extinction-class</w:t>
      </w:r>
      <w:r>
        <w:t xml:space="preserve"> </w:t>
      </w:r>
    </w:p>
    <w:p>
      <w:pPr>
        <w:pStyle w:val="Compact"/>
        <w:numPr>
          <w:ilvl w:val="0"/>
          <w:numId w:val="1000"/>
        </w:numPr>
      </w:pPr>
      <w:r>
        <w:t xml:space="preserve">any</w:t>
      </w:r>
    </w:p>
    <w:p>
      <w:pPr>
        <w:pStyle w:val="Compact"/>
        <w:numPr>
          <w:ilvl w:val="0"/>
          <w:numId w:val="1000"/>
        </w:numPr>
      </w:pPr>
      <w:r>
        <w:t xml:space="preserve">0.9–1.0</w:t>
      </w:r>
    </w:p>
    <w:p>
      <w:pPr>
        <w:pStyle w:val="Compact"/>
        <w:numPr>
          <w:ilvl w:val="0"/>
          <w:numId w:val="1000"/>
        </w:numPr>
      </w:pPr>
      <w:r>
        <w:t xml:space="preserve">any</w:t>
      </w:r>
    </w:p>
    <w:p>
      <w:pPr>
        <w:pStyle w:val="Compact"/>
        <w:numPr>
          <w:ilvl w:val="0"/>
          <w:numId w:val="1000"/>
        </w:numPr>
      </w:pPr>
      <w:r>
        <w:t xml:space="preserve"> </w:t>
      </w:r>
      <w:r>
        <w:t xml:space="preserve">α</w:t>
      </w:r>
      <w:r>
        <w:t xml:space="preserve"> </w:t>
      </w:r>
    </w:p>
    <w:p>
      <w:pPr>
        <w:pStyle w:val="Compact"/>
        <w:numPr>
          <w:ilvl w:val="0"/>
          <w:numId w:val="1000"/>
        </w:numPr>
      </w:pPr>
      <w:r>
        <w:t xml:space="preserve">irreversibility_premium → ∞ as α → 1; nothing else matters at order-of-magnitude scale</w:t>
      </w:r>
    </w:p>
    <w:p>
      <w:pPr>
        <w:pStyle w:val="Compact"/>
        <w:numPr>
          <w:ilvl w:val="0"/>
          <w:numId w:val="1000"/>
        </w:numPr>
      </w:pPr>
      <w:r>
        <w:t xml:space="preserve"> </w:t>
      </w:r>
      <w:r>
        <w:t xml:space="preserve">Scarce-but-restorable</w:t>
      </w:r>
      <w:r>
        <w:t xml:space="preserve"> </w:t>
      </w:r>
    </w:p>
    <w:p>
      <w:pPr>
        <w:pStyle w:val="Compact"/>
        <w:numPr>
          <w:ilvl w:val="0"/>
          <w:numId w:val="1000"/>
        </w:numPr>
      </w:pPr>
      <w:r>
        <w:t xml:space="preserve">100+</w:t>
      </w:r>
    </w:p>
    <w:p>
      <w:pPr>
        <w:pStyle w:val="Compact"/>
        <w:numPr>
          <w:ilvl w:val="0"/>
          <w:numId w:val="1000"/>
        </w:numPr>
      </w:pPr>
      <w:r>
        <w:t xml:space="preserve">0.1–0.5</w:t>
      </w:r>
    </w:p>
    <w:p>
      <w:pPr>
        <w:pStyle w:val="Compact"/>
        <w:numPr>
          <w:ilvl w:val="0"/>
          <w:numId w:val="1000"/>
        </w:numPr>
      </w:pPr>
      <w:r>
        <w:t xml:space="preserve">any</w:t>
      </w:r>
    </w:p>
    <w:p>
      <w:pPr>
        <w:pStyle w:val="Compact"/>
        <w:numPr>
          <w:ilvl w:val="0"/>
          <w:numId w:val="1000"/>
        </w:numPr>
      </w:pPr>
      <w:r>
        <w:t xml:space="preserve"> </w:t>
      </w:r>
      <w:r>
        <w:t xml:space="preserve">σ</w:t>
      </w:r>
      <w:r>
        <w:t xml:space="preserve"> </w:t>
      </w:r>
    </w:p>
    <w:p>
      <w:pPr>
        <w:pStyle w:val="Compact"/>
        <w:numPr>
          <w:ilvl w:val="0"/>
          <w:numId w:val="1000"/>
        </w:numPr>
      </w:pPr>
      <w:r>
        <w:t xml:space="preserve">scarcity_multiplier carries the work; irreversibility_premium ≈ 1</w:t>
      </w:r>
    </w:p>
    <w:p>
      <w:pPr>
        <w:pStyle w:val="Compact"/>
        <w:numPr>
          <w:ilvl w:val="0"/>
          <w:numId w:val="1000"/>
        </w:numPr>
      </w:pPr>
      <w:r>
        <w:t xml:space="preserve"> </w:t>
      </w:r>
      <w:r>
        <w:t xml:space="preserve">Abundant-restorable</w:t>
      </w:r>
      <w:r>
        <w:t xml:space="preserve"> </w:t>
      </w:r>
    </w:p>
    <w:p>
      <w:pPr>
        <w:pStyle w:val="Compact"/>
        <w:numPr>
          <w:ilvl w:val="0"/>
          <w:numId w:val="1000"/>
        </w:numPr>
      </w:pPr>
      <w:r>
        <w:t xml:space="preserve">0.1–10</w:t>
      </w:r>
    </w:p>
    <w:p>
      <w:pPr>
        <w:pStyle w:val="Compact"/>
        <w:numPr>
          <w:ilvl w:val="0"/>
          <w:numId w:val="1000"/>
        </w:numPr>
      </w:pPr>
      <w:r>
        <w:t xml:space="preserve">0–0.1</w:t>
      </w:r>
    </w:p>
    <w:p>
      <w:pPr>
        <w:pStyle w:val="Compact"/>
        <w:numPr>
          <w:ilvl w:val="0"/>
          <w:numId w:val="1000"/>
        </w:numPr>
      </w:pPr>
      <w:r>
        <w:t xml:space="preserve">varies</w:t>
      </w:r>
    </w:p>
    <w:p>
      <w:pPr>
        <w:pStyle w:val="Compact"/>
        <w:numPr>
          <w:ilvl w:val="0"/>
          <w:numId w:val="1000"/>
        </w:numPr>
      </w:pPr>
      <w:r>
        <w:t xml:space="preserve"> </w:t>
      </w:r>
      <w:r>
        <w:t xml:space="preserve">V_option</w:t>
      </w:r>
      <w:r>
        <w:t xml:space="preserve"> </w:t>
      </w:r>
    </w:p>
    <w:p>
      <w:pPr>
        <w:pStyle w:val="Compact"/>
        <w:numPr>
          <w:ilvl w:val="0"/>
          <w:numId w:val="1000"/>
        </w:numPr>
      </w:pPr>
      <w:r>
        <w:t xml:space="preserve">both multipliers ≈ 1; V_option drives the result</w:t>
      </w:r>
    </w:p>
    <w:p>
      <w:pPr>
        <w:pStyle w:val="Compact"/>
        <w:numPr>
          <w:ilvl w:val="0"/>
          <w:numId w:val="1000"/>
        </w:numPr>
      </w:pPr>
      <w:r>
        <w:t xml:space="preserve"> </w:t>
      </w:r>
      <w:r>
        <w:t xml:space="preserve">Hybrid (most real cases)</w:t>
      </w:r>
      <w:r>
        <w:t xml:space="preserve"> </w:t>
      </w:r>
    </w:p>
    <w:p>
      <w:pPr>
        <w:pStyle w:val="Compact"/>
        <w:numPr>
          <w:ilvl w:val="0"/>
          <w:numId w:val="1000"/>
        </w:numPr>
      </w:pPr>
      <w:r>
        <w:t xml:space="preserve">10–100</w:t>
      </w:r>
    </w:p>
    <w:p>
      <w:pPr>
        <w:pStyle w:val="Compact"/>
        <w:numPr>
          <w:ilvl w:val="0"/>
          <w:numId w:val="1000"/>
        </w:numPr>
      </w:pPr>
      <w:r>
        <w:t xml:space="preserve">0.5–0.9</w:t>
      </w:r>
    </w:p>
    <w:p>
      <w:pPr>
        <w:pStyle w:val="Compact"/>
        <w:numPr>
          <w:ilvl w:val="0"/>
          <w:numId w:val="1000"/>
        </w:numPr>
      </w:pPr>
      <w:r>
        <w:t xml:space="preserve">$100–$10,000</w:t>
      </w:r>
    </w:p>
    <w:p>
      <w:pPr>
        <w:pStyle w:val="Compact"/>
        <w:numPr>
          <w:ilvl w:val="0"/>
          <w:numId w:val="1000"/>
        </w:numPr>
      </w:pPr>
      <w:r>
        <w:t xml:space="preserve"> </w:t>
      </w:r>
      <w:r>
        <w:t xml:space="preserve">mixed; α → σ → V_option order</w:t>
      </w:r>
      <w:r>
        <w:t xml:space="preserve"> </w:t>
      </w:r>
    </w:p>
    <w:p>
      <w:pPr>
        <w:pStyle w:val="Compact"/>
        <w:numPr>
          <w:ilvl w:val="0"/>
          <w:numId w:val="1000"/>
        </w:numPr>
      </w:pPr>
      <w:r>
        <w:t xml:space="preserve">α matters most because it’s near-1; σ second because it’s the visible scarcity; V_option third because it’s the dimensional anchor</w:t>
      </w:r>
    </w:p>
    <w:p>
      <w:pPr>
        <w:pStyle w:val="Compact"/>
        <w:numPr>
          <w:ilvl w:val="0"/>
          <w:numId w:val="1000"/>
        </w:numPr>
      </w:pPr>
      <w:r>
        <w:t xml:space="preserve">Worked-example application (using framework’s three calibration cases)</w:t>
      </w:r>
    </w:p>
    <w:p>
      <w:pPr>
        <w:pStyle w:val="Compact"/>
        <w:numPr>
          <w:ilvl w:val="0"/>
          <w:numId w:val="1000"/>
        </w:numPr>
      </w:pPr>
      <w:r>
        <w:t xml:space="preserve">Method 3 estimates for the framework’s three named calibration anchors:</w:t>
      </w:r>
    </w:p>
    <w:p>
      <w:pPr>
        <w:pStyle w:val="Compact"/>
        <w:numPr>
          <w:ilvl w:val="0"/>
          <w:numId w:val="1000"/>
        </w:numPr>
      </w:pPr>
      <w:r>
        <w:t xml:space="preserve"> </w:t>
      </w:r>
      <w:r>
        <w:t xml:space="preserve">McDowell coal (Appalachian extraction context):</w:t>
      </w:r>
      <w:r>
        <w:t xml:space="preserve"> </w:t>
      </w:r>
    </w:p>
    <w:p>
      <w:pPr>
        <w:pStyle w:val="Compact"/>
        <w:numPr>
          <w:ilvl w:val="0"/>
          <w:numId w:val="1000"/>
        </w:numPr>
      </w:pPr>
      <w:r>
        <w:t xml:space="preserve">σ ≈ 200–500 (coal regenerates over geological time; functionally non-renewable on civilizational scale)</w:t>
      </w:r>
    </w:p>
    <w:p>
      <w:pPr>
        <w:pStyle w:val="Compact"/>
        <w:numPr>
          <w:ilvl w:val="0"/>
          <w:numId w:val="1000"/>
        </w:numPr>
      </w:pPr>
      <w:r>
        <w:t xml:space="preserve">α ≈ 0.85–0.95 (mountaintop-removal habitat is mostly irreversible; community-and-cultural commons partially recoverable through targeted intervention but largely lost in current US policy regime)</w:t>
      </w:r>
    </w:p>
    <w:p>
      <w:pPr>
        <w:pStyle w:val="Compact"/>
        <w:numPr>
          <w:ilvl w:val="0"/>
          <w:numId w:val="1000"/>
        </w:numPr>
      </w:pPr>
      <w:r>
        <w:t xml:space="preserve">V_option ≈ $500–$2,000/ton (energy-system substitution + climate-stability optionality)</w:t>
      </w:r>
    </w:p>
    <w:p>
      <w:pPr>
        <w:pStyle w:val="Compact"/>
        <w:numPr>
          <w:ilvl w:val="0"/>
          <w:numId w:val="1000"/>
        </w:numPr>
      </w:pPr>
      <w:r>
        <w:t xml:space="preserve"> </w:t>
      </w:r>
      <w:r>
        <w:t xml:space="preserve">Dominance:</w:t>
      </w:r>
      <w:r>
        <w:t xml:space="preserve"> </w:t>
      </w:r>
      <w:r>
        <w:t xml:space="preserve"> </w:t>
      </w:r>
      <w:r>
        <w:t xml:space="preserve"> </w:t>
      </w:r>
      <w:r>
        <w:t xml:space="preserve">α dominates</w:t>
      </w:r>
      <w:r>
        <w:t xml:space="preserve"> </w:t>
      </w:r>
      <w:r>
        <w:t xml:space="preserve"> </w:t>
      </w:r>
      <w:r>
        <w:t xml:space="preserve">(irreversibility_premium ≈ 7–20 at α = 0.85–0.95; scarcity_multiplier ≈ 6–7 via log(1+200..500); V_option ≈ $500–$2,000). The framework’s RCV estimate for McDowell is driven primarily by irreversibility — the framework’s</w:t>
      </w:r>
      <w:r>
        <w:t xml:space="preserve"> </w:t>
      </w:r>
      <w:r>
        <w:t xml:space="preserve">“the coal is gone”</w:t>
      </w:r>
      <w:r>
        <w:t xml:space="preserve"> </w:t>
      </w:r>
      <w:r>
        <w:t xml:space="preserve">/</w:t>
      </w:r>
      <w:r>
        <w:t xml:space="preserve"> </w:t>
      </w:r>
      <w:r>
        <w:t xml:space="preserve">“the mountains are cut”</w:t>
      </w:r>
      <w:r>
        <w:t xml:space="preserve"> </w:t>
      </w:r>
      <w:r>
        <w:t xml:space="preserve">claim is the load-bearing structural finding.</w:t>
      </w:r>
    </w:p>
    <w:p>
      <w:pPr>
        <w:pStyle w:val="Compact"/>
        <w:numPr>
          <w:ilvl w:val="0"/>
          <w:numId w:val="1000"/>
        </w:numPr>
      </w:pPr>
      <w:r>
        <w:t xml:space="preserve"> </w:t>
      </w:r>
      <w:r>
        <w:t xml:space="preserve">Norwegian oil (Method 2 calibration anchor):</w:t>
      </w:r>
      <w:r>
        <w:t xml:space="preserve"> </w:t>
      </w:r>
    </w:p>
    <w:p>
      <w:pPr>
        <w:pStyle w:val="Compact"/>
        <w:numPr>
          <w:ilvl w:val="0"/>
          <w:numId w:val="1000"/>
        </w:numPr>
      </w:pPr>
      <w:r>
        <w:t xml:space="preserve">σ ≈ 50–200 (oil reserves; recoverable secondary extraction reduces effective σ)</w:t>
      </w:r>
    </w:p>
    <w:p>
      <w:pPr>
        <w:pStyle w:val="Compact"/>
        <w:numPr>
          <w:ilvl w:val="0"/>
          <w:numId w:val="1000"/>
        </w:numPr>
      </w:pPr>
      <w:r>
        <w:t xml:space="preserve">α ≈ 0.50–0.75 (Norwegian extraction is partially recoverable via sovereign-wealth-fund accumulation that could fund DAC-class restoration; the resource itself is lost but the value is preserved through the institutional architecture)</w:t>
      </w:r>
    </w:p>
    <w:p>
      <w:pPr>
        <w:pStyle w:val="Compact"/>
        <w:numPr>
          <w:ilvl w:val="0"/>
          <w:numId w:val="1000"/>
        </w:numPr>
      </w:pPr>
      <w:r>
        <w:t xml:space="preserve">V_option ≈ $30–$200/barrel (climate-policy + future-substitutability uncertainty)</w:t>
      </w:r>
    </w:p>
    <w:p>
      <w:pPr>
        <w:pStyle w:val="Compact"/>
        <w:numPr>
          <w:ilvl w:val="0"/>
          <w:numId w:val="1000"/>
        </w:numPr>
      </w:pPr>
      <w:r>
        <w:t xml:space="preserve"> </w:t>
      </w:r>
      <w:r>
        <w:t xml:space="preserve">Dominance:</w:t>
      </w:r>
      <w:r>
        <w:t xml:space="preserve"> </w:t>
      </w:r>
      <w:r>
        <w:t xml:space="preserve"> </w:t>
      </w:r>
      <w:r>
        <w:t xml:space="preserve"> </w:t>
      </w:r>
      <w:r>
        <w:t xml:space="preserve">σ + α near-equal; V_option third.</w:t>
      </w:r>
      <w:r>
        <w:t xml:space="preserve"> </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Compact"/>
        <w:numPr>
          <w:ilvl w:val="0"/>
          <w:numId w:val="1000"/>
        </w:numPr>
      </w:pPr>
      <w:r>
        <w:t xml:space="preserve"> </w:t>
      </w:r>
      <w:r>
        <w:t xml:space="preserve">Asteroid mining (Ch 7 thought-experiment):</w:t>
      </w:r>
      <w:r>
        <w:t xml:space="preserve"> </w:t>
      </w:r>
    </w:p>
    <w:p>
      <w:pPr>
        <w:pStyle w:val="Compact"/>
        <w:numPr>
          <w:ilvl w:val="0"/>
          <w:numId w:val="1000"/>
        </w:numPr>
      </w:pPr>
      <w:r>
        <w:t xml:space="preserve">σ ≈ 1–10 (cosmic-scale stocks; substitutability across asteroids ≈ 1; effective scarcity is low)</w:t>
      </w:r>
    </w:p>
    <w:p>
      <w:pPr>
        <w:pStyle w:val="Compact"/>
        <w:numPr>
          <w:ilvl w:val="0"/>
          <w:numId w:val="1000"/>
        </w:numPr>
      </w:pPr>
      <w:r>
        <w:t xml:space="preserve">α ≈ 0.05–0.2 (asteroid extraction is recoverable through extraction of substitutes; minimal habitat / community / atmospheric loss)</w:t>
      </w:r>
    </w:p>
    <w:p>
      <w:pPr>
        <w:pStyle w:val="Compact"/>
        <w:numPr>
          <w:ilvl w:val="0"/>
          <w:numId w:val="1000"/>
        </w:numPr>
      </w:pPr>
      <w:r>
        <w:t xml:space="preserve">V_option ≈ $0.01–$10/ton (low option value because substitution is plentiful)</w:t>
      </w:r>
    </w:p>
    <w:p>
      <w:pPr>
        <w:pStyle w:val="Compact"/>
        <w:numPr>
          <w:ilvl w:val="0"/>
          <w:numId w:val="1000"/>
        </w:numPr>
      </w:pPr>
      <w:r>
        <w:t xml:space="preserve"> </w:t>
      </w:r>
      <w:r>
        <w:t xml:space="preserve">Dominance:</w:t>
      </w:r>
      <w:r>
        <w:t xml:space="preserve"> </w:t>
      </w:r>
      <w:r>
        <w:t xml:space="preserve"> </w:t>
      </w:r>
      <w:r>
        <w:t xml:space="preserve"> </w:t>
      </w:r>
      <w:r>
        <w:t xml:space="preserve">V_option dominates by default.</w:t>
      </w:r>
      <w:r>
        <w:t xml:space="preserve"> </w:t>
      </w:r>
      <w:r>
        <w:t xml:space="preserve"> </w:t>
      </w:r>
      <w:r>
        <w:t xml:space="preserve">Both multipliers ≈ 1; V_option × small-multiplier produces small RCV; framework’s</w:t>
      </w:r>
      <w:r>
        <w:t xml:space="preserve"> </w:t>
      </w:r>
      <w:r>
        <w:t xml:space="preserve">“RCV approaches market price for asteroid iron”</w:t>
      </w:r>
      <w:r>
        <w:t xml:space="preserve"> </w:t>
      </w:r>
      <w:r>
        <w:t xml:space="preserve">claim follows. This is the framework correctly producing market-price-equivalent answers where market pricing is approximately right — exactly the calibration the asteroid case is designed to demonstrate.</w:t>
      </w:r>
    </w:p>
    <w:p>
      <w:pPr>
        <w:pStyle w:val="Compact"/>
        <w:numPr>
          <w:ilvl w:val="0"/>
          <w:numId w:val="1000"/>
        </w:numPr>
      </w:pPr>
      <w:r>
        <w:t xml:space="preserve">Cross-case dominance pattern</w:t>
      </w:r>
    </w:p>
    <w:p>
      <w:pPr>
        <w:pStyle w:val="Compact"/>
        <w:numPr>
          <w:ilvl w:val="0"/>
          <w:numId w:val="1000"/>
        </w:numPr>
      </w:pPr>
      <w:r>
        <w:t xml:space="preserve">The dominance map across the three calibration cases reveals a structural finding:</w:t>
      </w:r>
    </w:p>
    <w:p>
      <w:pPr>
        <w:pStyle w:val="Compact"/>
        <w:numPr>
          <w:ilvl w:val="0"/>
          <w:numId w:val="1000"/>
        </w:numPr>
      </w:pPr>
      <w:r>
        <w:t xml:space="preserve"> </w:t>
      </w:r>
      <w:r>
        <w:t xml:space="preserve">No single parameter universally dominates Method 3 across the framework’s case landscape.</w:t>
      </w:r>
      <w:r>
        <w:t xml:space="preserve"> </w:t>
      </w:r>
      <w:r>
        <w:t xml:space="preserve"> </w:t>
      </w:r>
      <w:r>
        <w:t xml:space="preserve">Different cases activate different parameters as the dominant driver:</w:t>
      </w:r>
    </w:p>
    <w:p>
      <w:pPr>
        <w:pStyle w:val="Compact"/>
        <w:numPr>
          <w:ilvl w:val="0"/>
          <w:numId w:val="1000"/>
        </w:numPr>
      </w:pPr>
      <w:r>
        <w:t xml:space="preserve"> </w:t>
      </w:r>
      <w:r>
        <w:t xml:space="preserve">Earth-bound civilization-scale extractions</w:t>
      </w:r>
      <w:r>
        <w:t xml:space="preserve"> </w:t>
      </w:r>
      <w:r>
        <w:t xml:space="preserve"> </w:t>
      </w:r>
      <w:r>
        <w:t xml:space="preserve">(McDowell coal; Appalachian habitat; atmospheric stability): α dominates because irreversibility is what makes commons-extinction the load-bearing concern.</w:t>
      </w:r>
    </w:p>
    <w:p>
      <w:pPr>
        <w:pStyle w:val="Compact"/>
        <w:numPr>
          <w:ilvl w:val="0"/>
          <w:numId w:val="1000"/>
        </w:numPr>
      </w:pPr>
      <w:r>
        <w:t xml:space="preserve"> </w:t>
      </w:r>
      <w:r>
        <w:t xml:space="preserve">Institutional-architecture-mediated extractions</w:t>
      </w:r>
      <w:r>
        <w:t xml:space="preserve"> </w:t>
      </w:r>
      <w:r>
        <w:t xml:space="preserve"> </w:t>
      </w:r>
      <w:r>
        <w:t xml:space="preserve">(Norway oil; well-managed renewables): σ + α moderate; V_option third. Institutional architecture is the lever that shifts cases out of the α-dominance regime.</w:t>
      </w:r>
    </w:p>
    <w:p>
      <w:pPr>
        <w:pStyle w:val="Compact"/>
        <w:numPr>
          <w:ilvl w:val="0"/>
          <w:numId w:val="1000"/>
        </w:numPr>
      </w:pPr>
      <w:r>
        <w:t xml:space="preserve"> </w:t>
      </w:r>
      <w:r>
        <w:t xml:space="preserve">Substitutable / cosmic-scale extractions</w:t>
      </w:r>
      <w:r>
        <w:t xml:space="preserve"> </w:t>
      </w:r>
      <w:r>
        <w:t xml:space="preserve"> </w:t>
      </w:r>
      <w:r>
        <w:t xml:space="preserve">(asteroid; cosmic resources): V_option dominates because both multipliers approach 1.</w:t>
      </w:r>
    </w:p>
    <w:p>
      <w:pPr>
        <w:pStyle w:val="Compact"/>
        <w:numPr>
          <w:ilvl w:val="0"/>
          <w:numId w:val="1000"/>
        </w:numPr>
      </w:pPr>
      <w:r>
        <w:t xml:space="preserve"> </w:t>
      </w:r>
      <w:r>
        <w:t xml:space="preserve">This is itself the framework’s load-bearing structural claim about Method 3:</w:t>
      </w:r>
      <w:r>
        <w:t xml:space="preserve"> </w:t>
      </w:r>
      <w:r>
        <w:t xml:space="preserve"> </w:t>
      </w:r>
      <w:r>
        <w:t xml:space="preserve">RCV is driven by</w:t>
      </w:r>
      <w:r>
        <w:t xml:space="preserve"> </w:t>
      </w:r>
      <w:r>
        <w:t xml:space="preserve"> </w:t>
      </w:r>
      <w:r>
        <w:t xml:space="preserve">whatever is closest to its range-extreme</w:t>
      </w:r>
      <w:r>
        <w:t xml:space="preserve"> </w:t>
      </w:r>
      <w:r>
        <w:t xml:space="preserve"> </w:t>
      </w:r>
      <w:r>
        <w:t xml:space="preserve">, and the framework’s primary cases (extraction of resources with high existential substitutability gaps) cluster in the α-dominance regime. The framework’s</w:t>
      </w:r>
      <w:r>
        <w:t xml:space="preserve"> </w:t>
      </w:r>
      <w:r>
        <w:t xml:space="preserve">“irreversibility is the heart of the matter”</w:t>
      </w:r>
      <w:r>
        <w:t xml:space="preserve"> </w:t>
      </w:r>
      <w:r>
        <w:t xml:space="preserve">prose claim is empirically supported by this sensitivity pattern.</w:t>
      </w:r>
    </w:p>
    <w:p>
      <w:pPr>
        <w:pStyle w:val="Compact"/>
        <w:numPr>
          <w:ilvl w:val="0"/>
          <w:numId w:val="1000"/>
        </w:numPr>
      </w:pPr>
      <w:r>
        <w:t xml:space="preserve">Sensitivity to β (irreversibility-aversion calibration)</w:t>
      </w:r>
    </w:p>
    <w:p>
      <w:pPr>
        <w:pStyle w:val="Compact"/>
        <w:numPr>
          <w:ilvl w:val="0"/>
          <w:numId w:val="1000"/>
        </w:numPr>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Compact"/>
        <w:numPr>
          <w:ilvl w:val="0"/>
          <w:numId w:val="1000"/>
        </w:numPr>
      </w:pPr>
      <w:r>
        <w:t xml:space="preserve"> </w:t>
      </w:r>
      <w:r>
        <w:t xml:space="preserve">Methodological recommendation:</w:t>
      </w:r>
      <w:r>
        <w:t xml:space="preserve"> </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pPr>
        <w:pStyle w:val="Compact"/>
        <w:numPr>
          <w:ilvl w:val="0"/>
          <w:numId w:val="1000"/>
        </w:numPr>
      </w:pPr>
      <w:r>
        <w:t xml:space="preserve">Implications for framework debate-narrowing</w:t>
      </w:r>
    </w:p>
    <w:p>
      <w:pPr>
        <w:pStyle w:val="Compact"/>
        <w:numPr>
          <w:ilvl w:val="0"/>
          <w:numId w:val="1000"/>
        </w:numPr>
      </w:pPr>
      <w:r>
        <w:t xml:space="preserve">The sensitivity analysis was motivated by the hypothesis:</w:t>
      </w:r>
      <w:r>
        <w:t xml:space="preserve"> </w:t>
      </w:r>
      <w:r>
        <w:t xml:space="preserve"> </w:t>
      </w:r>
      <w:r>
        <w:t xml:space="preserve">if one parameter dominates, the real debate about RCV becomes a debate about that parameter, narrowing the framework’s contested surface.</w:t>
      </w:r>
      <w:r>
        <w:t xml:space="preserve"> </w:t>
      </w:r>
    </w:p>
    <w:p>
      <w:pPr>
        <w:pStyle w:val="Compact"/>
        <w:numPr>
          <w:ilvl w:val="0"/>
          <w:numId w:val="1000"/>
        </w:numPr>
      </w:pPr>
      <w:r>
        <w:t xml:space="preserve"> </w:t>
      </w:r>
      <w:r>
        <w:t xml:space="preserve">Sensitivity finding for that motivation:</w:t>
      </w:r>
      <w:r>
        <w:t xml:space="preserve"> </w:t>
      </w:r>
    </w:p>
    <w:p>
      <w:pPr>
        <w:pStyle w:val="Compact"/>
        <w:numPr>
          <w:ilvl w:val="0"/>
          <w:numId w:val="1000"/>
        </w:numPr>
      </w:pPr>
      <w:r>
        <w:t xml:space="preserve">The framework’s</w:t>
      </w:r>
      <w:r>
        <w:t xml:space="preserve"> </w:t>
      </w:r>
      <w:r>
        <w:t xml:space="preserve"> </w:t>
      </w:r>
      <w:r>
        <w:t xml:space="preserve">Earth-bound primary cases</w:t>
      </w:r>
      <w:r>
        <w:t xml:space="preserve"> </w:t>
      </w:r>
      <w:r>
        <w:t xml:space="preserve"> </w:t>
      </w:r>
      <w:r>
        <w:t xml:space="preserve">(McDowell, Deepwater, Libby, atmospheric-carbon, biodiversity, indigenous-dispossession) all cluster in the</w:t>
      </w:r>
      <w:r>
        <w:t xml:space="preserve"> </w:t>
      </w:r>
      <w:r>
        <w:t xml:space="preserve"> </w:t>
      </w:r>
      <w:r>
        <w:t xml:space="preserve">α-dominance regime</w:t>
      </w:r>
      <w:r>
        <w:t xml:space="preserve"> </w:t>
      </w:r>
      <w:r>
        <w:t xml:space="preserve"> </w:t>
      </w:r>
      <w:r>
        <w:t xml:space="preserve">.</w:t>
      </w:r>
    </w:p>
    <w:p>
      <w:pPr>
        <w:pStyle w:val="Compact"/>
        <w:numPr>
          <w:ilvl w:val="0"/>
          <w:numId w:val="1000"/>
        </w:numPr>
      </w:pPr>
      <w:r>
        <w:t xml:space="preserve">For those cases, the real debate about RCV is</w:t>
      </w:r>
      <w:r>
        <w:t xml:space="preserve"> </w:t>
      </w:r>
      <w:r>
        <w:t xml:space="preserve"> </w:t>
      </w:r>
      <w:r>
        <w:t xml:space="preserve">a debate about irreversibility</w:t>
      </w:r>
      <w:r>
        <w:t xml:space="preserve"> </w:t>
      </w:r>
      <w:r>
        <w:t xml:space="preserve"> </w:t>
      </w:r>
      <w:r>
        <w:t xml:space="preserve">— not a debate about discount rates, not a debate about scarcity, not a debate about option-value.</w:t>
      </w:r>
      <w:r>
        <w:t xml:space="preserve"> </w:t>
      </w:r>
      <w:r>
        <w:t xml:space="preserve"> </w:t>
      </w:r>
      <w:r>
        <w:t xml:space="preserve">Whether commons-loss is irreversible is the load-bearing empirical question.</w:t>
      </w:r>
      <w:r>
        <w:t xml:space="preserve"> </w:t>
      </w:r>
    </w:p>
    <w:p>
      <w:pPr>
        <w:pStyle w:val="Compact"/>
        <w:numPr>
          <w:ilvl w:val="0"/>
          <w:numId w:val="1000"/>
        </w:numPr>
      </w:pPr>
      <w:r>
        <w:t xml:space="preserve">This is</w:t>
      </w:r>
      <w:r>
        <w:t xml:space="preserve"> </w:t>
      </w:r>
      <w:r>
        <w:t xml:space="preserve"> </w:t>
      </w:r>
      <w:r>
        <w:t xml:space="preserve">the framework’s optimal contested-surface positioning</w:t>
      </w:r>
      <w:r>
        <w:t xml:space="preserve"> </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Compact"/>
        <w:numPr>
          <w:ilvl w:val="0"/>
          <w:numId w:val="1000"/>
        </w:numPr>
      </w:pPr>
      <w:r>
        <w:t xml:space="preserve"> </w:t>
      </w:r>
      <w:r>
        <w:t xml:space="preserve">Framework-positioning implication:</w:t>
      </w:r>
      <w:r>
        <w:t xml:space="preserve"> </w:t>
      </w:r>
      <w:r>
        <w:t xml:space="preserve"> </w:t>
      </w:r>
      <w:r>
        <w:t xml:space="preserve">The Method 3 specification foregrounds the α-dominance finding and frames the framework’s contested surface as</w:t>
      </w:r>
      <w:r>
        <w:t xml:space="preserve"> </w:t>
      </w:r>
      <w:r>
        <w:t xml:space="preserve">“is this commons-loss irreversible?”</w:t>
      </w:r>
      <w:r>
        <w:t xml:space="preserve"> </w:t>
      </w:r>
      <w:r>
        <w:t xml:space="preserve">rather than the broader</w:t>
      </w:r>
      <w:r>
        <w:t xml:space="preserve"> </w:t>
      </w:r>
      <w:r>
        <w:t xml:space="preserve">“is the RCV estimate correct?”</w:t>
      </w:r>
      <w:r>
        <w:t xml:space="preserve"> </w:t>
      </w:r>
      <w:r>
        <w:t xml:space="preserve">The narrower question is more empirically tractable and more aligned with established climate-economics + biodiversity-economics + cultural-preservation literature.</w:t>
      </w:r>
    </w:p>
    <w:p>
      <w:pPr>
        <w:pStyle w:val="Compact"/>
        <w:numPr>
          <w:ilvl w:val="0"/>
          <w:numId w:val="1000"/>
        </w:numPr>
      </w:pPr>
      <w:r>
        <w:t xml:space="preserve">This narrowing is itself a methodological contribution: by surfacing α-dominance, the framework gives reviewers + opponents + adopters a focused empirical question rather than an uncontainable methodological debate.</w:t>
      </w:r>
    </w:p>
    <w:p>
      <w:pPr>
        <w:pStyle w:val="Compact"/>
        <w:numPr>
          <w:ilvl w:val="0"/>
          <w:numId w:val="1000"/>
        </w:numPr>
      </w:pPr>
      <w:r>
        <w:t xml:space="preserve">§11.9 — DAC three-horizon range: Method 1 Habitability commons anchor specification</w:t>
      </w:r>
    </w:p>
    <w:p>
      <w:pPr>
        <w:pStyle w:val="Compact"/>
        <w:numPr>
          <w:ilvl w:val="0"/>
          <w:numId w:val="1000"/>
        </w:numPr>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p>
      <w:pPr>
        <w:pStyle w:val="Compact"/>
        <w:numPr>
          <w:ilvl w:val="0"/>
          <w:numId w:val="1000"/>
        </w:numPr>
      </w:pPr>
      <w:r>
        <w:t xml:space="preserve">Direct-air-capture (DAC) cost per ton CO₂ — Method 1 Replacement Cost anchor for the Habitability commons</w:t>
      </w:r>
    </w:p>
    <w:p>
      <w:pPr>
        <w:pStyle w:val="Compact"/>
        <w:numPr>
          <w:ilvl w:val="0"/>
          <w:numId w:val="1000"/>
        </w:numPr>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p>
      <w:pPr>
        <w:pStyle w:val="Compact"/>
        <w:numPr>
          <w:ilvl w:val="0"/>
          <w:numId w:val="1000"/>
        </w:numPr>
      </w:pPr>
      <w:r>
        <w:t xml:space="preserve">Operational DAC facilities (2024-2025 cost figures)</w:t>
      </w:r>
    </w:p>
    <w:p>
      <w:pPr>
        <w:pStyle w:val="Compact"/>
        <w:numPr>
          <w:ilvl w:val="0"/>
          <w:numId w:val="1000"/>
        </w:numPr>
      </w:pPr>
      <w:r>
        <w:t xml:space="preserve">Facility</w:t>
      </w:r>
    </w:p>
    <w:p>
      <w:pPr>
        <w:pStyle w:val="Compact"/>
        <w:numPr>
          <w:ilvl w:val="0"/>
          <w:numId w:val="1000"/>
        </w:numPr>
      </w:pPr>
      <w:r>
        <w:t xml:space="preserve">Operator</w:t>
      </w:r>
    </w:p>
    <w:p>
      <w:pPr>
        <w:pStyle w:val="Compact"/>
        <w:numPr>
          <w:ilvl w:val="0"/>
          <w:numId w:val="1000"/>
        </w:numPr>
      </w:pPr>
      <w:r>
        <w:t xml:space="preserve">Operational since</w:t>
      </w:r>
    </w:p>
    <w:p>
      <w:pPr>
        <w:pStyle w:val="Compact"/>
        <w:numPr>
          <w:ilvl w:val="0"/>
          <w:numId w:val="1000"/>
        </w:numPr>
      </w:pPr>
      <w:r>
        <w:t xml:space="preserve">Capture capacity</w:t>
      </w:r>
    </w:p>
    <w:p>
      <w:pPr>
        <w:pStyle w:val="Compact"/>
        <w:numPr>
          <w:ilvl w:val="0"/>
          <w:numId w:val="1000"/>
        </w:numPr>
      </w:pPr>
      <w:r>
        <w:t xml:space="preserve">Cost per ton CO₂ (current)</w:t>
      </w:r>
    </w:p>
    <w:p>
      <w:pPr>
        <w:pStyle w:val="Compact"/>
        <w:numPr>
          <w:ilvl w:val="0"/>
          <w:numId w:val="1000"/>
        </w:numPr>
      </w:pPr>
      <w:r>
        <w:t xml:space="preserve">Cost per ton CO₂ (target at scale)</w:t>
      </w:r>
    </w:p>
    <w:p>
      <w:pPr>
        <w:pStyle w:val="Compact"/>
        <w:numPr>
          <w:ilvl w:val="0"/>
          <w:numId w:val="1000"/>
        </w:numPr>
      </w:pPr>
      <w:r>
        <w:t xml:space="preserve">Source</w:t>
      </w:r>
    </w:p>
    <w:p>
      <w:pPr>
        <w:pStyle w:val="Compact"/>
        <w:numPr>
          <w:ilvl w:val="0"/>
          <w:numId w:val="1000"/>
        </w:numPr>
      </w:pPr>
      <w:r>
        <w:t xml:space="preserve"> </w:t>
      </w:r>
      <w:r>
        <w:t xml:space="preserve">Orca</w:t>
      </w:r>
      <w:r>
        <w:t xml:space="preserve"> </w:t>
      </w:r>
      <w:r>
        <w:t xml:space="preserve"> </w:t>
      </w:r>
      <w:r>
        <w:t xml:space="preserve">(Iceland)</w:t>
      </w:r>
    </w:p>
    <w:p>
      <w:pPr>
        <w:pStyle w:val="Compact"/>
        <w:numPr>
          <w:ilvl w:val="0"/>
          <w:numId w:val="1000"/>
        </w:numPr>
      </w:pPr>
      <w:r>
        <w:t xml:space="preserve">Climeworks</w:t>
      </w:r>
    </w:p>
    <w:p>
      <w:pPr>
        <w:pStyle w:val="Compact"/>
        <w:numPr>
          <w:ilvl w:val="0"/>
          <w:numId w:val="1000"/>
        </w:numPr>
      </w:pPr>
      <w:r>
        <w:t xml:space="preserve">2021</w:t>
      </w:r>
    </w:p>
    <w:p>
      <w:pPr>
        <w:pStyle w:val="Compact"/>
        <w:numPr>
          <w:ilvl w:val="0"/>
          <w:numId w:val="1000"/>
        </w:numPr>
      </w:pPr>
      <w:r>
        <w:t xml:space="preserve">~4,000 tons/year</w:t>
      </w:r>
    </w:p>
    <w:p>
      <w:pPr>
        <w:pStyle w:val="Compact"/>
        <w:numPr>
          <w:ilvl w:val="0"/>
          <w:numId w:val="1000"/>
        </w:numPr>
      </w:pPr>
      <w:r>
        <w:t xml:space="preserve">~$600–$1,000/ton</w:t>
      </w:r>
    </w:p>
    <w:p>
      <w:pPr>
        <w:pStyle w:val="Compact"/>
        <w:numPr>
          <w:ilvl w:val="0"/>
          <w:numId w:val="1000"/>
        </w:numPr>
      </w:pPr>
      <w:r>
        <w:t xml:space="preserve">n/a (pilot)</w:t>
      </w:r>
    </w:p>
    <w:p>
      <w:pPr>
        <w:pStyle w:val="Compact"/>
        <w:numPr>
          <w:ilvl w:val="0"/>
          <w:numId w:val="1000"/>
        </w:numPr>
      </w:pPr>
      <w:r>
        <w:t xml:space="preserve">Climeworks public reporting; IEA</w:t>
      </w:r>
      <w:r>
        <w:t xml:space="preserve"> </w:t>
      </w:r>
      <w:r>
        <w:t xml:space="preserve"> </w:t>
      </w:r>
      <w:r>
        <w:t xml:space="preserve">Direct Air Capture 2022</w:t>
      </w:r>
      <w:r>
        <w:t xml:space="preserve"> </w:t>
      </w:r>
    </w:p>
    <w:p>
      <w:pPr>
        <w:pStyle w:val="Compact"/>
        <w:numPr>
          <w:ilvl w:val="0"/>
          <w:numId w:val="1000"/>
        </w:numPr>
      </w:pPr>
      <w:r>
        <w:t xml:space="preserve"> </w:t>
      </w:r>
      <w:r>
        <w:t xml:space="preserve">Mammoth</w:t>
      </w:r>
      <w:r>
        <w:t xml:space="preserve"> </w:t>
      </w:r>
      <w:r>
        <w:t xml:space="preserve"> </w:t>
      </w:r>
      <w:r>
        <w:t xml:space="preserve">(Iceland)</w:t>
      </w:r>
    </w:p>
    <w:p>
      <w:pPr>
        <w:pStyle w:val="Compact"/>
        <w:numPr>
          <w:ilvl w:val="0"/>
          <w:numId w:val="1000"/>
        </w:numPr>
      </w:pPr>
      <w:r>
        <w:t xml:space="preserve">Climeworks</w:t>
      </w:r>
    </w:p>
    <w:p>
      <w:pPr>
        <w:pStyle w:val="Compact"/>
        <w:numPr>
          <w:ilvl w:val="0"/>
          <w:numId w:val="1000"/>
        </w:numPr>
      </w:pPr>
      <w:r>
        <w:t xml:space="preserve">2024</w:t>
      </w:r>
    </w:p>
    <w:p>
      <w:pPr>
        <w:pStyle w:val="Compact"/>
        <w:numPr>
          <w:ilvl w:val="0"/>
          <w:numId w:val="1000"/>
        </w:numPr>
      </w:pPr>
      <w:r>
        <w:t xml:space="preserve">~36,000 tons/year (target full scale)</w:t>
      </w:r>
    </w:p>
    <w:p>
      <w:pPr>
        <w:pStyle w:val="Compact"/>
        <w:numPr>
          <w:ilvl w:val="0"/>
          <w:numId w:val="1000"/>
        </w:numPr>
      </w:pPr>
      <w:r>
        <w:t xml:space="preserve">~$600–$1,000/ton initial; targeting ~$300–$400/ton at full operation</w:t>
      </w:r>
    </w:p>
    <w:p>
      <w:pPr>
        <w:pStyle w:val="Compact"/>
        <w:numPr>
          <w:ilvl w:val="0"/>
          <w:numId w:val="1000"/>
        </w:numPr>
      </w:pPr>
      <w:r>
        <w:t xml:space="preserve">$300–$400/ton</w:t>
      </w:r>
    </w:p>
    <w:p>
      <w:pPr>
        <w:pStyle w:val="Compact"/>
        <w:numPr>
          <w:ilvl w:val="0"/>
          <w:numId w:val="1000"/>
        </w:numPr>
      </w:pPr>
      <w:r>
        <w:t xml:space="preserve">Climeworks public reporting (2024 commissioning); MIT Technology Review coverage</w:t>
      </w:r>
    </w:p>
    <w:p>
      <w:pPr>
        <w:pStyle w:val="Compact"/>
        <w:numPr>
          <w:ilvl w:val="0"/>
          <w:numId w:val="1000"/>
        </w:numPr>
      </w:pPr>
      <w:r>
        <w:t xml:space="preserve"> </w:t>
      </w:r>
      <w:r>
        <w:t xml:space="preserve">Stratos</w:t>
      </w:r>
      <w:r>
        <w:t xml:space="preserve"> </w:t>
      </w:r>
      <w:r>
        <w:t xml:space="preserve"> </w:t>
      </w:r>
      <w:r>
        <w:t xml:space="preserve">(Texas, US)</w:t>
      </w:r>
    </w:p>
    <w:p>
      <w:pPr>
        <w:pStyle w:val="Compact"/>
        <w:numPr>
          <w:ilvl w:val="0"/>
          <w:numId w:val="1000"/>
        </w:numPr>
      </w:pPr>
      <w:r>
        <w:t xml:space="preserve">Carbon Engineering / 1PointFive (Occidental)</w:t>
      </w:r>
    </w:p>
    <w:p>
      <w:pPr>
        <w:pStyle w:val="Compact"/>
        <w:numPr>
          <w:ilvl w:val="0"/>
          <w:numId w:val="1000"/>
        </w:numPr>
      </w:pPr>
      <w:r>
        <w:t xml:space="preserve">construction; targeting 2025 commissioning</w:t>
      </w:r>
    </w:p>
    <w:p>
      <w:pPr>
        <w:pStyle w:val="Compact"/>
        <w:numPr>
          <w:ilvl w:val="0"/>
          <w:numId w:val="1000"/>
        </w:numPr>
      </w:pPr>
      <w:r>
        <w:t xml:space="preserve">~500,000 tons/year (target)</w:t>
      </w:r>
    </w:p>
    <w:p>
      <w:pPr>
        <w:pStyle w:val="Compact"/>
        <w:numPr>
          <w:ilvl w:val="0"/>
          <w:numId w:val="1000"/>
        </w:numPr>
      </w:pPr>
      <w:r>
        <w:t xml:space="preserve">n/a (pre-operational)</w:t>
      </w:r>
    </w:p>
    <w:p>
      <w:pPr>
        <w:pStyle w:val="Compact"/>
        <w:numPr>
          <w:ilvl w:val="0"/>
          <w:numId w:val="1000"/>
        </w:numPr>
      </w:pPr>
      <w:r>
        <w:t xml:space="preserve">$94–$232/ton (Carbon Engineering 2018</w:t>
      </w:r>
      <w:r>
        <w:t xml:space="preserve"> </w:t>
      </w:r>
      <w:r>
        <w:t xml:space="preserve"> </w:t>
      </w:r>
      <w:r>
        <w:t xml:space="preserve">Joule</w:t>
      </w:r>
      <w:r>
        <w:t xml:space="preserve"> </w:t>
      </w:r>
      <w:r>
        <w:t xml:space="preserve"> </w:t>
      </w:r>
      <w:r>
        <w:t xml:space="preserve">paper basis); ~$300–$600/ton more conservative third-party estimates</w:t>
      </w:r>
    </w:p>
    <w:p>
      <w:pPr>
        <w:pStyle w:val="Compact"/>
        <w:numPr>
          <w:ilvl w:val="0"/>
          <w:numId w:val="1000"/>
        </w:numPr>
      </w:pPr>
      <w:r>
        <w:t xml:space="preserve">Keith et al.,</w:t>
      </w:r>
      <w:r>
        <w:t xml:space="preserve"> </w:t>
      </w:r>
      <w:r>
        <w:t xml:space="preserve">“A Process for Capturing CO2 from the Atmosphere,”</w:t>
      </w:r>
      <w:r>
        <w:t xml:space="preserve"> </w:t>
      </w:r>
      <w:r>
        <w:t xml:space="preserve"> </w:t>
      </w:r>
      <w:r>
        <w:t xml:space="preserve">Joule</w:t>
      </w:r>
      <w:r>
        <w:t xml:space="preserve"> </w:t>
      </w:r>
      <w:r>
        <w:t xml:space="preserve"> </w:t>
      </w:r>
      <w:r>
        <w:t xml:space="preserve">(2018); 1PointFive announcements</w:t>
      </w:r>
    </w:p>
    <w:p>
      <w:pPr>
        <w:pStyle w:val="Compact"/>
        <w:numPr>
          <w:ilvl w:val="0"/>
          <w:numId w:val="1000"/>
        </w:numPr>
      </w:pPr>
      <w:r>
        <w:t xml:space="preserve"> </w:t>
      </w:r>
      <w:r>
        <w:t xml:space="preserve">Provisional consolidated range for Habitability-commons Method 1 anchor:</w:t>
      </w:r>
      <w:r>
        <w:t xml:space="preserve"> </w:t>
      </w:r>
    </w:p>
    <w:p>
      <w:pPr>
        <w:pStyle w:val="Compact"/>
        <w:numPr>
          <w:ilvl w:val="0"/>
          <w:numId w:val="1000"/>
        </w:numPr>
      </w:pPr>
      <w:r>
        <w:t xml:space="preserve"> </w:t>
      </w:r>
      <w:r>
        <w:t xml:space="preserve">Conservative (current operational, first-of-a-kind):</w:t>
      </w:r>
      <w:r>
        <w:t xml:space="preserve"> </w:t>
      </w:r>
      <w:r>
        <w:t xml:space="preserve"> </w:t>
      </w:r>
      <w:r>
        <w:t xml:space="preserve">$600–$1,000/ton CO₂.</w:t>
      </w:r>
    </w:p>
    <w:p>
      <w:pPr>
        <w:pStyle w:val="Compact"/>
        <w:numPr>
          <w:ilvl w:val="0"/>
          <w:numId w:val="1000"/>
        </w:numPr>
      </w:pPr>
      <w:r>
        <w:t xml:space="preserve"> </w:t>
      </w:r>
      <w:r>
        <w:t xml:space="preserve">Mid-range (declared targets at-scale, next 5–10 years):</w:t>
      </w:r>
      <w:r>
        <w:t xml:space="preserve"> </w:t>
      </w:r>
      <w:r>
        <w:t xml:space="preserve"> </w:t>
      </w:r>
      <w:r>
        <w:t xml:space="preserve">$300–$600/ton CO₂.</w:t>
      </w:r>
    </w:p>
    <w:p>
      <w:pPr>
        <w:pStyle w:val="Compact"/>
        <w:numPr>
          <w:ilvl w:val="0"/>
          <w:numId w:val="1000"/>
        </w:numPr>
      </w:pPr>
      <w:r>
        <w:t xml:space="preserve"> </w:t>
      </w:r>
      <w:r>
        <w:t xml:space="preserve">Optimistic (industry-target nth-of-a-kind by 2050):</w:t>
      </w:r>
      <w:r>
        <w:t xml:space="preserve"> </w:t>
      </w:r>
      <w:r>
        <w:t xml:space="preserve"> </w:t>
      </w:r>
      <w:r>
        <w:t xml:space="preserve">$100–$300/ton CO₂.</w:t>
      </w:r>
    </w:p>
    <w:p>
      <w:pPr>
        <w:pStyle w:val="Compact"/>
        <w:numPr>
          <w:ilvl w:val="0"/>
          <w:numId w:val="1000"/>
        </w:numPr>
      </w:pPr>
      <w:r>
        <w:t xml:space="preserve">The framework’s Method 1 anchor should report all three ranges with explicit time-horizon attribution, not a single point estimate.</w:t>
      </w:r>
    </w:p>
    <w:p>
      <w:pPr>
        <w:pStyle w:val="Compact"/>
        <w:numPr>
          <w:ilvl w:val="0"/>
          <w:numId w:val="1000"/>
        </w:numPr>
      </w:pPr>
      <w:r>
        <w:t xml:space="preserve">Authoritative review-literature ranges</w:t>
      </w:r>
    </w:p>
    <w:p>
      <w:pPr>
        <w:pStyle w:val="Compact"/>
        <w:numPr>
          <w:ilvl w:val="0"/>
          <w:numId w:val="1000"/>
        </w:numPr>
      </w:pPr>
      <w:r>
        <w:t xml:space="preserve">Source</w:t>
      </w:r>
    </w:p>
    <w:p>
      <w:pPr>
        <w:pStyle w:val="Compact"/>
        <w:numPr>
          <w:ilvl w:val="0"/>
          <w:numId w:val="1000"/>
        </w:numPr>
      </w:pPr>
      <w:r>
        <w:t xml:space="preserve">DAC cost range</w:t>
      </w:r>
    </w:p>
    <w:p>
      <w:pPr>
        <w:pStyle w:val="Compact"/>
        <w:numPr>
          <w:ilvl w:val="0"/>
          <w:numId w:val="1000"/>
        </w:numPr>
      </w:pPr>
      <w:r>
        <w:t xml:space="preserve">Time horizon</w:t>
      </w:r>
    </w:p>
    <w:p>
      <w:pPr>
        <w:pStyle w:val="Compact"/>
        <w:numPr>
          <w:ilvl w:val="0"/>
          <w:numId w:val="1000"/>
        </w:numPr>
      </w:pPr>
      <w:r>
        <w:t xml:space="preserve">Notes</w:t>
      </w:r>
    </w:p>
    <w:p>
      <w:pPr>
        <w:pStyle w:val="Compact"/>
        <w:numPr>
          <w:ilvl w:val="0"/>
          <w:numId w:val="1000"/>
        </w:numPr>
      </w:pPr>
      <w:r>
        <w:t xml:space="preserve"> </w:t>
      </w:r>
      <w:r>
        <w:t xml:space="preserve">IEA,</w:t>
      </w:r>
      <w:r>
        <w:t xml:space="preserve"> </w:t>
      </w:r>
      <w:r>
        <w:t xml:space="preserve"> </w:t>
      </w:r>
      <w:r>
        <w:t xml:space="preserve">Direct Air Capture: A Key Technology for Net Zero</w:t>
      </w:r>
      <w:r>
        <w:t xml:space="preserve"> </w:t>
      </w:r>
      <w:r>
        <w:t xml:space="preserve"> </w:t>
      </w:r>
      <w:r>
        <w:t xml:space="preserve"> </w:t>
      </w:r>
      <w:r>
        <w:t xml:space="preserve">(2022)</w:t>
      </w:r>
    </w:p>
    <w:p>
      <w:pPr>
        <w:pStyle w:val="Compact"/>
        <w:numPr>
          <w:ilvl w:val="0"/>
          <w:numId w:val="1000"/>
        </w:numPr>
      </w:pPr>
      <w:r>
        <w:t xml:space="preserve">$125–$335/ton CO₂ for early commercial-scale; $100/ton achievable by 2030 in optimistic scenarios</w:t>
      </w:r>
    </w:p>
    <w:p>
      <w:pPr>
        <w:pStyle w:val="Compact"/>
        <w:numPr>
          <w:ilvl w:val="0"/>
          <w:numId w:val="1000"/>
        </w:numPr>
      </w:pPr>
      <w:r>
        <w:t xml:space="preserve">2025–2030 commercial-scale; 2030+ optimistic</w:t>
      </w:r>
    </w:p>
    <w:p>
      <w:pPr>
        <w:pStyle w:val="Compact"/>
        <w:numPr>
          <w:ilvl w:val="0"/>
          <w:numId w:val="1000"/>
        </w:numPr>
      </w:pPr>
      <w:r>
        <w:t xml:space="preserve">IEA’s reference framing. https://www.iea.org/reports/direct-air-capture-2022</w:t>
      </w:r>
    </w:p>
    <w:p>
      <w:pPr>
        <w:pStyle w:val="Compact"/>
        <w:numPr>
          <w:ilvl w:val="0"/>
          <w:numId w:val="1000"/>
        </w:numPr>
      </w:pPr>
      <w:r>
        <w:t xml:space="preserve"> </w:t>
      </w:r>
      <w:r>
        <w:t xml:space="preserve">IEA,</w:t>
      </w:r>
      <w:r>
        <w:t xml:space="preserve"> </w:t>
      </w:r>
      <w:r>
        <w:t xml:space="preserve"> </w:t>
      </w:r>
      <w:r>
        <w:t xml:space="preserve">Net Zero by 2050</w:t>
      </w:r>
      <w:r>
        <w:t xml:space="preserve"> </w:t>
      </w:r>
      <w:r>
        <w:t xml:space="preserve"> </w:t>
      </w:r>
      <w:r>
        <w:t xml:space="preserve"> </w:t>
      </w:r>
      <w:r>
        <w:t xml:space="preserve">(2021)</w:t>
      </w:r>
    </w:p>
    <w:p>
      <w:pPr>
        <w:pStyle w:val="Compact"/>
        <w:numPr>
          <w:ilvl w:val="0"/>
          <w:numId w:val="1000"/>
        </w:numPr>
      </w:pPr>
      <w:r>
        <w:t xml:space="preserve">$130–$330/ton CO₂</w:t>
      </w:r>
    </w:p>
    <w:p>
      <w:pPr>
        <w:pStyle w:val="Compact"/>
        <w:numPr>
          <w:ilvl w:val="0"/>
          <w:numId w:val="1000"/>
        </w:numPr>
      </w:pPr>
      <w:r>
        <w:t xml:space="preserve">2030 commercial-scale</w:t>
      </w:r>
    </w:p>
    <w:p>
      <w:pPr>
        <w:pStyle w:val="Compact"/>
        <w:numPr>
          <w:ilvl w:val="0"/>
          <w:numId w:val="1000"/>
        </w:numPr>
      </w:pPr>
      <w:r>
        <w:t xml:space="preserve">Net-Zero scenario assumption.</w:t>
      </w:r>
    </w:p>
    <w:p>
      <w:pPr>
        <w:pStyle w:val="Compact"/>
        <w:numPr>
          <w:ilvl w:val="0"/>
          <w:numId w:val="1000"/>
        </w:numPr>
      </w:pPr>
      <w:r>
        <w:t xml:space="preserve"> </w:t>
      </w:r>
      <w:r>
        <w:t xml:space="preserve">IPCC AR6 Working Group III</w:t>
      </w:r>
      <w:r>
        <w:t xml:space="preserve"> </w:t>
      </w:r>
      <w:r>
        <w:t xml:space="preserve"> </w:t>
      </w:r>
      <w:r>
        <w:t xml:space="preserve">(2022), Chapter 12</w:t>
      </w:r>
    </w:p>
    <w:p>
      <w:pPr>
        <w:pStyle w:val="Compact"/>
        <w:numPr>
          <w:ilvl w:val="0"/>
          <w:numId w:val="1000"/>
        </w:numPr>
      </w:pPr>
      <w:r>
        <w:t xml:space="preserve">$100–$300/ton CO₂ in optimistic deployment scenarios; &gt;$1,000/ton in pessimistic</w:t>
      </w:r>
    </w:p>
    <w:p>
      <w:pPr>
        <w:pStyle w:val="Compact"/>
        <w:numPr>
          <w:ilvl w:val="0"/>
          <w:numId w:val="1000"/>
        </w:numPr>
      </w:pPr>
      <w:r>
        <w:t xml:space="preserve">2030–2050</w:t>
      </w:r>
    </w:p>
    <w:p>
      <w:pPr>
        <w:pStyle w:val="Compact"/>
        <w:numPr>
          <w:ilvl w:val="0"/>
          <w:numId w:val="1000"/>
        </w:numPr>
      </w:pPr>
      <w:r>
        <w:t xml:space="preserve">https://www.ipcc.ch/report/ar6/wg3/</w:t>
      </w:r>
    </w:p>
    <w:p>
      <w:pPr>
        <w:pStyle w:val="Compact"/>
        <w:numPr>
          <w:ilvl w:val="0"/>
          <w:numId w:val="1000"/>
        </w:numPr>
      </w:pPr>
      <w:r>
        <w:t xml:space="preserve"> </w:t>
      </w:r>
      <w:r>
        <w:t xml:space="preserve">National Academies (US),</w:t>
      </w:r>
      <w:r>
        <w:t xml:space="preserve"> </w:t>
      </w:r>
      <w:r>
        <w:t xml:space="preserve"> </w:t>
      </w:r>
      <w:r>
        <w:t xml:space="preserve">Negative Emissions Technologies and Reliable Sequestration</w:t>
      </w:r>
      <w:r>
        <w:t xml:space="preserve"> </w:t>
      </w:r>
      <w:r>
        <w:t xml:space="preserve"> </w:t>
      </w:r>
      <w:r>
        <w:t xml:space="preserve"> </w:t>
      </w:r>
      <w:r>
        <w:t xml:space="preserve">(2019)</w:t>
      </w:r>
    </w:p>
    <w:p>
      <w:pPr>
        <w:pStyle w:val="Compact"/>
        <w:numPr>
          <w:ilvl w:val="0"/>
          <w:numId w:val="1000"/>
        </w:numPr>
      </w:pPr>
      <w:r>
        <w:t xml:space="preserve">$100–$600/ton CO₂ over a wide deployment-scenario sensitivity</w:t>
      </w:r>
    </w:p>
    <w:p>
      <w:pPr>
        <w:pStyle w:val="Compact"/>
        <w:numPr>
          <w:ilvl w:val="0"/>
          <w:numId w:val="1000"/>
        </w:numPr>
      </w:pPr>
      <w:r>
        <w:t xml:space="preserve">2030–2050</w:t>
      </w:r>
    </w:p>
    <w:p>
      <w:pPr>
        <w:pStyle w:val="Compact"/>
        <w:numPr>
          <w:ilvl w:val="0"/>
          <w:numId w:val="1000"/>
        </w:numPr>
      </w:pPr>
      <w:r>
        <w:t xml:space="preserve">Pre-Stratos; figures may underrepresent recent learning curves.</w:t>
      </w:r>
    </w:p>
    <w:p>
      <w:pPr>
        <w:pStyle w:val="Compact"/>
        <w:numPr>
          <w:ilvl w:val="0"/>
          <w:numId w:val="1000"/>
        </w:numPr>
      </w:pPr>
      <w:r>
        <w:t xml:space="preserve"> </w:t>
      </w:r>
      <w:r>
        <w:t xml:space="preserve">Realmonte et al.,</w:t>
      </w:r>
      <w:r>
        <w:t xml:space="preserve"> </w:t>
      </w:r>
      <w:r>
        <w:t xml:space="preserve"> </w:t>
      </w:r>
      <w:r>
        <w:t xml:space="preserve">Nature Communications</w:t>
      </w:r>
      <w:r>
        <w:t xml:space="preserve"> </w:t>
      </w:r>
      <w:r>
        <w:t xml:space="preserve"> </w:t>
      </w:r>
      <w:r>
        <w:t xml:space="preserve"> </w:t>
      </w:r>
      <w:r>
        <w:t xml:space="preserve">(2019)</w:t>
      </w:r>
    </w:p>
    <w:p>
      <w:pPr>
        <w:pStyle w:val="Compact"/>
        <w:numPr>
          <w:ilvl w:val="0"/>
          <w:numId w:val="1000"/>
        </w:numPr>
      </w:pPr>
      <w:r>
        <w:t xml:space="preserve">$100–$600/ton CO₂ at multi-gigaton scale</w:t>
      </w:r>
    </w:p>
    <w:p>
      <w:pPr>
        <w:pStyle w:val="Compact"/>
        <w:numPr>
          <w:ilvl w:val="0"/>
          <w:numId w:val="1000"/>
        </w:numPr>
      </w:pPr>
      <w:r>
        <w:t xml:space="preserve">2050</w:t>
      </w:r>
    </w:p>
    <w:p>
      <w:pPr>
        <w:pStyle w:val="Compact"/>
        <w:numPr>
          <w:ilvl w:val="0"/>
          <w:numId w:val="1000"/>
        </w:numPr>
      </w:pPr>
      <w:r>
        <w:t xml:space="preserve">Modeled at-scale figure.</w:t>
      </w:r>
    </w:p>
    <w:p>
      <w:pPr>
        <w:pStyle w:val="Compact"/>
        <w:numPr>
          <w:ilvl w:val="0"/>
          <w:numId w:val="1000"/>
        </w:numPr>
      </w:pPr>
      <w:r>
        <w:t xml:space="preserve"> </w:t>
      </w:r>
      <w:r>
        <w:t xml:space="preserve">House et al.,</w:t>
      </w:r>
      <w:r>
        <w:t xml:space="preserve"> </w:t>
      </w:r>
      <w:r>
        <w:t xml:space="preserve"> </w:t>
      </w:r>
      <w:r>
        <w:t xml:space="preserve">PNAS</w:t>
      </w:r>
      <w:r>
        <w:t xml:space="preserve"> </w:t>
      </w:r>
      <w:r>
        <w:t xml:space="preserve"> </w:t>
      </w:r>
      <w:r>
        <w:t xml:space="preserve"> </w:t>
      </w:r>
      <w:r>
        <w:t xml:space="preserve">(2011)</w:t>
      </w:r>
    </w:p>
    <w:p>
      <w:pPr>
        <w:pStyle w:val="Compact"/>
        <w:numPr>
          <w:ilvl w:val="0"/>
          <w:numId w:val="1000"/>
        </w:numPr>
      </w:pPr>
      <w:r>
        <w:t xml:space="preserve">$1,000+/ton CO₂ early estimate</w:t>
      </w:r>
    </w:p>
    <w:p>
      <w:pPr>
        <w:pStyle w:val="Compact"/>
        <w:numPr>
          <w:ilvl w:val="0"/>
          <w:numId w:val="1000"/>
        </w:numPr>
      </w:pPr>
      <w:r>
        <w:t xml:space="preserve">2010s pessimistic</w:t>
      </w:r>
    </w:p>
    <w:p>
      <w:pPr>
        <w:pStyle w:val="Compact"/>
        <w:numPr>
          <w:ilvl w:val="0"/>
          <w:numId w:val="1000"/>
        </w:numPr>
      </w:pPr>
      <w:r>
        <w:t xml:space="preserve">Early-literature pessimistic floor; useful for steelman engagement on academic-credibility positioning.</w:t>
      </w:r>
    </w:p>
    <w:p>
      <w:pPr>
        <w:pStyle w:val="Compact"/>
        <w:numPr>
          <w:ilvl w:val="0"/>
          <w:numId w:val="1000"/>
        </w:numPr>
      </w:pPr>
      <w:r>
        <w:t xml:space="preserve">Method 1 anchor specification</w:t>
      </w:r>
    </w:p>
    <w:p>
      <w:pPr>
        <w:pStyle w:val="Compact"/>
        <w:numPr>
          <w:ilvl w:val="0"/>
          <w:numId w:val="1000"/>
        </w:numPr>
      </w:pPr>
      <w:r>
        <w:t xml:space="preserve"> </w:t>
      </w:r>
      <w:r>
        <w:t xml:space="preserve">Anchor language:</w:t>
      </w:r>
      <w:r>
        <w:t xml:space="preserve"> </w:t>
      </w:r>
    </w:p>
    <w:p>
      <w:pPr>
        <w:pStyle w:val="Compact"/>
        <w:numPr>
          <w:ilvl w:val="0"/>
          <w:numId w:val="1000"/>
        </w:numPr>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t xml:space="preserve"> </w:t>
      </w:r>
      <w:r>
        <w:t xml:space="preserve">Direct Air Capture 2022</w:t>
      </w:r>
      <w:r>
        <w:t xml:space="preserve"> </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Compact"/>
        <w:numPr>
          <w:ilvl w:val="0"/>
          <w:numId w:val="1000"/>
        </w:numPr>
      </w:pPr>
      <w:r>
        <w:t xml:space="preserve"> </w:t>
      </w:r>
      <w:r>
        <w:t xml:space="preserve">Distinction discipline:</w:t>
      </w:r>
      <w:r>
        <w:t xml:space="preserve"> </w:t>
      </w:r>
    </w:p>
    <w:p>
      <w:pPr>
        <w:pStyle w:val="Compact"/>
        <w:numPr>
          <w:ilvl w:val="0"/>
          <w:numId w:val="1000"/>
        </w:numPr>
      </w:pPr>
      <w:r>
        <w:t xml:space="preserve"> </w:t>
      </w:r>
      <w:r>
        <w:t xml:space="preserve">Social Cost of Carbon (SCC):</w:t>
      </w:r>
      <w:r>
        <w:t xml:space="preserve"> </w:t>
      </w:r>
      <w:r>
        <w:t xml:space="preserve"> </w:t>
      </w:r>
      <w:r>
        <w:t xml:space="preserve">prices the damage that one ton of CO₂ emission causes (current US EPA central estimate: $190/ton CO₂ at 2% discount rate; Rennert et al. 2022</w:t>
      </w:r>
      <w:r>
        <w:t xml:space="preserve"> </w:t>
      </w:r>
      <w:r>
        <w:t xml:space="preserve"> </w:t>
      </w:r>
      <w:r>
        <w:t xml:space="preserve">Nature</w:t>
      </w:r>
      <w:r>
        <w:t xml:space="preserve"> </w:t>
      </w:r>
      <w:r>
        <w:t xml:space="preserve"> </w:t>
      </w:r>
      <w:r>
        <w:t xml:space="preserve">).</w:t>
      </w:r>
    </w:p>
    <w:p>
      <w:pPr>
        <w:pStyle w:val="Compact"/>
        <w:numPr>
          <w:ilvl w:val="0"/>
          <w:numId w:val="1000"/>
        </w:numPr>
      </w:pPr>
      <w:r>
        <w:t xml:space="preserve"> </w:t>
      </w:r>
      <w:r>
        <w:t xml:space="preserve">DAC cost-per-ton:</w:t>
      </w:r>
      <w:r>
        <w:t xml:space="preserve"> </w:t>
      </w:r>
      <w:r>
        <w:t xml:space="preserve"> </w:t>
      </w:r>
      <w:r>
        <w:t xml:space="preserve">prices the engineering cost to remove one ton already emitted.</w:t>
      </w:r>
    </w:p>
    <w:p>
      <w:pPr>
        <w:pStyle w:val="Compact"/>
        <w:numPr>
          <w:ilvl w:val="0"/>
          <w:numId w:val="1000"/>
        </w:numPr>
      </w:pPr>
      <w:r>
        <w:t xml:space="preserve"> </w:t>
      </w:r>
      <w:r>
        <w:t xml:space="preserve">Method 1 (Replacement Cost) Habitability anchor:</w:t>
      </w:r>
      <w:r>
        <w:t xml:space="preserve"> </w:t>
      </w:r>
      <w:r>
        <w:t xml:space="preserve"> </w:t>
      </w:r>
      <w:r>
        <w:t xml:space="preserve">uses DAC, NOT SCC. The Method 1 logic is</w:t>
      </w:r>
      <w:r>
        <w:t xml:space="preserve"> </w:t>
      </w:r>
      <w:r>
        <w:t xml:space="preserve">“what would it cost to engineer a substitute for the commons function”</w:t>
      </w:r>
      <w:r>
        <w:t xml:space="preserve"> </w:t>
      </w:r>
      <w:r>
        <w:t xml:space="preserve">— the substitute function for the atmospheric CO₂-removal capacity is DAC. SCC is the damage-side number; Method 1 is the substitution-side number. They appear together in the convergence-table presentation but answer different questions.</w:t>
      </w:r>
    </w:p>
    <w:p>
      <w:pPr>
        <w:pStyle w:val="Compact"/>
        <w:numPr>
          <w:ilvl w:val="0"/>
          <w:numId w:val="1000"/>
        </w:numPr>
      </w:pPr>
      <w:r>
        <w:t xml:space="preserve">§11.10 — Space-economics anchors: Ch 7 (asteroid miner) calibration</w:t>
      </w:r>
    </w:p>
    <w:p>
      <w:pPr>
        <w:pStyle w:val="Compact"/>
        <w:numPr>
          <w:ilvl w:val="0"/>
          <w:numId w:val="1000"/>
        </w:numPr>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p>
      <w:pPr>
        <w:pStyle w:val="Compact"/>
        <w:numPr>
          <w:ilvl w:val="0"/>
          <w:numId w:val="1000"/>
        </w:numPr>
      </w:pPr>
      <w:r>
        <w:t xml:space="preserve">Space-economics numerical anchors — Ch 7 (asteroid miner) calibration</w:t>
      </w:r>
    </w:p>
    <w:p>
      <w:pPr>
        <w:pStyle w:val="Compact"/>
        <w:numPr>
          <w:ilvl w:val="0"/>
          <w:numId w:val="1000"/>
        </w:numPr>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w:t>
      </w:r>
      <w:r>
        <w:t xml:space="preserve"> </w:t>
      </w:r>
      <w:r>
        <w:t xml:space="preserve">“RCV approaches market price”</w:t>
      </w:r>
      <w:r>
        <w:t xml:space="preserve"> </w:t>
      </w:r>
      <w:r>
        <w:t xml:space="preserve">claim depends on substitutability and externality being approximately zero.</w:t>
      </w:r>
    </w:p>
    <w:p>
      <w:pPr>
        <w:pStyle w:val="Compact"/>
        <w:numPr>
          <w:ilvl w:val="0"/>
          <w:numId w:val="1000"/>
        </w:numPr>
      </w:pPr>
      <w:r>
        <w:t xml:space="preserve">Launch-cost anchors (Earth-to-LEO and Earth-to-GTO)</w:t>
      </w:r>
    </w:p>
    <w:p>
      <w:pPr>
        <w:pStyle w:val="Compact"/>
        <w:numPr>
          <w:ilvl w:val="0"/>
          <w:numId w:val="1000"/>
        </w:numPr>
      </w:pPr>
      <w:r>
        <w:t xml:space="preserve">Vehicle</w:t>
      </w:r>
    </w:p>
    <w:p>
      <w:pPr>
        <w:pStyle w:val="Compact"/>
        <w:numPr>
          <w:ilvl w:val="0"/>
          <w:numId w:val="1000"/>
        </w:numPr>
      </w:pPr>
      <w:r>
        <w:t xml:space="preserve">Operator</w:t>
      </w:r>
    </w:p>
    <w:p>
      <w:pPr>
        <w:pStyle w:val="Compact"/>
        <w:numPr>
          <w:ilvl w:val="0"/>
          <w:numId w:val="1000"/>
        </w:numPr>
      </w:pPr>
      <w:r>
        <w:t xml:space="preserve">Cost per kg to LEO (current, 2024–2025 estimates)</w:t>
      </w:r>
    </w:p>
    <w:p>
      <w:pPr>
        <w:pStyle w:val="Compact"/>
        <w:numPr>
          <w:ilvl w:val="0"/>
          <w:numId w:val="1000"/>
        </w:numPr>
      </w:pPr>
      <w:r>
        <w:t xml:space="preserve">Notes</w:t>
      </w:r>
    </w:p>
    <w:p>
      <w:pPr>
        <w:pStyle w:val="Compact"/>
        <w:numPr>
          <w:ilvl w:val="0"/>
          <w:numId w:val="1000"/>
        </w:numPr>
      </w:pPr>
      <w:r>
        <w:t xml:space="preserve"> </w:t>
      </w:r>
      <w:r>
        <w:t xml:space="preserve">Falcon 9</w:t>
      </w:r>
      <w:r>
        <w:t xml:space="preserve"> </w:t>
      </w:r>
    </w:p>
    <w:p>
      <w:pPr>
        <w:pStyle w:val="Compact"/>
        <w:numPr>
          <w:ilvl w:val="0"/>
          <w:numId w:val="1000"/>
        </w:numPr>
      </w:pPr>
      <w:r>
        <w:t xml:space="preserve">SpaceX</w:t>
      </w:r>
    </w:p>
    <w:p>
      <w:pPr>
        <w:pStyle w:val="Compact"/>
        <w:numPr>
          <w:ilvl w:val="0"/>
          <w:numId w:val="1000"/>
        </w:numPr>
      </w:pPr>
      <w:r>
        <w:t xml:space="preserve">~$2,700/kg (LEO; full-stack rate based on $67M/22.8t)</w:t>
      </w:r>
    </w:p>
    <w:p>
      <w:pPr>
        <w:pStyle w:val="Compact"/>
        <w:numPr>
          <w:ilvl w:val="0"/>
          <w:numId w:val="1000"/>
        </w:numPr>
      </w:pPr>
      <w:r>
        <w:t xml:space="preserve">Operational since 2010; reusable booster.</w:t>
      </w:r>
    </w:p>
    <w:p>
      <w:pPr>
        <w:pStyle w:val="Compact"/>
        <w:numPr>
          <w:ilvl w:val="0"/>
          <w:numId w:val="1000"/>
        </w:numPr>
      </w:pPr>
      <w:r>
        <w:t xml:space="preserve"> </w:t>
      </w:r>
      <w:r>
        <w:t xml:space="preserve">Falcon Heavy</w:t>
      </w:r>
      <w:r>
        <w:t xml:space="preserve"> </w:t>
      </w:r>
    </w:p>
    <w:p>
      <w:pPr>
        <w:pStyle w:val="Compact"/>
        <w:numPr>
          <w:ilvl w:val="0"/>
          <w:numId w:val="1000"/>
        </w:numPr>
      </w:pPr>
      <w:r>
        <w:t xml:space="preserve">SpaceX</w:t>
      </w:r>
    </w:p>
    <w:p>
      <w:pPr>
        <w:pStyle w:val="Compact"/>
        <w:numPr>
          <w:ilvl w:val="0"/>
          <w:numId w:val="1000"/>
        </w:numPr>
      </w:pPr>
      <w:r>
        <w:t xml:space="preserve">~$1,400/kg (LEO; $90M/63.8t LEO capacity)</w:t>
      </w:r>
    </w:p>
    <w:p>
      <w:pPr>
        <w:pStyle w:val="Compact"/>
        <w:numPr>
          <w:ilvl w:val="0"/>
          <w:numId w:val="1000"/>
        </w:numPr>
      </w:pPr>
      <w:r>
        <w:t xml:space="preserve">Operational since 2018.</w:t>
      </w:r>
    </w:p>
    <w:p>
      <w:pPr>
        <w:pStyle w:val="Compact"/>
        <w:numPr>
          <w:ilvl w:val="0"/>
          <w:numId w:val="1000"/>
        </w:numPr>
      </w:pPr>
      <w:r>
        <w:t xml:space="preserve"> </w:t>
      </w:r>
      <w:r>
        <w:t xml:space="preserve">Starship (early-operational target)</w:t>
      </w:r>
      <w:r>
        <w:t xml:space="preserve"> </w:t>
      </w:r>
    </w:p>
    <w:p>
      <w:pPr>
        <w:pStyle w:val="Compact"/>
        <w:numPr>
          <w:ilvl w:val="0"/>
          <w:numId w:val="1000"/>
        </w:numPr>
      </w:pPr>
      <w:r>
        <w:t xml:space="preserve">SpaceX</w:t>
      </w:r>
    </w:p>
    <w:p>
      <w:pPr>
        <w:pStyle w:val="Compact"/>
        <w:numPr>
          <w:ilvl w:val="0"/>
          <w:numId w:val="1000"/>
        </w:numPr>
      </w:pPr>
      <w:r>
        <w:t xml:space="preserve">~$200–$1,000/kg (LEO; targeted; not yet validated)</w:t>
      </w:r>
    </w:p>
    <w:p>
      <w:pPr>
        <w:pStyle w:val="Compact"/>
        <w:numPr>
          <w:ilvl w:val="0"/>
          <w:numId w:val="1000"/>
        </w:numPr>
      </w:pPr>
      <w:r>
        <w:t xml:space="preserve">Pre-operational as of 2024–2025; figures are SpaceX-stated targets, not third-party-validated.</w:t>
      </w:r>
    </w:p>
    <w:p>
      <w:pPr>
        <w:pStyle w:val="Compact"/>
        <w:numPr>
          <w:ilvl w:val="0"/>
          <w:numId w:val="1000"/>
        </w:numPr>
      </w:pPr>
      <w:r>
        <w:t xml:space="preserve"> </w:t>
      </w:r>
      <w:r>
        <w:t xml:space="preserve">Vulcan Centaur</w:t>
      </w:r>
      <w:r>
        <w:t xml:space="preserve"> </w:t>
      </w:r>
    </w:p>
    <w:p>
      <w:pPr>
        <w:pStyle w:val="Compact"/>
        <w:numPr>
          <w:ilvl w:val="0"/>
          <w:numId w:val="1000"/>
        </w:numPr>
      </w:pPr>
      <w:r>
        <w:t xml:space="preserve">ULA</w:t>
      </w:r>
    </w:p>
    <w:p>
      <w:pPr>
        <w:pStyle w:val="Compact"/>
        <w:numPr>
          <w:ilvl w:val="0"/>
          <w:numId w:val="1000"/>
        </w:numPr>
      </w:pPr>
      <w:r>
        <w:t xml:space="preserve">~$5,000–$8,000/kg (LEO)</w:t>
      </w:r>
    </w:p>
    <w:p>
      <w:pPr>
        <w:pStyle w:val="Compact"/>
        <w:numPr>
          <w:ilvl w:val="0"/>
          <w:numId w:val="1000"/>
        </w:numPr>
      </w:pPr>
      <w:r>
        <w:t xml:space="preserve">Operational 2024.</w:t>
      </w:r>
    </w:p>
    <w:p>
      <w:pPr>
        <w:pStyle w:val="Compact"/>
        <w:numPr>
          <w:ilvl w:val="0"/>
          <w:numId w:val="1000"/>
        </w:numPr>
      </w:pPr>
      <w:r>
        <w:t xml:space="preserve"> </w:t>
      </w:r>
      <w:r>
        <w:t xml:space="preserve">New Glenn</w:t>
      </w:r>
      <w:r>
        <w:t xml:space="preserve"> </w:t>
      </w:r>
    </w:p>
    <w:p>
      <w:pPr>
        <w:pStyle w:val="Compact"/>
        <w:numPr>
          <w:ilvl w:val="0"/>
          <w:numId w:val="1000"/>
        </w:numPr>
      </w:pPr>
      <w:r>
        <w:t xml:space="preserve">Blue Origin</w:t>
      </w:r>
    </w:p>
    <w:p>
      <w:pPr>
        <w:pStyle w:val="Compact"/>
        <w:numPr>
          <w:ilvl w:val="0"/>
          <w:numId w:val="1000"/>
        </w:numPr>
      </w:pPr>
      <w:r>
        <w:t xml:space="preserve">~$2,000–$6,000/kg (LEO; targeted)</w:t>
      </w:r>
    </w:p>
    <w:p>
      <w:pPr>
        <w:pStyle w:val="Compact"/>
        <w:numPr>
          <w:ilvl w:val="0"/>
          <w:numId w:val="1000"/>
        </w:numPr>
      </w:pPr>
      <w:r>
        <w:t xml:space="preserve">First flight 2025; cost figures are pre-operational.</w:t>
      </w:r>
    </w:p>
    <w:p>
      <w:pPr>
        <w:pStyle w:val="Compact"/>
        <w:numPr>
          <w:ilvl w:val="0"/>
          <w:numId w:val="1000"/>
        </w:numPr>
      </w:pPr>
      <w:r>
        <w:t xml:space="preserve"> </w:t>
      </w:r>
      <w:r>
        <w:t xml:space="preserve">Source:</w:t>
      </w:r>
      <w:r>
        <w:t xml:space="preserve"> </w:t>
      </w:r>
      <w:r>
        <w:t xml:space="preserve"> </w:t>
      </w:r>
      <w:r>
        <w:t xml:space="preserve">FAA/AST commercial-space launch reports; Aerospace Corporation Center for Space Policy and Strategy briefings; SpaceX public statements;</w:t>
      </w:r>
      <w:r>
        <w:t xml:space="preserve"> </w:t>
      </w:r>
      <w:r>
        <w:t xml:space="preserve"> </w:t>
      </w:r>
      <w:r>
        <w:t xml:space="preserve">Space News</w:t>
      </w:r>
      <w:r>
        <w:t xml:space="preserve"> </w:t>
      </w:r>
      <w:r>
        <w:t xml:space="preserve"> </w:t>
      </w:r>
      <w:r>
        <w:t xml:space="preserve">coverage.</w:t>
      </w:r>
    </w:p>
    <w:p>
      <w:pPr>
        <w:pStyle w:val="Compact"/>
        <w:numPr>
          <w:ilvl w:val="0"/>
          <w:numId w:val="1000"/>
        </w:numPr>
      </w:pPr>
      <w:r>
        <w:t xml:space="preserve"> </w:t>
      </w:r>
      <w:r>
        <w:t xml:space="preserve">Order-of-magnitude framing:</w:t>
      </w:r>
      <w:r>
        <w:t xml:space="preserve"> </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p>
      <w:pPr>
        <w:pStyle w:val="Compact"/>
        <w:numPr>
          <w:ilvl w:val="0"/>
          <w:numId w:val="1000"/>
        </w:numPr>
      </w:pPr>
      <w:r>
        <w:t xml:space="preserve">Asteroid sample-return mission costs (per gram returned)</w:t>
      </w:r>
    </w:p>
    <w:p>
      <w:pPr>
        <w:pStyle w:val="Compact"/>
        <w:numPr>
          <w:ilvl w:val="0"/>
          <w:numId w:val="1000"/>
        </w:numPr>
      </w:pPr>
      <w:r>
        <w:t xml:space="preserve">Mission</w:t>
      </w:r>
    </w:p>
    <w:p>
      <w:pPr>
        <w:pStyle w:val="Compact"/>
        <w:numPr>
          <w:ilvl w:val="0"/>
          <w:numId w:val="1000"/>
        </w:numPr>
      </w:pPr>
      <w:r>
        <w:t xml:space="preserve">Operator</w:t>
      </w:r>
    </w:p>
    <w:p>
      <w:pPr>
        <w:pStyle w:val="Compact"/>
        <w:numPr>
          <w:ilvl w:val="0"/>
          <w:numId w:val="1000"/>
        </w:numPr>
      </w:pPr>
      <w:r>
        <w:t xml:space="preserve">Sample mass returned</w:t>
      </w:r>
    </w:p>
    <w:p>
      <w:pPr>
        <w:pStyle w:val="Compact"/>
        <w:numPr>
          <w:ilvl w:val="0"/>
          <w:numId w:val="1000"/>
        </w:numPr>
      </w:pPr>
      <w:r>
        <w:t xml:space="preserve">Mission cost (USD, mission-vintage)</w:t>
      </w:r>
    </w:p>
    <w:p>
      <w:pPr>
        <w:pStyle w:val="Compact"/>
        <w:numPr>
          <w:ilvl w:val="0"/>
          <w:numId w:val="1000"/>
        </w:numPr>
      </w:pPr>
      <w:r>
        <w:t xml:space="preserve">Cost per gram returned</w:t>
      </w:r>
    </w:p>
    <w:p>
      <w:pPr>
        <w:pStyle w:val="Compact"/>
        <w:numPr>
          <w:ilvl w:val="0"/>
          <w:numId w:val="1000"/>
        </w:numPr>
      </w:pPr>
      <w:r>
        <w:t xml:space="preserve">Notes</w:t>
      </w:r>
    </w:p>
    <w:p>
      <w:pPr>
        <w:pStyle w:val="Compact"/>
        <w:numPr>
          <w:ilvl w:val="0"/>
          <w:numId w:val="1000"/>
        </w:numPr>
      </w:pPr>
      <w:r>
        <w:t xml:space="preserve"> </w:t>
      </w:r>
      <w:r>
        <w:t xml:space="preserve">OSIRIS-REx → Bennu</w:t>
      </w:r>
      <w:r>
        <w:t xml:space="preserve"> </w:t>
      </w:r>
    </w:p>
    <w:p>
      <w:pPr>
        <w:pStyle w:val="Compact"/>
        <w:numPr>
          <w:ilvl w:val="0"/>
          <w:numId w:val="1000"/>
        </w:numPr>
      </w:pPr>
      <w:r>
        <w:t xml:space="preserve">NASA</w:t>
      </w:r>
    </w:p>
    <w:p>
      <w:pPr>
        <w:pStyle w:val="Compact"/>
        <w:numPr>
          <w:ilvl w:val="0"/>
          <w:numId w:val="1000"/>
        </w:numPr>
      </w:pPr>
      <w:r>
        <w:t xml:space="preserve">121.6 g (final accounting; 2023 capsule return)</w:t>
      </w:r>
    </w:p>
    <w:p>
      <w:pPr>
        <w:pStyle w:val="Compact"/>
        <w:numPr>
          <w:ilvl w:val="0"/>
          <w:numId w:val="1000"/>
        </w:numPr>
      </w:pPr>
      <w:r>
        <w:t xml:space="preserve">~$1.16B (lifecycle; 2016 launch through 2023 return)</w:t>
      </w:r>
    </w:p>
    <w:p>
      <w:pPr>
        <w:pStyle w:val="Compact"/>
        <w:numPr>
          <w:ilvl w:val="0"/>
          <w:numId w:val="1000"/>
        </w:numPr>
      </w:pPr>
      <w:r>
        <w:t xml:space="preserve">~$9.5M/g</w:t>
      </w:r>
    </w:p>
    <w:p>
      <w:pPr>
        <w:pStyle w:val="Compact"/>
        <w:numPr>
          <w:ilvl w:val="0"/>
          <w:numId w:val="1000"/>
        </w:numPr>
      </w:pPr>
      <w:r>
        <w:t xml:space="preserve">Single-mission, single-asteroid; primarily science-mission, not optimized for cost-per-gram.</w:t>
      </w:r>
    </w:p>
    <w:p>
      <w:pPr>
        <w:pStyle w:val="Compact"/>
        <w:numPr>
          <w:ilvl w:val="0"/>
          <w:numId w:val="1000"/>
        </w:numPr>
      </w:pPr>
      <w:r>
        <w:t xml:space="preserve"> </w:t>
      </w:r>
      <w:r>
        <w:t xml:space="preserve">Hayabusa2 → Ryugu</w:t>
      </w:r>
      <w:r>
        <w:t xml:space="preserve"> </w:t>
      </w:r>
    </w:p>
    <w:p>
      <w:pPr>
        <w:pStyle w:val="Compact"/>
        <w:numPr>
          <w:ilvl w:val="0"/>
          <w:numId w:val="1000"/>
        </w:numPr>
      </w:pPr>
      <w:r>
        <w:t xml:space="preserve">JAXA</w:t>
      </w:r>
    </w:p>
    <w:p>
      <w:pPr>
        <w:pStyle w:val="Compact"/>
        <w:numPr>
          <w:ilvl w:val="0"/>
          <w:numId w:val="1000"/>
        </w:numPr>
      </w:pPr>
      <w:r>
        <w:t xml:space="preserve">5.4 g (2020 capsule return)</w:t>
      </w:r>
    </w:p>
    <w:p>
      <w:pPr>
        <w:pStyle w:val="Compact"/>
        <w:numPr>
          <w:ilvl w:val="0"/>
          <w:numId w:val="1000"/>
        </w:numPr>
      </w:pPr>
      <w:r>
        <w:t xml:space="preserve">~$300M (lifecycle, 2014 launch through 2020 return)</w:t>
      </w:r>
    </w:p>
    <w:p>
      <w:pPr>
        <w:pStyle w:val="Compact"/>
        <w:numPr>
          <w:ilvl w:val="0"/>
          <w:numId w:val="1000"/>
        </w:numPr>
      </w:pPr>
      <w:r>
        <w:t xml:space="preserve">~$56M/g</w:t>
      </w:r>
    </w:p>
    <w:p>
      <w:pPr>
        <w:pStyle w:val="Compact"/>
        <w:numPr>
          <w:ilvl w:val="0"/>
          <w:numId w:val="1000"/>
        </w:numPr>
      </w:pPr>
      <w:r>
        <w:t xml:space="preserve">Smaller mission profile; technology-demonstration-and-science.</w:t>
      </w:r>
    </w:p>
    <w:p>
      <w:pPr>
        <w:pStyle w:val="Compact"/>
        <w:numPr>
          <w:ilvl w:val="0"/>
          <w:numId w:val="1000"/>
        </w:numPr>
      </w:pPr>
      <w:r>
        <w:t xml:space="preserve"> </w:t>
      </w:r>
      <w:r>
        <w:t xml:space="preserve">Hayabusa → Itokawa</w:t>
      </w:r>
      <w:r>
        <w:t xml:space="preserve"> </w:t>
      </w:r>
    </w:p>
    <w:p>
      <w:pPr>
        <w:pStyle w:val="Compact"/>
        <w:numPr>
          <w:ilvl w:val="0"/>
          <w:numId w:val="1000"/>
        </w:numPr>
      </w:pPr>
      <w:r>
        <w:t xml:space="preserve">JAXA</w:t>
      </w:r>
    </w:p>
    <w:p>
      <w:pPr>
        <w:pStyle w:val="Compact"/>
        <w:numPr>
          <w:ilvl w:val="0"/>
          <w:numId w:val="1000"/>
        </w:numPr>
      </w:pPr>
      <w:r>
        <w:t xml:space="preserve">1500 microscopic particles, ~mg total (2010 return)</w:t>
      </w:r>
    </w:p>
    <w:p>
      <w:pPr>
        <w:pStyle w:val="Compact"/>
        <w:numPr>
          <w:ilvl w:val="0"/>
          <w:numId w:val="1000"/>
        </w:numPr>
      </w:pPr>
      <w:r>
        <w:t xml:space="preserve">~$170M (lifecycle)</w:t>
      </w:r>
    </w:p>
    <w:p>
      <w:pPr>
        <w:pStyle w:val="Compact"/>
        <w:numPr>
          <w:ilvl w:val="0"/>
          <w:numId w:val="1000"/>
        </w:numPr>
      </w:pPr>
      <w:r>
        <w:t xml:space="preserve">n/a (sample-mass too small for meaningful $/g framing)</w:t>
      </w:r>
    </w:p>
    <w:p>
      <w:pPr>
        <w:pStyle w:val="Compact"/>
        <w:numPr>
          <w:ilvl w:val="0"/>
          <w:numId w:val="1000"/>
        </w:numPr>
      </w:pPr>
      <w:r>
        <w:t xml:space="preserve">First-generation; mission profile not optimized for sample mass.</w:t>
      </w:r>
    </w:p>
    <w:p>
      <w:pPr>
        <w:pStyle w:val="Compact"/>
        <w:numPr>
          <w:ilvl w:val="0"/>
          <w:numId w:val="1000"/>
        </w:numPr>
      </w:pPr>
      <w:r>
        <w:t xml:space="preserve"> </w:t>
      </w:r>
      <w:r>
        <w:t xml:space="preserve">Source:</w:t>
      </w:r>
      <w:r>
        <w:t xml:space="preserve"> </w:t>
      </w:r>
      <w:r>
        <w:t xml:space="preserve"> </w:t>
      </w:r>
      <w:r>
        <w:t xml:space="preserve">NASA OSIRIS-REx mission lifecycle accounting; JAXA Hayabusa/Hayabusa2 mission accounting;</w:t>
      </w:r>
      <w:r>
        <w:t xml:space="preserve"> </w:t>
      </w:r>
      <w:r>
        <w:t xml:space="preserve"> </w:t>
      </w:r>
      <w:r>
        <w:t xml:space="preserve">Nature Astronomy</w:t>
      </w:r>
      <w:r>
        <w:t xml:space="preserve"> </w:t>
      </w:r>
      <w:r>
        <w:t xml:space="preserve"> </w:t>
      </w:r>
      <w:r>
        <w:t xml:space="preserve">and</w:t>
      </w:r>
      <w:r>
        <w:t xml:space="preserve"> </w:t>
      </w:r>
      <w:r>
        <w:t xml:space="preserve"> </w:t>
      </w:r>
      <w:r>
        <w:t xml:space="preserve">Science</w:t>
      </w:r>
      <w:r>
        <w:t xml:space="preserve"> </w:t>
      </w:r>
      <w:r>
        <w:t xml:space="preserve"> </w:t>
      </w:r>
      <w:r>
        <w:t xml:space="preserve">coverage of sample-return missions.</w:t>
      </w:r>
    </w:p>
    <w:p>
      <w:pPr>
        <w:pStyle w:val="Compact"/>
        <w:numPr>
          <w:ilvl w:val="0"/>
          <w:numId w:val="1000"/>
        </w:numPr>
      </w:pPr>
      <w:r>
        <w:t xml:space="preserve"> </w:t>
      </w:r>
      <w:r>
        <w:t xml:space="preserve">Framing for Ch 7 calibration:</w:t>
      </w:r>
      <w:r>
        <w:t xml:space="preserve"> </w:t>
      </w:r>
      <w:r>
        <w:t xml:space="preserve"> </w:t>
      </w:r>
      <w:r>
        <w:t xml:space="preserve">science-mission sample-return at ~$9.5M/g (Bennu) is approximately</w:t>
      </w:r>
      <w:r>
        <w:t xml:space="preserve"> </w:t>
      </w:r>
      <w:r>
        <w:t xml:space="preserve"> </w:t>
      </w:r>
      <w:r>
        <w:t xml:space="preserve">5–7 orders of magnitude</w:t>
      </w:r>
      <w:r>
        <w:t xml:space="preserve"> </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w:t>
      </w:r>
      <w:r>
        <w:t xml:space="preserve"> </w:t>
      </w:r>
      <w:r>
        <w:t xml:space="preserve">“RCV approaches market price for asteroid iron”</w:t>
      </w:r>
      <w:r>
        <w:t xml:space="preserve"> </w:t>
      </w:r>
      <w:r>
        <w:t xml:space="preserve">claim depends on cost-per-kg dropping by ~6 orders of magnitude relative to current science-mission economics, AND on substitutability remaining high (which is the core CIT claim, not a launch-cost-dependent claim).</w:t>
      </w:r>
    </w:p>
    <w:p>
      <w:pPr>
        <w:pStyle w:val="Compact"/>
        <w:numPr>
          <w:ilvl w:val="0"/>
          <w:numId w:val="1000"/>
        </w:numPr>
      </w:pPr>
      <w:r>
        <w:t xml:space="preserve">Asteroid-mining commercial-proposal cost estimates (for context)</w:t>
      </w:r>
    </w:p>
    <w:p>
      <w:pPr>
        <w:pStyle w:val="Compact"/>
        <w:numPr>
          <w:ilvl w:val="0"/>
          <w:numId w:val="1000"/>
        </w:numPr>
      </w:pPr>
      <w:r>
        <w:t xml:space="preserve">Source</w:t>
      </w:r>
    </w:p>
    <w:p>
      <w:pPr>
        <w:pStyle w:val="Compact"/>
        <w:numPr>
          <w:ilvl w:val="0"/>
          <w:numId w:val="1000"/>
        </w:numPr>
      </w:pPr>
      <w:r>
        <w:t xml:space="preserve">Asteroid-mining cost per ton extracted material (target / projection)</w:t>
      </w:r>
    </w:p>
    <w:p>
      <w:pPr>
        <w:pStyle w:val="Compact"/>
        <w:numPr>
          <w:ilvl w:val="0"/>
          <w:numId w:val="1000"/>
        </w:numPr>
      </w:pPr>
      <w:r>
        <w:t xml:space="preserve">Notes</w:t>
      </w:r>
    </w:p>
    <w:p>
      <w:pPr>
        <w:pStyle w:val="Compact"/>
        <w:numPr>
          <w:ilvl w:val="0"/>
          <w:numId w:val="1000"/>
        </w:numPr>
      </w:pPr>
      <w:r>
        <w:t xml:space="preserve"> </w:t>
      </w:r>
      <w:r>
        <w:t xml:space="preserve">Keck Institute Asteroid Retrieval Mission Study</w:t>
      </w:r>
      <w:r>
        <w:t xml:space="preserve"> </w:t>
      </w:r>
      <w:r>
        <w:t xml:space="preserve"> </w:t>
      </w:r>
      <w:r>
        <w:t xml:space="preserve">(2012)</w:t>
      </w:r>
    </w:p>
    <w:p>
      <w:pPr>
        <w:pStyle w:val="Compact"/>
        <w:numPr>
          <w:ilvl w:val="0"/>
          <w:numId w:val="1000"/>
        </w:numPr>
      </w:pPr>
      <w:r>
        <w:t xml:space="preserve">~$2.6B for retrieval of a 7-ton asteroid to lunar orbit (~$370,000/kg retrieved)</w:t>
      </w:r>
    </w:p>
    <w:p>
      <w:pPr>
        <w:pStyle w:val="Compact"/>
        <w:numPr>
          <w:ilvl w:val="0"/>
          <w:numId w:val="1000"/>
        </w:numPr>
      </w:pPr>
      <w:r>
        <w:t xml:space="preserve">Pre-Starship; mission profile assumes existing launch infrastructure.</w:t>
      </w:r>
    </w:p>
    <w:p>
      <w:pPr>
        <w:pStyle w:val="Compact"/>
        <w:numPr>
          <w:ilvl w:val="0"/>
          <w:numId w:val="1000"/>
        </w:numPr>
      </w:pPr>
      <w:r>
        <w:t xml:space="preserve"> </w:t>
      </w:r>
      <w:r>
        <w:t xml:space="preserve">Planetary Resources commercial estimates</w:t>
      </w:r>
      <w:r>
        <w:t xml:space="preserve"> </w:t>
      </w:r>
      <w:r>
        <w:t xml:space="preserve"> </w:t>
      </w:r>
      <w:r>
        <w:t xml:space="preserve">(2013–2018, pre-acquisition)</w:t>
      </w:r>
    </w:p>
    <w:p>
      <w:pPr>
        <w:pStyle w:val="Compact"/>
        <w:numPr>
          <w:ilvl w:val="0"/>
          <w:numId w:val="1000"/>
        </w:numPr>
      </w:pPr>
      <w:r>
        <w:t xml:space="preserve">$50–$500/kg at scale (water; iron); not validated by operational missions</w:t>
      </w:r>
    </w:p>
    <w:p>
      <w:pPr>
        <w:pStyle w:val="Compact"/>
        <w:numPr>
          <w:ilvl w:val="0"/>
          <w:numId w:val="1000"/>
        </w:numPr>
      </w:pPr>
      <w:r>
        <w:t xml:space="preserve">Company-stated targets; broadly skeptical reception in space-economics literature.</w:t>
      </w:r>
    </w:p>
    <w:p>
      <w:pPr>
        <w:pStyle w:val="Compact"/>
        <w:numPr>
          <w:ilvl w:val="0"/>
          <w:numId w:val="1000"/>
        </w:numPr>
      </w:pPr>
      <w:r>
        <w:t xml:space="preserve"> </w:t>
      </w:r>
      <w:r>
        <w:t xml:space="preserve">Deep Space Industries commercial estimates</w:t>
      </w:r>
      <w:r>
        <w:t xml:space="preserve"> </w:t>
      </w:r>
      <w:r>
        <w:t xml:space="preserve"> </w:t>
      </w:r>
      <w:r>
        <w:t xml:space="preserve">(2013–2018, pre-acquisition)</w:t>
      </w:r>
    </w:p>
    <w:p>
      <w:pPr>
        <w:pStyle w:val="Compact"/>
        <w:numPr>
          <w:ilvl w:val="0"/>
          <w:numId w:val="1000"/>
        </w:numPr>
      </w:pPr>
      <w:r>
        <w:t xml:space="preserve">Comparable order of magnitude to Planetary Resources estimates</w:t>
      </w:r>
    </w:p>
    <w:p>
      <w:pPr>
        <w:pStyle w:val="Compact"/>
        <w:numPr>
          <w:ilvl w:val="0"/>
          <w:numId w:val="1000"/>
        </w:numPr>
      </w:pPr>
      <w:r>
        <w:t xml:space="preserve">Same caveat.</w:t>
      </w:r>
    </w:p>
    <w:p>
      <w:pPr>
        <w:pStyle w:val="Compact"/>
        <w:numPr>
          <w:ilvl w:val="0"/>
          <w:numId w:val="1000"/>
        </w:numPr>
      </w:pPr>
      <w:r>
        <w:t xml:space="preserve"> </w:t>
      </w:r>
      <w:r>
        <w:t xml:space="preserve">Source:</w:t>
      </w:r>
      <w:r>
        <w:t xml:space="preserve"> </w:t>
      </w:r>
      <w:r>
        <w:t xml:space="preserve"> </w:t>
      </w:r>
      <w:r>
        <w:t xml:space="preserve">Keck Institute for Space Studies,</w:t>
      </w:r>
      <w:r>
        <w:t xml:space="preserve"> </w:t>
      </w:r>
      <w:r>
        <w:t xml:space="preserve"> </w:t>
      </w:r>
      <w:r>
        <w:t xml:space="preserve">Asteroid Retrieval Mission Study</w:t>
      </w:r>
      <w:r>
        <w:t xml:space="preserve"> </w:t>
      </w:r>
      <w:r>
        <w:t xml:space="preserve"> </w:t>
      </w:r>
      <w:r>
        <w:t xml:space="preserve">(2012); industry-presentation materials from Planetary Resources and Deep Space Industries;</w:t>
      </w:r>
      <w:r>
        <w:t xml:space="preserve"> </w:t>
      </w:r>
      <w:r>
        <w:t xml:space="preserve"> </w:t>
      </w:r>
      <w:r>
        <w:t xml:space="preserve">Space Resources Roundtable</w:t>
      </w:r>
      <w:r>
        <w:t xml:space="preserve"> </w:t>
      </w:r>
      <w:r>
        <w:t xml:space="preserve"> </w:t>
      </w:r>
      <w:r>
        <w:t xml:space="preserve">proceedings.</w:t>
      </w:r>
    </w:p>
    <w:p>
      <w:pPr>
        <w:pStyle w:val="Compact"/>
        <w:numPr>
          <w:ilvl w:val="0"/>
          <w:numId w:val="1000"/>
        </w:numPr>
      </w:pPr>
      <w:r>
        <w:t xml:space="preserve"> </w:t>
      </w:r>
      <w:r>
        <w:t xml:space="preserve">Caveat for Ch 7:</w:t>
      </w:r>
      <w:r>
        <w:t xml:space="preserve"> </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w:t>
      </w:r>
      <w:r>
        <w:t xml:space="preserve"> </w:t>
      </w:r>
      <w:r>
        <w:t xml:space="preserve">“asteroid iron is approximately market-priced under any reasonable accountability bond”</w:t>
      </w:r>
      <w:r>
        <w:t xml:space="preserve"> </w:t>
      </w:r>
      <w:r>
        <w:t xml:space="preserve">is robust to wide variance in this projection because the structural argument is about substitutability and externality (both ~0 for asteroid iron), not about specific cost-per-kg numbers.</w:t>
      </w:r>
    </w:p>
    <w:p>
      <w:pPr>
        <w:pStyle w:val="Compact"/>
        <w:numPr>
          <w:ilvl w:val="0"/>
          <w:numId w:val="1000"/>
        </w:numPr>
      </w:pPr>
      <w:r>
        <w:t xml:space="preserve">Mars surface-operations cost reference (for thought-experiment grounding)</w:t>
      </w:r>
    </w:p>
    <w:p>
      <w:pPr>
        <w:pStyle w:val="Compact"/>
        <w:numPr>
          <w:ilvl w:val="0"/>
          <w:numId w:val="1000"/>
        </w:numPr>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w:t>
      </w:r>
      <w:r>
        <w:t xml:space="preserve"> </w:t>
      </w:r>
      <w:r>
        <w:t xml:space="preserve">“small colony”</w:t>
      </w:r>
      <w:r>
        <w:t xml:space="preserve"> </w:t>
      </w:r>
      <w:r>
        <w:t xml:space="preserve">framing in plausible-not-fantasy economics — the colony exists at the boundary of what operational Mars-surface presence has achieved, not at orders of magnitude beyond it.</w:t>
      </w:r>
    </w:p>
    <w:p>
      <w:pPr>
        <w:pStyle w:val="Compact"/>
        <w:numPr>
          <w:ilvl w:val="0"/>
          <w:numId w:val="1000"/>
        </w:numPr>
      </w:pPr>
      <w:r>
        <w:t xml:space="preserve">Mission</w:t>
      </w:r>
    </w:p>
    <w:p>
      <w:pPr>
        <w:pStyle w:val="Compact"/>
        <w:numPr>
          <w:ilvl w:val="0"/>
          <w:numId w:val="1000"/>
        </w:numPr>
      </w:pPr>
      <w:r>
        <w:t xml:space="preserve">Operator</w:t>
      </w:r>
    </w:p>
    <w:p>
      <w:pPr>
        <w:pStyle w:val="Compact"/>
        <w:numPr>
          <w:ilvl w:val="0"/>
          <w:numId w:val="1000"/>
        </w:numPr>
      </w:pPr>
      <w:r>
        <w:t xml:space="preserve">Delivered Mars surface mass</w:t>
      </w:r>
    </w:p>
    <w:p>
      <w:pPr>
        <w:pStyle w:val="Compact"/>
        <w:numPr>
          <w:ilvl w:val="0"/>
          <w:numId w:val="1000"/>
        </w:numPr>
      </w:pPr>
      <w:r>
        <w:t xml:space="preserve">Mission cost (USD, mission-vintage)</w:t>
      </w:r>
    </w:p>
    <w:p>
      <w:pPr>
        <w:pStyle w:val="Compact"/>
        <w:numPr>
          <w:ilvl w:val="0"/>
          <w:numId w:val="1000"/>
        </w:numPr>
      </w:pPr>
      <w:r>
        <w:t xml:space="preserve">Cost per kg surface-delivered</w:t>
      </w:r>
    </w:p>
    <w:p>
      <w:pPr>
        <w:pStyle w:val="Compact"/>
        <w:numPr>
          <w:ilvl w:val="0"/>
          <w:numId w:val="1000"/>
        </w:numPr>
      </w:pPr>
      <w:r>
        <w:t xml:space="preserve"> </w:t>
      </w:r>
      <w:r>
        <w:t xml:space="preserve">Curiosity (Mars Science Laboratory)</w:t>
      </w:r>
      <w:r>
        <w:t xml:space="preserve"> </w:t>
      </w:r>
    </w:p>
    <w:p>
      <w:pPr>
        <w:pStyle w:val="Compact"/>
        <w:numPr>
          <w:ilvl w:val="0"/>
          <w:numId w:val="1000"/>
        </w:numPr>
      </w:pPr>
      <w:r>
        <w:t xml:space="preserve">NASA</w:t>
      </w:r>
    </w:p>
    <w:p>
      <w:pPr>
        <w:pStyle w:val="Compact"/>
        <w:numPr>
          <w:ilvl w:val="0"/>
          <w:numId w:val="1000"/>
        </w:numPr>
      </w:pPr>
      <w:r>
        <w:t xml:space="preserve">899 kg rover (2012 landing)</w:t>
      </w:r>
    </w:p>
    <w:p>
      <w:pPr>
        <w:pStyle w:val="Compact"/>
        <w:numPr>
          <w:ilvl w:val="0"/>
          <w:numId w:val="1000"/>
        </w:numPr>
      </w:pPr>
      <w:r>
        <w:t xml:space="preserve">~$2.5B lifecycle</w:t>
      </w:r>
    </w:p>
    <w:p>
      <w:pPr>
        <w:pStyle w:val="Compact"/>
        <w:numPr>
          <w:ilvl w:val="0"/>
          <w:numId w:val="1000"/>
        </w:numPr>
      </w:pPr>
      <w:r>
        <w:t xml:space="preserve">~$2.8M/kg surface-delivered</w:t>
      </w:r>
    </w:p>
    <w:p>
      <w:pPr>
        <w:pStyle w:val="Compact"/>
        <w:numPr>
          <w:ilvl w:val="0"/>
          <w:numId w:val="1000"/>
        </w:numPr>
      </w:pPr>
      <w:r>
        <w:t xml:space="preserve"> </w:t>
      </w:r>
      <w:r>
        <w:t xml:space="preserve">Perseverance (Mars 2020)</w:t>
      </w:r>
      <w:r>
        <w:t xml:space="preserve"> </w:t>
      </w:r>
    </w:p>
    <w:p>
      <w:pPr>
        <w:pStyle w:val="Compact"/>
        <w:numPr>
          <w:ilvl w:val="0"/>
          <w:numId w:val="1000"/>
        </w:numPr>
      </w:pPr>
      <w:r>
        <w:t xml:space="preserve">NASA</w:t>
      </w:r>
    </w:p>
    <w:p>
      <w:pPr>
        <w:pStyle w:val="Compact"/>
        <w:numPr>
          <w:ilvl w:val="0"/>
          <w:numId w:val="1000"/>
        </w:numPr>
      </w:pPr>
      <w:r>
        <w:t xml:space="preserve">1,025 kg rover (2021 landing)</w:t>
      </w:r>
    </w:p>
    <w:p>
      <w:pPr>
        <w:pStyle w:val="Compact"/>
        <w:numPr>
          <w:ilvl w:val="0"/>
          <w:numId w:val="1000"/>
        </w:numPr>
      </w:pPr>
      <w:r>
        <w:t xml:space="preserve">~$2.7B lifecycle</w:t>
      </w:r>
    </w:p>
    <w:p>
      <w:pPr>
        <w:pStyle w:val="Compact"/>
        <w:numPr>
          <w:ilvl w:val="0"/>
          <w:numId w:val="1000"/>
        </w:numPr>
      </w:pPr>
      <w:r>
        <w:t xml:space="preserve">~$2.6M/kg surface-delivered</w:t>
      </w:r>
    </w:p>
    <w:p>
      <w:pPr>
        <w:pStyle w:val="Compact"/>
        <w:numPr>
          <w:ilvl w:val="0"/>
          <w:numId w:val="1000"/>
        </w:numPr>
      </w:pPr>
      <w:r>
        <w:t xml:space="preserve"> </w:t>
      </w:r>
      <w:r>
        <w:t xml:space="preserve">InSight</w:t>
      </w:r>
      <w:r>
        <w:t xml:space="preserve"> </w:t>
      </w:r>
    </w:p>
    <w:p>
      <w:pPr>
        <w:pStyle w:val="Compact"/>
        <w:numPr>
          <w:ilvl w:val="0"/>
          <w:numId w:val="1000"/>
        </w:numPr>
      </w:pPr>
      <w:r>
        <w:t xml:space="preserve">NASA</w:t>
      </w:r>
    </w:p>
    <w:p>
      <w:pPr>
        <w:pStyle w:val="Compact"/>
        <w:numPr>
          <w:ilvl w:val="0"/>
          <w:numId w:val="1000"/>
        </w:numPr>
      </w:pPr>
      <w:r>
        <w:t xml:space="preserve">358 kg lander (2018 landing)</w:t>
      </w:r>
    </w:p>
    <w:p>
      <w:pPr>
        <w:pStyle w:val="Compact"/>
        <w:numPr>
          <w:ilvl w:val="0"/>
          <w:numId w:val="1000"/>
        </w:numPr>
      </w:pPr>
      <w:r>
        <w:t xml:space="preserve">~$830M lifecycle</w:t>
      </w:r>
    </w:p>
    <w:p>
      <w:pPr>
        <w:pStyle w:val="Compact"/>
        <w:numPr>
          <w:ilvl w:val="0"/>
          <w:numId w:val="1000"/>
        </w:numPr>
      </w:pPr>
      <w:r>
        <w:t xml:space="preserve">~$2.3M/kg surface-delivered</w:t>
      </w:r>
    </w:p>
    <w:p>
      <w:pPr>
        <w:pStyle w:val="Compact"/>
        <w:numPr>
          <w:ilvl w:val="0"/>
          <w:numId w:val="1000"/>
        </w:numPr>
      </w:pPr>
      <w:r>
        <w:t xml:space="preserve"> </w:t>
      </w:r>
      <w:r>
        <w:t xml:space="preserve">Source:</w:t>
      </w:r>
      <w:r>
        <w:t xml:space="preserve"> </w:t>
      </w:r>
      <w:r>
        <w:t xml:space="preserve"> </w:t>
      </w:r>
      <w:r>
        <w:t xml:space="preserve">NASA mission lifecycle accounting;</w:t>
      </w:r>
      <w:r>
        <w:t xml:space="preserve"> </w:t>
      </w:r>
      <w:r>
        <w:t xml:space="preserve"> </w:t>
      </w:r>
      <w:r>
        <w:t xml:space="preserve">Planetary Society</w:t>
      </w:r>
      <w:r>
        <w:t xml:space="preserve"> </w:t>
      </w:r>
      <w:r>
        <w:t xml:space="preserve"> </w:t>
      </w:r>
      <w:r>
        <w:t xml:space="preserve">mission cost analyses.</w:t>
      </w:r>
    </w:p>
    <w:p>
      <w:pPr>
        <w:pStyle w:val="Compact"/>
        <w:numPr>
          <w:ilvl w:val="0"/>
          <w:numId w:val="1000"/>
        </w:numPr>
      </w:pPr>
      <w:r>
        <w:t xml:space="preserve"> </w:t>
      </w:r>
      <w:r>
        <w:t xml:space="preserve">Order-of-magnitude framing:</w:t>
      </w:r>
      <w:r>
        <w:t xml:space="preserve"> </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pPr>
        <w:pStyle w:val="Compact"/>
        <w:numPr>
          <w:ilvl w:val="0"/>
          <w:numId w:val="1000"/>
        </w:numPr>
      </w:pPr>
      <w:r>
        <w:t xml:space="preserve">§11.11 — IPG-table reconciliation (33-122x canonical → 50-555x triangulated range)</w:t>
      </w:r>
    </w:p>
    <w:p>
      <w:pPr>
        <w:pStyle w:val="Compact"/>
        <w:numPr>
          <w:ilvl w:val="0"/>
          <w:numId w:val="1000"/>
        </w:numPr>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t xml:space="preserve"> </w:t>
      </w:r>
      <w:r>
        <w:t xml:space="preserve">50–555×</w:t>
      </w:r>
      <w:r>
        <w:t xml:space="preserve"> </w:t>
      </w:r>
      <w:r>
        <w:t xml:space="preserve"> </w:t>
      </w:r>
      <w:r>
        <w:t xml:space="preserve">across Methods 1+2+3 with Method 3 α-dominance applied.</w:t>
      </w:r>
      <w:r>
        <w:t xml:space="preserve"> </w:t>
      </w:r>
      <w:r>
        <w:t xml:space="preserve">Reconciliation finding:</w:t>
      </w:r>
    </w:p>
    <w:p>
      <w:pPr>
        <w:pStyle w:val="Compact"/>
        <w:numPr>
          <w:ilvl w:val="0"/>
          <w:numId w:val="1000"/>
        </w:numPr>
      </w:pPr>
      <w:r>
        <w:t xml:space="preserve"> </w:t>
      </w:r>
      <w:r>
        <w:t xml:space="preserve">The two ranges are not in tension.</w:t>
      </w:r>
      <w:r>
        <w:t xml:space="preserve"> </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pStyle w:val="Compact"/>
        <w:numPr>
          <w:ilvl w:val="0"/>
          <w:numId w:val="1000"/>
        </w:numPr>
      </w:pPr>
      <w:r>
        <w:t xml:space="preserve"> </w:t>
      </w:r>
      <w:r>
        <w:t xml:space="preserve">The variance reflects time-horizon attribution, not framework imprecision.</w:t>
      </w:r>
      <w:r>
        <w:t xml:space="preserve"> </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pStyle w:val="Compact"/>
        <w:numPr>
          <w:ilvl w:val="0"/>
          <w:numId w:val="1000"/>
        </w:numPr>
      </w:pPr>
      <w:r>
        <w:t xml:space="preserve"> </w:t>
      </w:r>
      <w:r>
        <w:t xml:space="preserve">Pedagogical implication for Ch 6:</w:t>
      </w:r>
      <w:r>
        <w:t xml:space="preserve"> </w:t>
      </w:r>
      <w:r>
        <w:t xml:space="preserve"> </w:t>
      </w:r>
      <w:r>
        <w:t xml:space="preserve">when Ch 6 walks through the McDowell</w:t>
      </w:r>
      <w:r>
        <w:t xml:space="preserve"> </w:t>
      </w:r>
      <w:r>
        <w:t xml:space="preserve">convergence table, the reconciliation should be made explicit —</w:t>
      </w:r>
      <w:r>
        <w:t xml:space="preserve"> </w:t>
      </w:r>
      <w:r>
        <w:t xml:space="preserve"> </w:t>
      </w:r>
      <w:r>
        <w:t xml:space="preserve">“the canonical 33–122×</w:t>
      </w:r>
      <w:r>
        <w:t xml:space="preserve"> </w:t>
      </w:r>
      <w:r>
        <w:t xml:space="preserve">report and the triangulated 50–555× range both correctly describe McDowell’s IPG, at</w:t>
      </w:r>
      <w:r>
        <w:t xml:space="preserve"> </w:t>
      </w:r>
      <w:r>
        <w:t xml:space="preserve">different time-horizons. The framework is not committed to a single number; it is committed</w:t>
      </w:r>
      <w:r>
        <w:t xml:space="preserve"> </w:t>
      </w:r>
      <w:r>
        <w:t xml:space="preserve">to a method that makes the time-horizon attribution explicit.”</w:t>
      </w:r>
      <w:r>
        <w:t xml:space="preserve"> </w:t>
      </w:r>
    </w:p>
    <w:p>
      <w:pPr>
        <w:pStyle w:val="Compact"/>
        <w:numPr>
          <w:ilvl w:val="0"/>
          <w:numId w:val="1000"/>
        </w:numPr>
      </w:pPr>
      <w:r>
        <w:t xml:space="preserve"> </w:t>
      </w:r>
      <w:r>
        <w:t xml:space="preserve">Pedagogical implication for Ch 8:</w:t>
      </w:r>
      <w:r>
        <w:t xml:space="preserve"> </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Compact"/>
        <w:numPr>
          <w:ilvl w:val="0"/>
          <w:numId w:val="1000"/>
        </w:numPr>
      </w:pPr>
      <w:r>
        <w:t xml:space="preserve">The reconciliation establishes that the IPG variance across reports</w:t>
      </w:r>
      <w:r>
        <w:t xml:space="preserve"> </w:t>
      </w:r>
      <w:r>
        <w:t xml:space="preserve">is not framework-imprecision but time-horizon-attribution discipline.</w:t>
      </w:r>
    </w:p>
    <w:p>
      <w:pPr>
        <w:pStyle w:val="Compact"/>
        <w:numPr>
          <w:ilvl w:val="0"/>
          <w:numId w:val="1000"/>
        </w:numPr>
      </w:pPr>
      <w:r>
        <w:t xml:space="preserve">§12. Boundary-Awareness Scope Claim (Mars/Europa illustrations)</w:t>
      </w:r>
    </w:p>
    <w:p>
      <w:pPr>
        <w:pStyle w:val="Compact"/>
        <w:numPr>
          <w:ilvl w:val="0"/>
          <w:numId w:val="1000"/>
        </w:numPr>
      </w:pPr>
      <w:r>
        <w:t xml:space="preserve">The Mars/Europa scenarios below stand as boundary-awareness illustrations of where the framework reaches and where its boundary conditions surface.</w:t>
      </w:r>
    </w:p>
    <w:p>
      <w:pPr>
        <w:pStyle w:val="Compact"/>
        <w:numPr>
          <w:ilvl w:val="0"/>
          <w:numId w:val="1000"/>
        </w:numPr>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p>
      <w:pPr>
        <w:pStyle w:val="Compact"/>
        <w:numPr>
          <w:ilvl w:val="0"/>
          <w:numId w:val="1000"/>
        </w:numPr>
      </w:pPr>
      <w:r>
        <w:t xml:space="preserve">Scenario 1: Mars Colony Water (10,000 people, 50-year supply, three deposits)</w:t>
      </w:r>
    </w:p>
    <w:p>
      <w:pPr>
        <w:pStyle w:val="Compact"/>
        <w:numPr>
          <w:ilvl w:val="0"/>
          <w:numId w:val="1000"/>
        </w:numPr>
      </w:pPr>
      <w:r>
        <w:t xml:space="preserve">Parameters: S ≈ 0 (no water substitute at required scale), U enormous (survival-critical), E(t) ≈ 0 (water waste is recyclable), Q is small and fixed.</w:t>
      </w:r>
    </w:p>
    <w:p>
      <w:pPr>
        <w:pStyle w:val="Compact"/>
        <w:numPr>
          <w:ilvl w:val="0"/>
          <w:numId w:val="1000"/>
        </w:numPr>
      </w:pPr>
      <w:r>
        <w:t xml:space="preserve">Framework output: RCV very high. Strategic reserves mandatory. Progressive pricing to manage consumption rate. Aggressive investment in recycling to increase effective Q.</w:t>
      </w:r>
    </w:p>
    <w:p>
      <w:pPr>
        <w:pStyle w:val="Compact"/>
        <w:numPr>
          <w:ilvl w:val="0"/>
          <w:numId w:val="1000"/>
        </w:numPr>
      </w:pPr>
      <w:r>
        <w:t xml:space="preserve">Administrator’s obvious decision: Identical — conserve with reserves, price progressively, invest in recycling.</w:t>
      </w:r>
    </w:p>
    <w:p>
      <w:pPr>
        <w:pStyle w:val="Compact"/>
        <w:numPr>
          <w:ilvl w:val="0"/>
          <w:numId w:val="1000"/>
        </w:numPr>
      </w:pPr>
      <w:r>
        <w:t xml:space="preserve">Validation: ✓ Framework produces obviously correct answer. Key insight: cost severance goes to zero because the administrator is the community bearing the cost. No distance between extractor and cost-bearer → no CS. Cost severance requires distance.</w:t>
      </w:r>
    </w:p>
    <w:p>
      <w:pPr>
        <w:pStyle w:val="Compact"/>
        <w:numPr>
          <w:ilvl w:val="0"/>
          <w:numId w:val="1000"/>
        </w:numPr>
      </w:pPr>
      <w:r>
        <w:t xml:space="preserve">Scenario 2: Asteroid Iron Mining (abundant, lifeless, remote)</w:t>
      </w:r>
    </w:p>
    <w:p>
      <w:pPr>
        <w:pStyle w:val="Compact"/>
        <w:numPr>
          <w:ilvl w:val="0"/>
          <w:numId w:val="1000"/>
        </w:numPr>
      </w:pPr>
      <w:r>
        <w:t xml:space="preserve">Parameters: S → 1 (iron has abundant substitutes and alternatives), U low (iron not scarce), E(t) ≈ 0 (no communities, no atmosphere to damage), Q effectively unlimited.</w:t>
      </w:r>
    </w:p>
    <w:p>
      <w:pPr>
        <w:pStyle w:val="Compact"/>
        <w:numPr>
          <w:ilvl w:val="0"/>
          <w:numId w:val="1000"/>
        </w:numPr>
      </w:pPr>
      <w:r>
        <w:t xml:space="preserve">Framework output: RCV ≈ 0. Extract freely.</w:t>
      </w:r>
    </w:p>
    <w:p>
      <w:pPr>
        <w:pStyle w:val="Compact"/>
        <w:numPr>
          <w:ilvl w:val="0"/>
          <w:numId w:val="1000"/>
        </w:numPr>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p>
      <w:pPr>
        <w:pStyle w:val="Compact"/>
        <w:numPr>
          <w:ilvl w:val="0"/>
          <w:numId w:val="1000"/>
        </w:numPr>
      </w:pPr>
      <w:r>
        <w:t xml:space="preserve">Scenario 3: Lunar Helium-3 (potentially critical for fusion energy)</w:t>
      </w:r>
    </w:p>
    <w:p>
      <w:pPr>
        <w:pStyle w:val="Compact"/>
        <w:numPr>
          <w:ilvl w:val="0"/>
          <w:numId w:val="1000"/>
        </w:numPr>
      </w:pPr>
      <w:r>
        <w:t xml:space="preserve">Parameters: S uncertain (depends on fusion development timeline), U potentially enormous (civilizational energy technology), E(t) ≈ 0 (no biosphere), Q limited in accessible deposits.</w:t>
      </w:r>
    </w:p>
    <w:p>
      <w:pPr>
        <w:pStyle w:val="Compact"/>
        <w:numPr>
          <w:ilvl w:val="0"/>
          <w:numId w:val="1000"/>
        </w:numPr>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Compact"/>
        <w:numPr>
          <w:ilvl w:val="0"/>
          <w:numId w:val="1000"/>
        </w:numPr>
      </w:pPr>
      <w:r>
        <w:t xml:space="preserve">Validation: ✓ Framework correctly handles uncertain criticality: when the cost of preservation is near zero and the potential cost of premature extraction is enormous, preserve. Asymmetric regret principle applies.</w:t>
      </w:r>
    </w:p>
    <w:p>
      <w:pPr>
        <w:pStyle w:val="Compact"/>
        <w:numPr>
          <w:ilvl w:val="0"/>
          <w:numId w:val="1000"/>
        </w:numPr>
      </w:pPr>
      <w:r>
        <w:t xml:space="preserve">Scenario 4: Comet Flyby Volatiles (access window closes permanently)</w:t>
      </w:r>
    </w:p>
    <w:p>
      <w:pPr>
        <w:pStyle w:val="Compact"/>
        <w:numPr>
          <w:ilvl w:val="0"/>
          <w:numId w:val="1000"/>
        </w:numPr>
      </w:pPr>
      <w:r>
        <w:t xml:space="preserve">Parameters: S depends on resource; Q abundant in the comet; E(t) ≈ 0; but access is a one-time event — the comet passes once.</w:t>
      </w:r>
    </w:p>
    <w:p>
      <w:pPr>
        <w:pStyle w:val="Compact"/>
        <w:numPr>
          <w:ilvl w:val="0"/>
          <w:numId w:val="1000"/>
        </w:numPr>
      </w:pPr>
      <w:r>
        <w:t xml:space="preserve">Framework output: Extract aggressively during the access window. The asymmetric regret principle flips — you cannot un-miss the comet. The option to extract later does not exist.</w:t>
      </w:r>
    </w:p>
    <w:p>
      <w:pPr>
        <w:pStyle w:val="Compact"/>
        <w:numPr>
          <w:ilvl w:val="0"/>
          <w:numId w:val="1000"/>
        </w:numPr>
      </w:pPr>
      <w:r>
        <w:t xml:space="preserve">Validation: ✓ Framework correctly identifies that the source geometry changes the calculus. Not anti-extraction — extract when RCV is low and preservation is impossible. The model differentiates correctly between</w:t>
      </w:r>
      <w:r>
        <w:t xml:space="preserve"> </w:t>
      </w:r>
      <w:r>
        <w:t xml:space="preserve">“leave it in the ground”</w:t>
      </w:r>
      <w:r>
        <w:t xml:space="preserve"> </w:t>
      </w:r>
      <w:r>
        <w:t xml:space="preserve">(Earth rare earths) and</w:t>
      </w:r>
      <w:r>
        <w:t xml:space="preserve"> </w:t>
      </w:r>
      <w:r>
        <w:t xml:space="preserve">“extract now before the window closes”</w:t>
      </w:r>
      <w:r>
        <w:t xml:space="preserve"> </w:t>
      </w:r>
      <w:r>
        <w:t xml:space="preserve">(comet flyby).</w:t>
      </w:r>
    </w:p>
    <w:p>
      <w:pPr>
        <w:pStyle w:val="Compact"/>
        <w:numPr>
          <w:ilvl w:val="0"/>
          <w:numId w:val="1000"/>
        </w:numPr>
      </w:pPr>
      <w:r>
        <w:t xml:space="preserve">Scenario 5: Mars Colony Rare Earth Mining (same population extracts and bears cost)</w:t>
      </w:r>
    </w:p>
    <w:p>
      <w:pPr>
        <w:pStyle w:val="Compact"/>
        <w:numPr>
          <w:ilvl w:val="0"/>
          <w:numId w:val="1000"/>
        </w:numPr>
      </w:pPr>
      <w:r>
        <w:t xml:space="preserve">Parameters: The colony mines its own subsurface rare earths. The extractor and the cost-bearer are the same people.</w:t>
      </w:r>
    </w:p>
    <w:p>
      <w:pPr>
        <w:pStyle w:val="Compact"/>
        <w:numPr>
          <w:ilvl w:val="0"/>
          <w:numId w:val="1000"/>
        </w:numPr>
      </w:pPr>
      <w:r>
        <w:t xml:space="preserve">Framework output: CS → 0. No cost severance possible.</w:t>
      </w:r>
    </w:p>
    <w:p>
      <w:pPr>
        <w:pStyle w:val="Compact"/>
        <w:numPr>
          <w:ilvl w:val="0"/>
          <w:numId w:val="1000"/>
        </w:numPr>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Compact"/>
        <w:numPr>
          <w:ilvl w:val="0"/>
          <w:numId w:val="1000"/>
        </w:numPr>
      </w:pPr>
      <w:r>
        <w:t xml:space="preserve">Validation: ✓ Framework reveals the mechanism’s structural prerequisite.</w:t>
      </w:r>
    </w:p>
    <w:p>
      <w:pPr>
        <w:pStyle w:val="Compact"/>
        <w:numPr>
          <w:ilvl w:val="0"/>
          <w:numId w:val="1000"/>
        </w:numPr>
      </w:pPr>
      <w:r>
        <w:t xml:space="preserve">Scenario 6: Europa Ice (potential independent biosphere)</w:t>
      </w:r>
    </w:p>
    <w:p>
      <w:pPr>
        <w:pStyle w:val="Compact"/>
        <w:numPr>
          <w:ilvl w:val="0"/>
          <w:numId w:val="1000"/>
        </w:numPr>
      </w:pPr>
      <w:r>
        <w:t xml:space="preserve">Parameters: Europa’s subsurface ocean may harbor independent life. E(R, t) potentially includes the destruction of an independent biosphere — a cost that is incommensurable with human utility scales.</w:t>
      </w:r>
    </w:p>
    <w:p>
      <w:pPr>
        <w:pStyle w:val="Compact"/>
        <w:numPr>
          <w:ilvl w:val="0"/>
          <w:numId w:val="1000"/>
        </w:numPr>
      </w:pPr>
      <w:r>
        <w:t xml:space="preserve">Framework output: The model reaches its boundary. The externality of potentially destroying an independent biosphere cannot be priced in commensurable units with U(R, t, Q(t)). The framework honestly reports:</w:t>
      </w:r>
      <w:r>
        <w:t xml:space="preserve"> </w:t>
      </w:r>
      <w:r>
        <w:t xml:space="preserve">“I cannot price this. The Asymmetric Regret Rule applies: wait, study, decide later. The insurance cost of non-extraction is near zero. The potential cost of extraction is incommensurable.”</w:t>
      </w:r>
    </w:p>
    <w:p>
      <w:pPr>
        <w:pStyle w:val="Compact"/>
        <w:numPr>
          <w:ilvl w:val="0"/>
          <w:numId w:val="1000"/>
        </w:numPr>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p>
      <w:pPr>
        <w:pStyle w:val="Compact"/>
        <w:numPr>
          <w:ilvl w:val="0"/>
          <w:numId w:val="1000"/>
        </w:numPr>
      </w:pPr>
      <w:r>
        <w:t xml:space="preserve">Scenario 7: Exoplanet Rare Earths (independent ecosystem, necessary resource)</w:t>
      </w:r>
    </w:p>
    <w:p>
      <w:pPr>
        <w:pStyle w:val="Compact"/>
        <w:numPr>
          <w:ilvl w:val="0"/>
          <w:numId w:val="1000"/>
        </w:numPr>
      </w:pPr>
      <w:r>
        <w:t xml:space="preserve">Parameters: The exoplanet has a biosphere (non-zero E), but civilization genuinely needs a specific resource (S ≈ 0, U is very high). Genuine tension between preservation and necessity.</w:t>
      </w:r>
    </w:p>
    <w:p>
      <w:pPr>
        <w:pStyle w:val="Compact"/>
        <w:numPr>
          <w:ilvl w:val="0"/>
          <w:numId w:val="1000"/>
        </w:numPr>
      </w:pPr>
      <w:r>
        <w:t xml:space="preserve">Framework output: Extract if necessary, but with extreme accountability, minimum footprint, and maximum substitution investment. The model does not resolve the incommensurability — it cannot — but it does clarify the decision structure: establish what</w:t>
      </w:r>
      <w:r>
        <w:t xml:space="preserve"> </w:t>
      </w:r>
      <w:r>
        <w:t xml:space="preserve">“necessary”</w:t>
      </w:r>
      <w:r>
        <w:t xml:space="preserve"> </w:t>
      </w:r>
      <w:r>
        <w:t xml:space="preserve">means (cannot S(t) be improved?), minimize extraction footprint, price all identifiable externalities, and invest in alternatives aggressively. The model provides a decision framework even at the boundary.</w:t>
      </w:r>
    </w:p>
    <w:p>
      <w:pPr>
        <w:pStyle w:val="Compact"/>
        <w:numPr>
          <w:ilvl w:val="0"/>
          <w:numId w:val="1000"/>
        </w:numPr>
      </w:pPr>
      <w:r>
        <w:t xml:space="preserve">Validation: ✓ Framework handles genuine value conflict by clarifying the decision structure without pretending to resolve the philosophical tension.</w:t>
      </w:r>
    </w:p>
    <w:p>
      <w:pPr>
        <w:pStyle w:val="Compact"/>
        <w:numPr>
          <w:ilvl w:val="0"/>
          <w:numId w:val="1000"/>
        </w:numPr>
      </w:pPr>
      <w:r>
        <w:t xml:space="preserve">§13. Substitutability Function (S) + Industrial-Existential Substitutability Gap</w:t>
      </w:r>
    </w:p>
    <w:p>
      <w:pPr>
        <w:pStyle w:val="Compact"/>
        <w:numPr>
          <w:ilvl w:val="0"/>
          <w:numId w:val="1000"/>
        </w:numPr>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t xml:space="preserve"> </w:t>
      </w:r>
      <w:r>
        <w:t xml:space="preserve">existential substitutability gap</w:t>
      </w:r>
      <w:r>
        <w:t xml:space="preserve"> </w:t>
      </w:r>
      <w:r>
        <w:t xml:space="preserve"> </w:t>
      </w:r>
      <w:r>
        <w:t xml:space="preserve">(lowercase descriptive phrase).</w:t>
      </w:r>
    </w:p>
    <w:p>
      <w:pPr>
        <w:pStyle w:val="Compact"/>
        <w:numPr>
          <w:ilvl w:val="0"/>
          <w:numId w:val="1000"/>
        </w:numPr>
      </w:pPr>
      <w:r>
        <w:t xml:space="preserve">§13.1 — Resource Classification by existential substitutability gap</w:t>
      </w:r>
    </w:p>
    <w:p>
      <w:pPr>
        <w:pStyle w:val="Compact"/>
        <w:numPr>
          <w:ilvl w:val="0"/>
          <w:numId w:val="1000"/>
        </w:numPr>
      </w:pPr>
      <w:r>
        <w:t xml:space="preserve">existential substitutability gap Level</w:t>
      </w:r>
    </w:p>
    <w:p>
      <w:pPr>
        <w:pStyle w:val="Compact"/>
        <w:numPr>
          <w:ilvl w:val="0"/>
          <w:numId w:val="1000"/>
        </w:numPr>
      </w:pPr>
      <w:r>
        <w:t xml:space="preserve">Resource Examples</w:t>
      </w:r>
    </w:p>
    <w:p>
      <w:pPr>
        <w:pStyle w:val="Compact"/>
        <w:numPr>
          <w:ilvl w:val="0"/>
          <w:numId w:val="1000"/>
        </w:numPr>
      </w:pPr>
      <w:r>
        <w:t xml:space="preserve">Policy Response</w:t>
      </w:r>
    </w:p>
    <w:p>
      <w:pPr>
        <w:pStyle w:val="Compact"/>
        <w:numPr>
          <w:ilvl w:val="0"/>
          <w:numId w:val="1000"/>
        </w:numPr>
      </w:pPr>
      <w:r>
        <w:t xml:space="preserve">existential substitutability gap ≈ 0</w:t>
      </w:r>
    </w:p>
    <w:p>
      <w:pPr>
        <w:pStyle w:val="Compact"/>
        <w:numPr>
          <w:ilvl w:val="0"/>
          <w:numId w:val="1000"/>
        </w:numPr>
      </w:pPr>
      <w:r>
        <w:t xml:space="preserve">Coal, sand, iron ore, common stone</w:t>
      </w:r>
    </w:p>
    <w:p>
      <w:pPr>
        <w:pStyle w:val="Compact"/>
        <w:numPr>
          <w:ilvl w:val="0"/>
          <w:numId w:val="1000"/>
        </w:numPr>
      </w:pPr>
      <w:r>
        <w:t xml:space="preserve">Price externalities; no strategic reserve</w:t>
      </w:r>
    </w:p>
    <w:p>
      <w:pPr>
        <w:pStyle w:val="Compact"/>
        <w:numPr>
          <w:ilvl w:val="0"/>
          <w:numId w:val="1000"/>
        </w:numPr>
      </w:pPr>
      <w:r>
        <w:t xml:space="preserve">Low existential substitutability gap</w:t>
      </w:r>
    </w:p>
    <w:p>
      <w:pPr>
        <w:pStyle w:val="Compact"/>
        <w:numPr>
          <w:ilvl w:val="0"/>
          <w:numId w:val="1000"/>
        </w:numPr>
      </w:pPr>
      <w:r>
        <w:t xml:space="preserve">Conventional oil, copper, zinc</w:t>
      </w:r>
    </w:p>
    <w:p>
      <w:pPr>
        <w:pStyle w:val="Compact"/>
        <w:numPr>
          <w:ilvl w:val="0"/>
          <w:numId w:val="1000"/>
        </w:numPr>
      </w:pPr>
      <w:r>
        <w:t xml:space="preserve">Full externality pricing; moderate reserve consideration</w:t>
      </w:r>
    </w:p>
    <w:p>
      <w:pPr>
        <w:pStyle w:val="Compact"/>
        <w:numPr>
          <w:ilvl w:val="0"/>
          <w:numId w:val="1000"/>
        </w:numPr>
      </w:pPr>
      <w:r>
        <w:t xml:space="preserve">Moderate existential substitutability gap</w:t>
      </w:r>
    </w:p>
    <w:p>
      <w:pPr>
        <w:pStyle w:val="Compact"/>
        <w:numPr>
          <w:ilvl w:val="0"/>
          <w:numId w:val="1000"/>
        </w:numPr>
      </w:pPr>
      <w:r>
        <w:t xml:space="preserve">Uranium, lithium, cobalt</w:t>
      </w:r>
    </w:p>
    <w:p>
      <w:pPr>
        <w:pStyle w:val="Compact"/>
        <w:numPr>
          <w:ilvl w:val="0"/>
          <w:numId w:val="1000"/>
        </w:numPr>
      </w:pPr>
      <w:r>
        <w:t xml:space="preserve">Externality pricing + strategic reserve assessment</w:t>
      </w:r>
    </w:p>
    <w:p>
      <w:pPr>
        <w:pStyle w:val="Compact"/>
        <w:numPr>
          <w:ilvl w:val="0"/>
          <w:numId w:val="1000"/>
        </w:numPr>
      </w:pPr>
      <w:r>
        <w:t xml:space="preserve">High existential substitutability gap</w:t>
      </w:r>
    </w:p>
    <w:p>
      <w:pPr>
        <w:pStyle w:val="Compact"/>
        <w:numPr>
          <w:ilvl w:val="0"/>
          <w:numId w:val="1000"/>
        </w:numPr>
      </w:pPr>
      <w:r>
        <w:t xml:space="preserve">Rare earth elements, platinum group metals</w:t>
      </w:r>
    </w:p>
    <w:p>
      <w:pPr>
        <w:pStyle w:val="Compact"/>
        <w:numPr>
          <w:ilvl w:val="0"/>
          <w:numId w:val="1000"/>
        </w:numPr>
      </w:pPr>
      <w:r>
        <w:t xml:space="preserve">Mandatory strategic reserves; export controls; substitution investment</w:t>
      </w:r>
    </w:p>
    <w:p>
      <w:pPr>
        <w:pStyle w:val="Compact"/>
        <w:numPr>
          <w:ilvl w:val="0"/>
          <w:numId w:val="1000"/>
        </w:numPr>
      </w:pPr>
      <w:r>
        <w:t xml:space="preserve">Conditionally High existential substitutability gap</w:t>
      </w:r>
    </w:p>
    <w:p>
      <w:pPr>
        <w:pStyle w:val="Compact"/>
        <w:numPr>
          <w:ilvl w:val="0"/>
          <w:numId w:val="1000"/>
        </w:numPr>
      </w:pPr>
      <w:r>
        <w:t xml:space="preserve">Helium-3, phosphorus, fossil aquifers</w:t>
      </w:r>
    </w:p>
    <w:p>
      <w:pPr>
        <w:pStyle w:val="Compact"/>
        <w:numPr>
          <w:ilvl w:val="0"/>
          <w:numId w:val="1000"/>
        </w:numPr>
      </w:pPr>
      <w:r>
        <w:t xml:space="preserve">Preserve pending technology development; reassess on defined schedule</w:t>
      </w:r>
    </w:p>
    <w:p>
      <w:pPr>
        <w:pStyle w:val="Compact"/>
        <w:numPr>
          <w:ilvl w:val="0"/>
          <w:numId w:val="1000"/>
        </w:numPr>
      </w:pPr>
      <w:r>
        <w:t xml:space="preserve">§13.2 — The Insurance Cost Argument</w:t>
      </w:r>
    </w:p>
    <w:p>
      <w:pPr>
        <w:pStyle w:val="Compact"/>
        <w:numPr>
          <w:ilvl w:val="0"/>
          <w:numId w:val="1000"/>
        </w:numPr>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p>
      <w:pPr>
        <w:pStyle w:val="Compact"/>
        <w:numPr>
          <w:ilvl w:val="0"/>
          <w:numId w:val="1000"/>
        </w:numPr>
      </w:pPr>
      <w:r>
        <w:t xml:space="preserve">§13.3 — The Four-Step Implementation Sequence (Chapter 9 connection)</w:t>
      </w:r>
    </w:p>
    <w:p>
      <w:pPr>
        <w:pStyle w:val="Compact"/>
        <w:numPr>
          <w:ilvl w:val="0"/>
          <w:numId w:val="1000"/>
        </w:numPr>
      </w:pPr>
      <w:r>
        <w:t xml:space="preserve">Classify: Assign existential substitutability gap rankings to all major resource classes using materials science, energy modeling, and aerospace engineering inputs.</w:t>
      </w:r>
    </w:p>
    <w:p>
      <w:pPr>
        <w:pStyle w:val="Compact"/>
        <w:numPr>
          <w:ilvl w:val="0"/>
          <w:numId w:val="1000"/>
        </w:numPr>
      </w:pPr>
      <w:r>
        <w:t xml:space="preserve">Reserve: Designate in-situ strategic reserves for high-existential substitutability gap resources. Do not extract and warehouse — the ground is free storage.</w:t>
      </w:r>
    </w:p>
    <w:p>
      <w:pPr>
        <w:pStyle w:val="Compact"/>
        <w:numPr>
          <w:ilvl w:val="0"/>
          <w:numId w:val="1000"/>
        </w:numPr>
      </w:pPr>
      <w:r>
        <w:t xml:space="preserve">Invest: Direct pricing surplus simultaneously into renewable substitute development (increases S(t)) and space access technology (opens alternative supply sources with lower RCV).</w:t>
      </w:r>
    </w:p>
    <w:p>
      <w:pPr>
        <w:pStyle w:val="Compact"/>
        <w:numPr>
          <w:ilvl w:val="0"/>
          <w:numId w:val="1000"/>
        </w:numPr>
      </w:pPr>
      <w:r>
        <w:t xml:space="preserve">Reassess: Adjust reserve levels dynamically as S(t) improves and as new resource deposits or substitutes are identified. The framework is not static — it updates as parameters change.</w:t>
      </w:r>
    </w:p>
    <w:p>
      <w:pPr>
        <w:pStyle w:val="Compact"/>
        <w:numPr>
          <w:ilvl w:val="0"/>
          <w:numId w:val="1000"/>
        </w:numPr>
      </w:pPr>
      <w:r>
        <w:t xml:space="preserve">§14. Engagement with Existing Literature</w:t>
      </w:r>
    </w:p>
    <w:p>
      <w:pPr>
        <w:pStyle w:val="Compact"/>
        <w:numPr>
          <w:ilvl w:val="0"/>
          <w:numId w:val="1000"/>
        </w:numPr>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p>
      <w:pPr>
        <w:pStyle w:val="Compact"/>
        <w:numPr>
          <w:ilvl w:val="0"/>
          <w:numId w:val="1000"/>
        </w:numPr>
      </w:pPr>
      <w:r>
        <w:t xml:space="preserve">§14.1 — Hotelling (1931): Optimal Depletion and Scarcity Rent</w:t>
      </w:r>
    </w:p>
    <w:p>
      <w:pPr>
        <w:pStyle w:val="Compact"/>
        <w:numPr>
          <w:ilvl w:val="0"/>
          <w:numId w:val="1000"/>
        </w:numPr>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w:t>
      </w:r>
      <w:r>
        <w:t xml:space="preserve"> </w:t>
      </w:r>
      <w:r>
        <w:t xml:space="preserve">“scarcity rent”</w:t>
      </w:r>
      <w:r>
        <w:t xml:space="preserve"> </w:t>
      </w:r>
      <w:r>
        <w:t xml:space="preserve">— Hotelling’s price premium above extraction cost — is a genuine contribution that RCV builds on.</w:t>
      </w:r>
    </w:p>
    <w:p>
      <w:pPr>
        <w:pStyle w:val="Compact"/>
        <w:numPr>
          <w:ilvl w:val="0"/>
          <w:numId w:val="1000"/>
        </w:numPr>
      </w:pPr>
      <w:r>
        <w:t xml:space="preserve">Where Hotelling stops: Hotelling’s model optimizes the extraction path for the resource owner, not for humanity. It asks</w:t>
      </w:r>
      <w:r>
        <w:t xml:space="preserve"> </w:t>
      </w:r>
      <w:r>
        <w:t xml:space="preserve">“when should I sell my oil?”</w:t>
      </w:r>
      <w:r>
        <w:t xml:space="preserve"> </w:t>
      </w:r>
      <w:r>
        <w:t xml:space="preserve">not</w:t>
      </w:r>
      <w:r>
        <w:t xml:space="preserve"> </w:t>
      </w:r>
      <w:r>
        <w:t xml:space="preserve">“what does permanent oil depletion cost everyone else?”</w:t>
      </w:r>
      <w:r>
        <w:t xml:space="preserve"> </w:t>
      </w:r>
      <w:r>
        <w:t xml:space="preserve">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Compact"/>
        <w:numPr>
          <w:ilvl w:val="0"/>
          <w:numId w:val="1000"/>
        </w:numPr>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p>
      <w:pPr>
        <w:pStyle w:val="Compact"/>
        <w:numPr>
          <w:ilvl w:val="0"/>
          <w:numId w:val="1000"/>
        </w:numPr>
      </w:pPr>
      <w:r>
        <w:t xml:space="preserve">§14.2 — Hartwick (1977): Invest the Rents</w:t>
      </w:r>
    </w:p>
    <w:p>
      <w:pPr>
        <w:pStyle w:val="Compact"/>
        <w:numPr>
          <w:ilvl w:val="0"/>
          <w:numId w:val="1000"/>
        </w:numPr>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Compact"/>
        <w:numPr>
          <w:ilvl w:val="0"/>
          <w:numId w:val="1000"/>
        </w:numPr>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Compact"/>
        <w:numPr>
          <w:ilvl w:val="0"/>
          <w:numId w:val="1000"/>
        </w:numPr>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p>
      <w:pPr>
        <w:pStyle w:val="Compact"/>
        <w:numPr>
          <w:ilvl w:val="0"/>
          <w:numId w:val="1000"/>
        </w:numPr>
      </w:pPr>
      <w:r>
        <w:t xml:space="preserve">§14.3 — Weitzman (2001): Declining Discount Rates</w:t>
      </w:r>
    </w:p>
    <w:p>
      <w:pPr>
        <w:pStyle w:val="Compact"/>
        <w:numPr>
          <w:ilvl w:val="0"/>
          <w:numId w:val="1000"/>
        </w:numPr>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Compact"/>
        <w:numPr>
          <w:ilvl w:val="0"/>
          <w:numId w:val="1000"/>
        </w:numPr>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Compact"/>
        <w:numPr>
          <w:ilvl w:val="0"/>
          <w:numId w:val="1000"/>
        </w:numPr>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p>
      <w:pPr>
        <w:pStyle w:val="Compact"/>
        <w:numPr>
          <w:ilvl w:val="0"/>
          <w:numId w:val="1000"/>
        </w:numPr>
      </w:pPr>
      <w:r>
        <w:t xml:space="preserve">§14.4 — Rawls (1971): Veil of Ignorance and the Just Savings Principle</w:t>
      </w:r>
    </w:p>
    <w:p>
      <w:pPr>
        <w:pStyle w:val="Compact"/>
        <w:numPr>
          <w:ilvl w:val="0"/>
          <w:numId w:val="1000"/>
        </w:numPr>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Compact"/>
        <w:numPr>
          <w:ilvl w:val="0"/>
          <w:numId w:val="1000"/>
        </w:numPr>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w:t>
      </w:r>
      <w:r>
        <w:t xml:space="preserve"> </w:t>
      </w:r>
      <w:r>
        <w:t xml:space="preserve">“there are no grounds for discounting future well-being on the basis of pure time preference.”</w:t>
      </w:r>
      <w:r>
        <w:t xml:space="preserve"> </w:t>
      </w:r>
      <w:r>
        <w:t xml:space="preserve">The RCV model implements this as the stock-dependent utility term U(R, t, Q(t)), which gives future generations’ welfare equal standing in the integral.</w:t>
      </w:r>
    </w:p>
    <w:p>
      <w:pPr>
        <w:pStyle w:val="Compact"/>
        <w:numPr>
          <w:ilvl w:val="0"/>
          <w:numId w:val="1000"/>
        </w:numPr>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p>
      <w:pPr>
        <w:pStyle w:val="Compact"/>
        <w:numPr>
          <w:ilvl w:val="0"/>
          <w:numId w:val="1000"/>
        </w:numPr>
      </w:pPr>
      <w:r>
        <w:t xml:space="preserve">§14.5 — Ostrom (1990): Governing the Commons</w:t>
      </w:r>
    </w:p>
    <w:p>
      <w:pPr>
        <w:pStyle w:val="Compact"/>
        <w:numPr>
          <w:ilvl w:val="0"/>
          <w:numId w:val="1000"/>
        </w:numPr>
      </w:pPr>
      <w:r>
        <w:t xml:space="preserve">What Ostrom gets right: Common-pool resources are not inevitably subject to the</w:t>
      </w:r>
      <w:r>
        <w:t xml:space="preserve"> </w:t>
      </w:r>
      <w:r>
        <w:t xml:space="preserve">“tragedy of the commons.”</w:t>
      </w:r>
      <w:r>
        <w:t xml:space="preserve"> </w:t>
      </w:r>
      <w:r>
        <w:t xml:space="preserve">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Compact"/>
        <w:numPr>
          <w:ilvl w:val="0"/>
          <w:numId w:val="1000"/>
        </w:numPr>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Compact"/>
        <w:numPr>
          <w:ilvl w:val="0"/>
          <w:numId w:val="1000"/>
        </w:numPr>
      </w:pPr>
      <w:r>
        <w:t xml:space="preserve">RCV as extension: The RCV model can be read as Ostrom’s design principles translated into a pricing mechanism for the non-renewable case. Where Ostrom asks</w:t>
      </w:r>
      <w:r>
        <w:t xml:space="preserve"> </w:t>
      </w:r>
      <w:r>
        <w:t xml:space="preserve">“how do we manage this so it lasts?”</w:t>
      </w:r>
      <w:r>
        <w:t xml:space="preserve"> </w:t>
      </w:r>
      <w:r>
        <w:t xml:space="preserve">RCV asks</w:t>
      </w:r>
      <w:r>
        <w:t xml:space="preserve"> </w:t>
      </w:r>
      <w:r>
        <w:t xml:space="preserve">“what does it cost when management fails and it doesn’t last?”</w:t>
      </w:r>
    </w:p>
    <w:p>
      <w:pPr>
        <w:pStyle w:val="Compact"/>
        <w:numPr>
          <w:ilvl w:val="0"/>
          <w:numId w:val="1000"/>
        </w:numPr>
      </w:pPr>
      <w:r>
        <w:t xml:space="preserve">§14.6 — Daly (1990s): Ecological Economics and Strong Sustainability</w:t>
      </w:r>
    </w:p>
    <w:p>
      <w:pPr>
        <w:pStyle w:val="Compact"/>
        <w:numPr>
          <w:ilvl w:val="0"/>
          <w:numId w:val="1000"/>
        </w:numPr>
      </w:pPr>
      <w:r>
        <w:t xml:space="preserve">What Daly gets right: </w:t>
      </w:r>
      <w:r>
        <w:t xml:space="preserve">“Weak sustainability”</w:t>
      </w:r>
      <w:r>
        <w:t xml:space="preserve"> </w:t>
      </w:r>
      <w:r>
        <w:t xml:space="preserve">(Hartwick’s approach: substitute capital for natural capital) is insufficient.</w:t>
      </w:r>
      <w:r>
        <w:t xml:space="preserve"> </w:t>
      </w:r>
      <w:r>
        <w:t xml:space="preserve">“Strong sustainability”</w:t>
      </w:r>
      <w:r>
        <w:t xml:space="preserve"> </w:t>
      </w:r>
      <w:r>
        <w:t xml:space="preserve">requires maintaining the natural capital stock itself — particularly for critical natural capital with no adequate substitute. GDP as a measure of welfare is deeply misleading because it counts environmental destruction as economic activity.</w:t>
      </w:r>
    </w:p>
    <w:p>
      <w:pPr>
        <w:pStyle w:val="Compact"/>
        <w:numPr>
          <w:ilvl w:val="0"/>
          <w:numId w:val="1000"/>
        </w:numPr>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p>
      <w:pPr>
        <w:pStyle w:val="Compact"/>
        <w:numPr>
          <w:ilvl w:val="0"/>
          <w:numId w:val="1000"/>
        </w:numPr>
      </w:pPr>
      <w:r>
        <w:t xml:space="preserve">§14.7 — Harvey (2003): Accumulation by Dispossession</w:t>
      </w:r>
    </w:p>
    <w:p>
      <w:pPr>
        <w:pStyle w:val="Compact"/>
        <w:numPr>
          <w:ilvl w:val="0"/>
          <w:numId w:val="1000"/>
        </w:numPr>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Compact"/>
        <w:numPr>
          <w:ilvl w:val="0"/>
          <w:numId w:val="1000"/>
        </w:numPr>
      </w:pPr>
      <w:r>
        <w:t xml:space="preserve">RCV as measurement tool: Harvey diagnoses the mechanism; RCV measures its magnitude.</w:t>
      </w:r>
      <w:r>
        <w:t xml:space="preserve"> </w:t>
      </w:r>
      <w:r>
        <w:t xml:space="preserve">“Accumulation by dispossession”</w:t>
      </w:r>
      <w:r>
        <w:t xml:space="preserve"> </w:t>
      </w:r>
      <w:r>
        <w:t xml:space="preserve">tells you it happened; the IPG tells you by how much. A McDowell County miner can say</w:t>
      </w:r>
      <w:r>
        <w:t xml:space="preserve"> </w:t>
      </w:r>
      <w:r>
        <w:t xml:space="preserve">“we were exploited”</w:t>
      </w:r>
      <w:r>
        <w:t xml:space="preserve"> </w:t>
      </w:r>
      <w:r>
        <w:t xml:space="preserve">— the RCV model says</w:t>
      </w:r>
      <w:r>
        <w:t xml:space="preserve"> </w:t>
      </w:r>
      <w:r>
        <w:t xml:space="preserve">“you absorbed $552 of cost for every</w:t>
      </w:r>
      <w:r>
        <w:t xml:space="preserve"> </w:t>
      </w:r>
      <w:r>
        <w:t xml:space="preserve">$4.50 you were paid." The measurement does not replace the political analysis; it gives it a number.
      &lt;/p&gt;
     &lt;/section&gt;
     &lt;section id="sec-15-limitations"&gt;
      &lt;h2&gt;
       &amp;sect;15. Limitations and Boundary Conditions
      &lt;/h2&gt;
      &lt;hr&gt;
      &lt;ol start="1"&gt;
       &lt;li&gt;
        Substitutability Function Estimation:&amp;nbsp;S(t) requires empirical input from materials science, energy engineering, and industrial ecology. Current estimates carry &amp;plusmn;30&amp;ndash;50% uncertainty in S_max for most resource classes. This uncertainty is reflected in the IPG ranges; the model is presented as a range estimator, not a point estimator.
       &lt;/li&gt;
       &lt;li&gt;
        Strategic Behavior:&amp;nbsp;Extractors will attempt to game S(t) estimates (by exaggerating substitutability) and will engage in jurisdiction shopping (extracting where B is lowest). The model predicts this behavior and argues for international coordination as the structural response &amp;mdash; not because coordination is easy, but because CS scales with the distance between extraction and governance.
       &lt;/li&gt;
       &lt;li&gt;
        Cross-Resource Interactions:&amp;nbsp;Portfolio effects &amp;mdash; rare earth extraction enabling solar panel manufacturing enabling coal displacement &amp;mdash; require additional modeling beyond per-resource RCV. The model treats resources independently as a first approximation; a full portfolio analysis is a significant further research program.
       &lt;/li&gt;
       &lt;li&gt;
        Incommensurable Externalities:&amp;nbsp;The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
       &lt;/li&gt;
       &lt;li&gt;
        Technological Discontinuities:&amp;nbsp;The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&amp;gt; 0 finding for resources already extracted &amp;mdash; the externality tail continues regardless.
       &lt;/li&gt;
       &lt;li&gt;
        Discount Rate Uncertainty:&amp;nbsp;The IPG is sensitive to discount rate assumptions. This is a feature, not a bug &amp;mdash; it honestly reflects that how much we weight future generations is a normative choice, not a technical one. The Weitzman result provides the theoretically grounded solution: use declining rates. The sensitivity analysis showing CS &amp;gt; 0 across all plausible rates (from the Nordhaus 5.5% to the Stern 1.4%) demonstrates the finding is robust.
       &lt;/li&gt;
      &lt;/ol&gt;
      &lt;h3&gt;
       &amp;sect;15.1 Methodology Defense Consolidation &amp;mdash; Tech Appendix companion (academic-reviewer depth)
      &lt;/h3&gt;
      &lt;p&gt;
       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
      &lt;/p&gt;
      &lt;h4&gt;
       &amp;sect;15.1.1 &amp;mdash; CIT versus revealed preference
      &lt;/h4&gt;
      &lt;p&gt;
       &lt;strong&gt;
        Rejected alternative &amp;mdash; Revealed preference as discrimination gate.
       &lt;/strong&gt;
       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
       &lt;em&gt;
        Value and Capital
       &lt;/em&gt;
       ; subsequent revealed-preference econometrics (cf. Bockstael &amp; McConnell 2007
       &lt;em&gt;
        Environmental and Resource Valuation with Revealed Preferences
       &lt;/em&gt;
       ). The methodology is empirically grounded: data exist, valuation procedures are established, and contingent-valuation literature has refined the techniques over decades.
      &lt;/p&gt;
      &lt;p&gt;
       &lt;strong&gt;
        Why CIT instead.
       &lt;/strong&gt;
       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&amp;sect;11.5 Norway calibration); it does not reveal what the atmospheric externality from combusting Norwegian oil costs the populations bearing it. CIT, by contrast, runs an institutional-architecture-independent counterfactual (Lewis 1973
       &lt;em&gt;
        Counterfactuals
       &lt;/em&gt;
       + subsequent philosophy-of-action literature). The framework retains revealed preference as one estimation input &amp;mdash; Method 2 in the Three Ways triangulation (&amp;sect;3 + &amp;sect;11.5) &amp;mdash; but uses it for estimation, not discrimination. Conflating discrimination and estimation produces institutionally-captured results: cost claims that should be admitted on commons-grounding grounds get filtered out because no polity has yet priced them.
      &lt;/p&gt;
      &lt;h4&gt;
       &amp;sect;15.1.2 &amp;mdash; Two-instrument architecture (CSD + RCV) versus single-instrument
      &lt;/h4&gt;
      &lt;p&gt;
       &lt;strong&gt;
        Rejected alternative &amp;mdash; Single Cost Severance accounting object.
       &lt;/strong&gt;
       A simpler framework would have specified one CS measurement: backward-looking and forward-looking together, undifferentiated. Standard environmental-economics frameworks (Pigou 1920
       &lt;em&gt;
        Economics of Welfare
       &lt;/em&gt;
       ; Coase 1960 "The Problem of Social Cost"; subsequent damage-function literature including Nordhaus DICE) operate roughly this way &amp;mdash; externality is one accounting object, with discounting handling the temporal-structure question implicitly through rate choice.
      &lt;/p&gt;
      &lt;p&gt;
       &lt;strong&gt;
        Why two instruments instead.
       &lt;/strong&gt;
       Past extraction harms specific people whose cost-bearing is empirically documented; the methodology for pricing this is reparations economics (Darity &amp; Mullen 2020
       &lt;em&gt;
        From Here to Equality
       &lt;/em&gt;
       ; Bullard 1990
       &lt;em&gt;
        Dumping in Dixie
       &lt;/em&gt;
       ;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
       &lt;em&gt;
        Investment under Uncertainty
       &lt;/em&gt;
       ;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&amp;minus; B; they answer different questions on opposite sides of that equation. Total CS = (CSD &amp;minus; B₁) + (RCV &amp;minus; B₂), connecting the two-instrument architecture (&amp;sect;2) with the B = B₁ + B₂ decomposition (&amp;sect;5).
      &lt;/p&gt;
      &lt;h4&gt;
       &amp;sect;15.1.3 &amp;mdash; Triangulation (Three Ways) versus single-method
      &lt;/h4&gt;
      &lt;p&gt;
       &lt;strong&gt;
        Rejected alternative &amp;mdash; Single estimation method for RCV.
       &lt;/strong&gt;
       A single estimation method for Residual Commons Value would have been simpler to teach, simpler to implement, and simpler to defend. Each of the three methods has standing as a primary estimation methodology in its tradition: Replacement Cost (Costanza 1997
       &lt;em&gt;
        Nature
       &lt;/em&gt;
       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
      &lt;/p&gt;
      &lt;p&gt;
       &lt;strong&gt;
        Why triangulation instead.
       &lt;/strong&gt;
       Each method has a strength the other two lack and a blind spot the other two illuminate. Replacement Cost prices substitution but cannot price irreplaceability &amp;mdash; it anchors only a floor (per &amp;sect;3 Method 1). Revealed Preference prices what one polity actually internalized but inherits that polity's institutional architecture and tradition's commitments &amp;mdash; Norway-anchored, the methodology fails for cases without Norway-equivalent revealed-preference data (epistemic-humility constraint). Scarcity-Adjusted Option Value prices irreversibility through the &amp;sigma; + &amp;alpha; + V
       &lt;sub&gt;
        option
       &lt;/sub&gt;
       parameter set but requires calibration that ranges across two orders of magnitude in plausible values (per &amp;sect;11.8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&amp;mdash; every RCV estimate reports all three methods individually plus the convergence range plus identified divergence sources &amp;mdash; is the operationalization of this commitment. No single-method RCV claim has standing in the framework's accounting.
      &lt;/p&gt;
      &lt;h4&gt;
       &amp;sect;15.1.4 &amp;mdash; Hotelling Identity versus Pigou-only or Hotelling-only
      &lt;/h4&gt;
      &lt;p&gt;
       &lt;strong&gt;
        Rejected alternatives &amp;mdash; Pigou alone or Hotelling alone.
       &lt;/strong&gt;
       Two adjacent traditions had standing claims to the territory the Hotelling Identity occupies. Pigou (1920,
       &lt;em&gt;
        The Economics of Welfare
       &lt;/em&gt;
       ) priced costs imposed on third parties through pricing instruments &amp;mdash; the externality framework. Hotelling (1931, "The Economics of Exhaustible Resources,"
       &lt;em&gt;
        Journal of Political Economy
       &lt;/em&gt;
       39(2): 137&amp;ndash;175) priced the rent rule for private extraction of finite resources &amp;mdash; Hotelling rent equals the price minus the marginal extraction cost, rising at the rate of interest under competitive extraction equilibrium. Each tradition does what it does well within its scope.
      &lt;/p&gt;
      &lt;p&gt;
       &lt;strong&gt;
        Why the Hotelling Identity instead.
       &lt;/strong&gt;
       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
       &lt;em&gt;
        RCV &amp;minus; Hotelling rent = CS per unit
       &lt;/em&gt;
       .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&amp;mdash;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
      &lt;/p&gt;
      &lt;h4&gt;
       &amp;sect;15.1.5 &amp;mdash; Four Gates versus CIT alone
      &lt;/h4&gt;
      &lt;p&gt;
       &lt;strong&gt;
        Rejected alternative &amp;mdash; CIT as sole admission gate.
       &lt;/strong&gt;
       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
      &lt;/p&gt;
      &lt;p&gt;
       &lt;strong&gt;
        Why Four Gates instead.
       &lt;/strong&gt;
       Each gate does work the others can't.
       &lt;strong&gt;
        CIT
       &lt;/strong&gt;
       screens for commons-grounding (&amp;sect;6); the rejected alternative was unfiltered admission, which would treat any cost as commons-grounded and dissolve the framework's discriminating function.
       &lt;strong&gt;
        Units Consistency
       &lt;/strong&gt;
       screens for unit coherence (&amp;sect;7); the rejected alternative was unit-flexibility, which would allow [$</w:t>
      </w:r>
      <w:r>
        <w:t xml:space="preserve">/ton]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t xml:space="preserve"> </w:t>
      </w:r>
      <w:r>
        <w:t xml:space="preserve">Boundedness</w:t>
      </w:r>
      <w:r>
        <w:t xml:space="preserve"> </w:t>
      </w:r>
      <w:r>
        <w:t xml:space="preserve"> </w:t>
      </w:r>
      <w:r>
        <w:t xml:space="preserve">screens for finite ranges; the rejected alternative was admitting”</w:t>
      </w:r>
      <w:r>
        <w:t xml:space="preserve">infinity” claims that dominate any aggregation and produce useless results.</w:t>
      </w:r>
      <w:r>
        <w:t xml:space="preserve"> </w:t>
      </w:r>
      <w:r>
        <w:t xml:space="preserve"> </w:t>
      </w:r>
      <w:r>
        <w:t xml:space="preserve">Independence</w:t>
      </w:r>
      <w:r>
        <w:t xml:space="preserve"> </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p>
      <w:pPr>
        <w:pStyle w:val="Compact"/>
        <w:numPr>
          <w:ilvl w:val="0"/>
          <w:numId w:val="1000"/>
        </w:numPr>
      </w:pPr>
      <w:r>
        <w:t xml:space="preserve">§15.1.6 — Option C’ (commons-as-examples) versus legislative</w:t>
      </w:r>
    </w:p>
    <w:p>
      <w:pPr>
        <w:pStyle w:val="Compact"/>
        <w:numPr>
          <w:ilvl w:val="0"/>
          <w:numId w:val="1000"/>
        </w:numPr>
      </w:pPr>
      <w:r>
        <w:t xml:space="preserve"> </w:t>
      </w:r>
      <w:r>
        <w:t xml:space="preserve">Rejected alternative — Legislative posture on commons enumeration.</w:t>
      </w:r>
      <w:r>
        <w:t xml:space="preserve"> </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Compact"/>
        <w:numPr>
          <w:ilvl w:val="0"/>
          <w:numId w:val="1000"/>
        </w:numPr>
      </w:pPr>
      <w:r>
        <w:t xml:space="preserve"> </w:t>
      </w:r>
      <w:r>
        <w:t xml:space="preserve">Why Option C’ (examples-not-canonical) instead.</w:t>
      </w:r>
      <w:r>
        <w:t xml:space="preserve"> </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t xml:space="preserve"> </w:t>
      </w:r>
      <w:r>
        <w:t xml:space="preserve">Governing the Commons</w:t>
      </w:r>
      <w:r>
        <w:t xml:space="preserve"> </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t xml:space="preserve"> </w:t>
      </w:r>
      <w:r>
        <w:t xml:space="preserve">Development as Freedom</w:t>
      </w:r>
      <w:r>
        <w:t xml:space="preserve"> </w:t>
      </w:r>
      <w:r>
        <w:t xml:space="preserve"> </w:t>
      </w:r>
      <w:r>
        <w:t xml:space="preserve">; Nussbaum 2000</w:t>
      </w:r>
      <w:r>
        <w:t xml:space="preserve"> </w:t>
      </w:r>
      <w:r>
        <w:t xml:space="preserve"> </w:t>
      </w:r>
      <w:r>
        <w:t xml:space="preserve">Women and Human Development</w:t>
      </w:r>
      <w:r>
        <w:t xml:space="preserve"> </w:t>
      </w:r>
      <w:r>
        <w:t xml:space="preserve"> </w:t>
      </w:r>
      <w:r>
        <w:t xml:space="preserve">) elaborates ten central capabilities while explicitly acknowledging the list is open to refinement. Rawls’s primary goods (Rawls 1971</w:t>
      </w:r>
      <w:r>
        <w:t xml:space="preserve"> </w:t>
      </w:r>
      <w:r>
        <w:t xml:space="preserve"> </w:t>
      </w:r>
      <w:r>
        <w:t xml:space="preserve">A Theory of Justice</w:t>
      </w:r>
      <w:r>
        <w:t xml:space="preserve"> </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Compact"/>
        <w:numPr>
          <w:ilvl w:val="0"/>
          <w:numId w:val="1000"/>
        </w:numPr>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t xml:space="preserve"> </w:t>
      </w:r>
      <w:r>
        <w:t xml:space="preserve">Classical liberalism</w:t>
      </w:r>
      <w:r>
        <w:t xml:space="preserve"> </w:t>
      </w:r>
      <w:r>
        <w:t xml:space="preserve"> </w:t>
      </w:r>
      <w:r>
        <w:t xml:space="preserve">treats autonomy as individual natural-right; supporting infrastructure is enabling but not commons.</w:t>
      </w:r>
      <w:r>
        <w:t xml:space="preserve"> </w:t>
      </w:r>
      <w:r>
        <w:t xml:space="preserve"> </w:t>
      </w:r>
      <w:r>
        <w:t xml:space="preserve">Civic republicanism</w:t>
      </w:r>
      <w:r>
        <w:t xml:space="preserve"> </w:t>
      </w:r>
      <w:r>
        <w:t xml:space="preserve"> </w:t>
      </w:r>
      <w:r>
        <w:t xml:space="preserve">(Pettit 1997</w:t>
      </w:r>
      <w:r>
        <w:t xml:space="preserve"> </w:t>
      </w:r>
      <w:r>
        <w:t xml:space="preserve"> </w:t>
      </w:r>
      <w:r>
        <w:t xml:space="preserve">Republicanism</w:t>
      </w:r>
      <w:r>
        <w:t xml:space="preserve"> </w:t>
      </w:r>
      <w:r>
        <w:t xml:space="preserve"> </w:t>
      </w:r>
      <w:r>
        <w:t xml:space="preserve">; Skinner 1998</w:t>
      </w:r>
      <w:r>
        <w:t xml:space="preserve"> </w:t>
      </w:r>
      <w:r>
        <w:t xml:space="preserve"> </w:t>
      </w:r>
      <w:r>
        <w:t xml:space="preserve">Liberty Before Liberalism</w:t>
      </w:r>
      <w:r>
        <w:t xml:space="preserve"> </w:t>
      </w:r>
      <w:r>
        <w:t xml:space="preserve"> </w:t>
      </w:r>
      <w:r>
        <w:t xml:space="preserve">; Anderson 2017</w:t>
      </w:r>
      <w:r>
        <w:t xml:space="preserve"> </w:t>
      </w:r>
      <w:r>
        <w:t xml:space="preserve"> </w:t>
      </w:r>
      <w:r>
        <w:t xml:space="preserve">Private Government</w:t>
      </w:r>
      <w:r>
        <w:t xml:space="preserve"> </w:t>
      </w:r>
      <w:r>
        <w:t xml:space="preserve"> </w:t>
      </w:r>
      <w:r>
        <w:t xml:space="preserve">) treats autonomy as non-domination requiring shared institutions; the institutions function as commons.</w:t>
      </w:r>
      <w:r>
        <w:t xml:space="preserve"> </w:t>
      </w:r>
      <w:r>
        <w:t xml:space="preserve"> </w:t>
      </w:r>
      <w:r>
        <w:t xml:space="preserve">Socialist + communitarian traditions</w:t>
      </w:r>
      <w:r>
        <w:t xml:space="preserve"> </w:t>
      </w:r>
      <w:r>
        <w:t xml:space="preserve"> </w:t>
      </w:r>
      <w:r>
        <w:t xml:space="preserve">treat autonomy as enabled by shared infrastructure; the enabling conditions ARE commons.</w:t>
      </w:r>
      <w:r>
        <w:t xml:space="preserve"> </w:t>
      </w:r>
      <w:r>
        <w:t xml:space="preserve"> </w:t>
      </w:r>
      <w:r>
        <w:t xml:space="preserve">Marxist analysis</w:t>
      </w:r>
      <w:r>
        <w:t xml:space="preserve"> </w:t>
      </w:r>
      <w:r>
        <w:t xml:space="preserve"> </w:t>
      </w:r>
      <w:r>
        <w:t xml:space="preserve">treats autonomy as material-conditions dependent.</w:t>
      </w:r>
      <w:r>
        <w:t xml:space="preserve"> </w:t>
      </w:r>
      <w:r>
        <w:t xml:space="preserve"> </w:t>
      </w:r>
      <w:r>
        <w:t xml:space="preserve">Lived-oppression perspectives</w:t>
      </w:r>
      <w:r>
        <w:t xml:space="preserve"> </w:t>
      </w:r>
      <w:r>
        <w:t xml:space="preserve"> </w:t>
      </w:r>
      <w:r>
        <w:t xml:space="preserve">(slave, colonized, repressed worker) treat autonomy as something extracted, not shared commons.</w:t>
      </w:r>
      <w:r>
        <w:t xml:space="preserve"> </w:t>
      </w:r>
      <w:r>
        <w:t xml:space="preserve"> </w:t>
      </w:r>
      <w:r>
        <w:t xml:space="preserve">Indigenous-tradition political philosophies</w:t>
      </w:r>
      <w:r>
        <w:t xml:space="preserve"> </w:t>
      </w:r>
      <w:r>
        <w:t xml:space="preserve"> </w:t>
      </w:r>
      <w:r>
        <w:t xml:space="preserve">treat ancestral lands as relationally-personed entities, not Western-property commons.</w:t>
      </w:r>
    </w:p>
    <w:p>
      <w:pPr>
        <w:pStyle w:val="Compact"/>
        <w:numPr>
          <w:ilvl w:val="0"/>
          <w:numId w:val="1000"/>
        </w:numPr>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t xml:space="preserve"> </w:t>
      </w:r>
      <w:r>
        <w:t xml:space="preserve">examples for illustrative purposes</w:t>
      </w:r>
      <w:r>
        <w:t xml:space="preserve"> </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p>
      <w:pPr>
        <w:pStyle w:val="Compact"/>
        <w:numPr>
          <w:ilvl w:val="0"/>
          <w:numId w:val="1000"/>
        </w:numPr>
      </w:pPr>
      <w:r>
        <w:t xml:space="preserve">§15.1.7 — Asymmetric Regret Rule versus Cost-Benefit Analysis</w:t>
      </w:r>
    </w:p>
    <w:p>
      <w:pPr>
        <w:pStyle w:val="Compact"/>
        <w:numPr>
          <w:ilvl w:val="0"/>
          <w:numId w:val="1000"/>
        </w:numPr>
      </w:pPr>
      <w:r>
        <w:t xml:space="preserve"> </w:t>
      </w:r>
      <w:r>
        <w:t xml:space="preserve">Rejected alternative — Cost-Benefit Analysis under risk.</w:t>
      </w:r>
      <w:r>
        <w:t xml:space="preserve"> </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t xml:space="preserve"> </w:t>
      </w:r>
      <w:r>
        <w:t xml:space="preserve">Cost-Benefit Analysis</w:t>
      </w:r>
      <w:r>
        <w:t xml:space="preserve"> </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Compact"/>
        <w:numPr>
          <w:ilvl w:val="0"/>
          <w:numId w:val="1000"/>
        </w:numPr>
      </w:pPr>
      <w:r>
        <w:t xml:space="preserve"> </w:t>
      </w:r>
      <w:r>
        <w:t xml:space="preserve">Why ARR instead.</w:t>
      </w:r>
      <w:r>
        <w:t xml:space="preserve"> </w:t>
      </w:r>
      <w:r>
        <w:t xml:space="preserve"> </w:t>
      </w:r>
      <w:r>
        <w:t xml:space="preserve">Commons-extraction decisions violate all three CBA performance conditions.</w:t>
      </w:r>
      <w:r>
        <w:t xml:space="preserve"> </w:t>
      </w:r>
      <w:r>
        <w:t xml:space="preserve"> </w:t>
      </w:r>
      <w:r>
        <w:t xml:space="preserve">Reversibility:</w:t>
      </w:r>
      <w:r>
        <w:t xml:space="preserve"> </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t xml:space="preserve"> </w:t>
      </w:r>
      <w:r>
        <w:t xml:space="preserve">Expected-value reliability:</w:t>
      </w:r>
      <w:r>
        <w:t xml:space="preserve"> </w:t>
      </w:r>
      <w:r>
        <w:t xml:space="preserve"> </w:t>
      </w:r>
      <w:r>
        <w:t xml:space="preserve">the relevant probability distributions are subject to deep uncertainty over century-scale time horizons (Knight 1921 risk-vs-uncertainty distinction; Lempert, Popper &amp; Bankes 2003</w:t>
      </w:r>
      <w:r>
        <w:t xml:space="preserve"> </w:t>
      </w:r>
      <w:r>
        <w:t xml:space="preserve"> </w:t>
      </w:r>
      <w:r>
        <w:t xml:space="preserve">Shaping the Next One Hundred Years: New Methods for Quantitative, Long-Term Policy Analysis</w:t>
      </w:r>
      <w:r>
        <w:t xml:space="preserve"> </w:t>
      </w:r>
      <w:r>
        <w:t xml:space="preserve"> </w:t>
      </w:r>
      <w:r>
        <w:t xml:space="preserve">).</w:t>
      </w:r>
      <w:r>
        <w:t xml:space="preserve"> </w:t>
      </w:r>
      <w:r>
        <w:t xml:space="preserve"> </w:t>
      </w:r>
      <w:r>
        <w:t xml:space="preserve">Symmetry:</w:t>
      </w:r>
      <w:r>
        <w:t xml:space="preserve"> </w:t>
      </w:r>
      <w:r>
        <w:t xml:space="preserve"> </w:t>
      </w:r>
      <w:r>
        <w:t xml:space="preserve">the asymmetry between extracting (mostly irreversible) and not-extracting (revisitable) makes the regret structure asymmetric in a way CBA does not capture. ARR specializes Savage 1951 minimax-regret discipline (</w:t>
      </w:r>
      <w:r>
        <w:t xml:space="preserve">“The Theory of Statistical Decision,”</w:t>
      </w:r>
      <w:r>
        <w:t xml:space="preserve"> </w:t>
      </w:r>
      <w:r>
        <w:t xml:space="preserve"> </w:t>
      </w:r>
      <w:r>
        <w:t xml:space="preserve">Journal of the American Statistical Association</w:t>
      </w:r>
      <w:r>
        <w:t xml:space="preserve"> </w:t>
      </w:r>
      <w:r>
        <w:t xml:space="preserve"> </w:t>
      </w:r>
      <w:r>
        <w:t xml:space="preserve">46(253): 55–67) for commons-extraction decisions where one direction of regret is commons-extinction. Loomes &amp; Sugden 1982 (</w:t>
      </w:r>
      <w:r>
        <w:t xml:space="preserve">“Regret Theory: An Alternative Theory of Rational Choice under Uncertainty,”</w:t>
      </w:r>
      <w:r>
        <w:t xml:space="preserve"> </w:t>
      </w:r>
      <w:r>
        <w:t xml:space="preserve"> </w:t>
      </w:r>
      <w:r>
        <w:t xml:space="preserve">Economic Journal</w:t>
      </w:r>
      <w:r>
        <w:t xml:space="preserve"> </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p>
      <w:pPr>
        <w:pStyle w:val="Compact"/>
        <w:numPr>
          <w:ilvl w:val="0"/>
          <w:numId w:val="1000"/>
        </w:numPr>
      </w:pPr>
      <w:r>
        <w:t xml:space="preserve">§15.1.8 — CIT two sub-forms (CAI + CCI) versus single-form</w:t>
      </w:r>
    </w:p>
    <w:p>
      <w:pPr>
        <w:pStyle w:val="Compact"/>
        <w:numPr>
          <w:ilvl w:val="0"/>
          <w:numId w:val="1000"/>
        </w:numPr>
      </w:pPr>
      <w:r>
        <w:t xml:space="preserve"> </w:t>
      </w:r>
      <w:r>
        <w:t xml:space="preserve">Rejected alternative — Single-form CIT as one inverted question.</w:t>
      </w:r>
      <w:r>
        <w:t xml:space="preserve"> </w:t>
      </w:r>
      <w:r>
        <w:t xml:space="preserve"> </w:t>
      </w:r>
      <w:r>
        <w:t xml:space="preserve">The framework’s earliest working name for the discrimination gate was the Abundance Inversion Test (AIT, since superseded by CIT), treated as a single-form thought-experiment that asked one inverted question:</w:t>
      </w:r>
      <w:r>
        <w:t xml:space="preserve"> </w:t>
      </w:r>
      <w:r>
        <w:t xml:space="preserve">“would the cost vanish under abundance of the relevant condition?”</w:t>
      </w:r>
      <w:r>
        <w:t xml:space="preserve"> </w:t>
      </w:r>
      <w:r>
        <w:t xml:space="preserve">Single-form clarity has methodological appeal: one operation, one filter, one verdict. Standard counterfactual-reasoning methodology (Lewis 1973; subsequent philosophy-of-action literature) typically operates with one counterfactual at a time.</w:t>
      </w:r>
    </w:p>
    <w:p>
      <w:pPr>
        <w:pStyle w:val="Compact"/>
        <w:numPr>
          <w:ilvl w:val="0"/>
          <w:numId w:val="1000"/>
        </w:numPr>
      </w:pPr>
      <w:r>
        <w:t xml:space="preserve"> </w:t>
      </w:r>
      <w:r>
        <w:t xml:space="preserve">Why two sub-forms instead.</w:t>
      </w:r>
      <w:r>
        <w:t xml:space="preserve"> </w:t>
      </w:r>
      <w:r>
        <w:t xml:space="preserve"> </w:t>
      </w:r>
      <w:r>
        <w:t xml:space="preserve">The commons-as-structural-identity framing surfaces two distinct operations the single-form had been collapsing.</w:t>
      </w:r>
      <w:r>
        <w:t xml:space="preserve"> </w:t>
      </w:r>
      <w:r>
        <w:t xml:space="preserve"> </w:t>
      </w:r>
      <w:r>
        <w:t xml:space="preserve">Commons-Absence Inversion (CAI)</w:t>
      </w:r>
      <w:r>
        <w:t xml:space="preserve"> </w:t>
      </w:r>
      <w:r>
        <w:t xml:space="preserve"> </w:t>
      </w:r>
      <w:r>
        <w:t xml:space="preserve">asks: imagine the commons not existing at all.</w:t>
      </w:r>
      <w:r>
        <w:t xml:space="preserve"> </w:t>
      </w:r>
      <w:r>
        <w:t xml:space="preserve"> </w:t>
      </w:r>
      <w:r>
        <w:t xml:space="preserve">Would the extraction price differently if the commons claim did not exist?</w:t>
      </w:r>
      <w:r>
        <w:t xml:space="preserve"> </w:t>
      </w:r>
      <w:r>
        <w:t xml:space="preserve"> </w:t>
      </w:r>
      <w:r>
        <w:t xml:space="preserve">Yes → cost claim is commons-grounded. No → cost claim is private-property externality (different framework applies — Pigou-tradition).</w:t>
      </w:r>
      <w:r>
        <w:t xml:space="preserve"> </w:t>
      </w:r>
      <w:r>
        <w:t xml:space="preserve"> </w:t>
      </w:r>
      <w:r>
        <w:t xml:space="preserve">Commons-Consumption Inversion (CCI)</w:t>
      </w:r>
      <w:r>
        <w:t xml:space="preserve"> </w:t>
      </w:r>
      <w:r>
        <w:t xml:space="preserve"> </w:t>
      </w:r>
      <w:r>
        <w:t xml:space="preserve">asks: imagine the commons not being consumed.</w:t>
      </w:r>
      <w:r>
        <w:t xml:space="preserve"> </w:t>
      </w:r>
      <w:r>
        <w:t xml:space="preserve"> </w:t>
      </w:r>
      <w:r>
        <w:t xml:space="preserve">Would the extraction price differently if the commons were inexhaustible / self-restoring at zero marginal cost?</w:t>
      </w:r>
      <w:r>
        <w:t xml:space="preserve"> </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Compact"/>
        <w:numPr>
          <w:ilvl w:val="0"/>
          <w:numId w:val="1000"/>
        </w:numPr>
      </w:pPr>
      <w:r>
        <w:t xml:space="preserve">A single-form CIT would collapse these distinctions and produce ambiguous results when CAI passes but CCI fails — exactly the case for Ostrom-tradition coordination commons (Ostrom 1990</w:t>
      </w:r>
      <w:r>
        <w:t xml:space="preserve"> </w:t>
      </w:r>
      <w:r>
        <w:t xml:space="preserve"> </w:t>
      </w:r>
      <w:r>
        <w:t xml:space="preserve">Governing the Commons</w:t>
      </w:r>
      <w:r>
        <w:t xml:space="preserve"> </w:t>
      </w:r>
      <w:r>
        <w:t xml:space="preserve"> </w:t>
      </w:r>
      <w:r>
        <w:t xml:space="preserve">; Hess &amp; Ostrom 2007</w:t>
      </w:r>
      <w:r>
        <w:t xml:space="preserve"> </w:t>
      </w:r>
      <w:r>
        <w:t xml:space="preserve"> </w:t>
      </w:r>
      <w:r>
        <w:t xml:space="preserve">Understanding Knowledge as a Commons</w:t>
      </w:r>
      <w:r>
        <w:t xml:space="preserve"> </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p>
      <w:pPr>
        <w:pStyle w:val="Compact"/>
        <w:numPr>
          <w:ilvl w:val="0"/>
          <w:numId w:val="1000"/>
        </w:numPr>
      </w:pPr>
      <w:r>
        <w:t xml:space="preserve">§15.1.9 — Configuration claim</w:t>
      </w:r>
    </w:p>
    <w:p>
      <w:pPr>
        <w:pStyle w:val="Compact"/>
        <w:numPr>
          <w:ilvl w:val="0"/>
          <w:numId w:val="1000"/>
        </w:numPr>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Compact"/>
        <w:numPr>
          <w:ilvl w:val="0"/>
          <w:numId w:val="1000"/>
        </w:numPr>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p>
      <w:pPr>
        <w:pStyle w:val="Compact"/>
        <w:numPr>
          <w:ilvl w:val="0"/>
          <w:numId w:val="1000"/>
        </w:numPr>
      </w:pPr>
      <w:r>
        <w:t xml:space="preserve">§15.2 — Methodological framing footnotes</w:t>
      </w:r>
    </w:p>
    <w:p>
      <w:pPr>
        <w:pStyle w:val="Compact"/>
        <w:numPr>
          <w:ilvl w:val="0"/>
          <w:numId w:val="1000"/>
        </w:numPr>
      </w:pPr>
      <w:r>
        <w:t xml:space="preserve">Three framework terms with high cross-audience reach —</w:t>
      </w:r>
      <w:r>
        <w:t xml:space="preserve"> </w:t>
      </w:r>
      <w:r>
        <w:t xml:space="preserve"> </w:t>
      </w:r>
      <w:r>
        <w:t xml:space="preserve">Cost Severance</w:t>
      </w:r>
      <w:r>
        <w:t xml:space="preserve"> </w:t>
      </w:r>
    </w:p>
    <w:p>
      <w:pPr>
        <w:pStyle w:val="Compact"/>
        <w:numPr>
          <w:ilvl w:val="1"/>
          <w:numId w:val="1002"/>
        </w:numPr>
      </w:pPr>
      <w:r>
        <w:t xml:space="preserve"> </w:t>
      </w:r>
      <w:r>
        <w:t xml:space="preserve">Severed Cost</w:t>
      </w:r>
      <w:r>
        <w:t xml:space="preserve"> </w:t>
      </w:r>
      <w:r>
        <w:t xml:space="preserve"> </w:t>
      </w:r>
      <w:r>
        <w:t xml:space="preserve">,</w:t>
      </w:r>
      <w:r>
        <w:t xml:space="preserve"> </w:t>
      </w:r>
      <w:r>
        <w:t xml:space="preserve"> </w:t>
      </w:r>
      <w:r>
        <w:t xml:space="preserve">Foreclosure Bond</w:t>
      </w:r>
      <w:r>
        <w:t xml:space="preserve"> </w:t>
      </w:r>
      <w:r>
        <w:t xml:space="preserve"> </w:t>
      </w:r>
      <w:r>
        <w:t xml:space="preserve">, and</w:t>
      </w:r>
      <w:r>
        <w:t xml:space="preserve"> </w:t>
      </w:r>
      <w:r>
        <w:t xml:space="preserve"> </w:t>
      </w:r>
      <w:r>
        <w:t xml:space="preserve">Intergenerational Option Value</w:t>
      </w:r>
      <w:r>
        <w:t xml:space="preserve"> </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p>
      <w:pPr>
        <w:pStyle w:val="Compact"/>
        <w:numPr>
          <w:ilvl w:val="1"/>
          <w:numId w:val="1000"/>
        </w:numPr>
      </w:pPr>
      <w:r>
        <w:t xml:space="preserve">§15.2.1 — Cost Severance + Severed Cost methodological framing across political traditions</w:t>
      </w:r>
    </w:p>
    <w:p>
      <w:pPr>
        <w:pStyle w:val="Compact"/>
        <w:numPr>
          <w:ilvl w:val="1"/>
          <w:numId w:val="1000"/>
        </w:numPr>
      </w:pPr>
      <w:r>
        <w:t xml:space="preserve"> </w:t>
      </w:r>
      <w:r>
        <w:t xml:space="preserve">Rejected alternative — Rename to avoid HR/accounting</w:t>
      </w:r>
      <w:r>
        <w:t xml:space="preserve"> </w:t>
      </w:r>
      <w:r>
        <w:t xml:space="preserve">“severance costs”</w:t>
      </w:r>
      <w:r>
        <w:t xml:space="preserve"> </w:t>
      </w:r>
      <w:r>
        <w:t xml:space="preserve">lexical collision.</w:t>
      </w:r>
      <w:r>
        <w:t xml:space="preserve"> </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Compact"/>
        <w:numPr>
          <w:ilvl w:val="1"/>
          <w:numId w:val="1000"/>
        </w:numPr>
      </w:pPr>
      <w:r>
        <w:t xml:space="preserve">Lineage clusters (cross-political-tradition cohort load-bearing for the term’s reach across socialist/communitarian + lived-oppression registers):</w:t>
      </w:r>
    </w:p>
    <w:p>
      <w:pPr>
        <w:pStyle w:val="Compact"/>
        <w:numPr>
          <w:ilvl w:val="1"/>
          <w:numId w:val="1000"/>
        </w:numPr>
      </w:pPr>
      <w:r>
        <w:t xml:space="preserve"> </w:t>
      </w:r>
      <w:r>
        <w:t xml:space="preserve">Decolonial / colonial extraction:</w:t>
      </w:r>
      <w:r>
        <w:t xml:space="preserve"> </w:t>
      </w:r>
      <w:r>
        <w:t xml:space="preserve"> </w:t>
      </w:r>
      <w:r>
        <w:t xml:space="preserve">Coulthard 2014</w:t>
      </w:r>
      <w:r>
        <w:t xml:space="preserve"> </w:t>
      </w:r>
      <w:r>
        <w:t xml:space="preserve"> </w:t>
      </w:r>
      <w:r>
        <w:t xml:space="preserve">Red Skin, White Masks</w:t>
      </w:r>
      <w:r>
        <w:t xml:space="preserve"> </w:t>
      </w:r>
      <w:r>
        <w:t xml:space="preserve"> </w:t>
      </w:r>
      <w:r>
        <w:t xml:space="preserve">; Tuck &amp; Yang 2012</w:t>
      </w:r>
      <w:r>
        <w:t xml:space="preserve"> </w:t>
      </w:r>
      <w:r>
        <w:t xml:space="preserve">“Decolonization is not a metaphor”</w:t>
      </w:r>
      <w:r>
        <w:t xml:space="preserve">; Wolfe 1999</w:t>
      </w:r>
      <w:r>
        <w:t xml:space="preserve"> </w:t>
      </w:r>
      <w:r>
        <w:t xml:space="preserve"> </w:t>
      </w:r>
      <w:r>
        <w:t xml:space="preserve">Settler Colonialism and the Transformation of Anthropology</w:t>
      </w:r>
      <w:r>
        <w:t xml:space="preserve"> </w:t>
      </w:r>
      <w:r>
        <w:t xml:space="preserve"> </w:t>
      </w:r>
      <w:r>
        <w:t xml:space="preserve">; Whyte (indigenous environmental ethics).</w:t>
      </w:r>
    </w:p>
    <w:p>
      <w:pPr>
        <w:pStyle w:val="Compact"/>
        <w:numPr>
          <w:ilvl w:val="1"/>
          <w:numId w:val="1000"/>
        </w:numPr>
      </w:pPr>
      <w:r>
        <w:t xml:space="preserve"> </w:t>
      </w:r>
      <w:r>
        <w:t xml:space="preserve">Marxist-feminist / reproduction theory:</w:t>
      </w:r>
      <w:r>
        <w:t xml:space="preserve"> </w:t>
      </w:r>
      <w:r>
        <w:t xml:space="preserve"> </w:t>
      </w:r>
      <w:r>
        <w:t xml:space="preserve">Federici 2004</w:t>
      </w:r>
      <w:r>
        <w:t xml:space="preserve"> </w:t>
      </w:r>
      <w:r>
        <w:t xml:space="preserve"> </w:t>
      </w:r>
      <w:r>
        <w:t xml:space="preserve">Caliban and the Witch</w:t>
      </w:r>
      <w:r>
        <w:t xml:space="preserve"> </w:t>
      </w:r>
      <w:r>
        <w:t xml:space="preserve"> </w:t>
      </w:r>
      <w:r>
        <w:t xml:space="preserve">— primitive accumulation extends through the body and care work, not just land.</w:t>
      </w:r>
    </w:p>
    <w:p>
      <w:pPr>
        <w:pStyle w:val="Compact"/>
        <w:numPr>
          <w:ilvl w:val="1"/>
          <w:numId w:val="1000"/>
        </w:numPr>
      </w:pPr>
      <w:r>
        <w:t xml:space="preserve"> </w:t>
      </w:r>
      <w:r>
        <w:t xml:space="preserve">Race + housing-economics scholarship:</w:t>
      </w:r>
      <w:r>
        <w:t xml:space="preserve"> </w:t>
      </w:r>
      <w:r>
        <w:t xml:space="preserve"> </w:t>
      </w:r>
      <w:r>
        <w:t xml:space="preserve">Mian &amp; Sufi 2014</w:t>
      </w:r>
      <w:r>
        <w:t xml:space="preserve"> </w:t>
      </w:r>
      <w:r>
        <w:t xml:space="preserve"> </w:t>
      </w:r>
      <w:r>
        <w:t xml:space="preserve">House of Debt</w:t>
      </w:r>
      <w:r>
        <w:t xml:space="preserve"> </w:t>
      </w:r>
      <w:r>
        <w:t xml:space="preserve"> </w:t>
      </w:r>
      <w:r>
        <w:t xml:space="preserve">; Rothstein 2017</w:t>
      </w:r>
      <w:r>
        <w:t xml:space="preserve"> </w:t>
      </w:r>
      <w:r>
        <w:t xml:space="preserve"> </w:t>
      </w:r>
      <w:r>
        <w:t xml:space="preserve">The Color of Law</w:t>
      </w:r>
      <w:r>
        <w:t xml:space="preserve"> </w:t>
      </w:r>
      <w:r>
        <w:t xml:space="preserve"> </w:t>
      </w:r>
      <w:r>
        <w:t xml:space="preserve">; Taylor 2019</w:t>
      </w:r>
      <w:r>
        <w:t xml:space="preserve"> </w:t>
      </w:r>
      <w:r>
        <w:t xml:space="preserve"> </w:t>
      </w:r>
      <w:r>
        <w:t xml:space="preserve">Race for Profit</w:t>
      </w:r>
      <w:r>
        <w:t xml:space="preserve"> </w:t>
      </w:r>
      <w:r>
        <w:t xml:space="preserve"> </w:t>
      </w:r>
      <w:r>
        <w:t xml:space="preserve">; Coates 2014</w:t>
      </w:r>
      <w:r>
        <w:t xml:space="preserve"> </w:t>
      </w:r>
      <w:r>
        <w:t xml:space="preserve">“The Case for Reparations”</w:t>
      </w:r>
      <w:r>
        <w:t xml:space="preserve">; Hyman 2011</w:t>
      </w:r>
      <w:r>
        <w:t xml:space="preserve"> </w:t>
      </w:r>
      <w:r>
        <w:t xml:space="preserve"> </w:t>
      </w:r>
      <w:r>
        <w:t xml:space="preserve">Debtor Nation</w:t>
      </w:r>
      <w:r>
        <w:t xml:space="preserve"> </w:t>
      </w:r>
      <w:r>
        <w:t xml:space="preserve"> </w:t>
      </w:r>
      <w:r>
        <w:t xml:space="preserve">; Sugrue 1996</w:t>
      </w:r>
      <w:r>
        <w:t xml:space="preserve"> </w:t>
      </w:r>
      <w:r>
        <w:t xml:space="preserve"> </w:t>
      </w:r>
      <w:r>
        <w:t xml:space="preserve">The Origins of the Urban Crisis</w:t>
      </w:r>
      <w:r>
        <w:t xml:space="preserve"> </w:t>
      </w:r>
      <w:r>
        <w:t xml:space="preserve"> </w:t>
      </w:r>
      <w:r>
        <w:t xml:space="preserve">; Desmond 2016</w:t>
      </w:r>
      <w:r>
        <w:t xml:space="preserve"> </w:t>
      </w:r>
      <w:r>
        <w:t xml:space="preserve"> </w:t>
      </w:r>
      <w:r>
        <w:t xml:space="preserve">Evicted</w:t>
      </w:r>
      <w:r>
        <w:t xml:space="preserve"> </w:t>
      </w:r>
      <w:r>
        <w:t xml:space="preserve"> </w:t>
      </w:r>
      <w:r>
        <w:t xml:space="preserve">.</w:t>
      </w:r>
    </w:p>
    <w:p>
      <w:pPr>
        <w:pStyle w:val="Compact"/>
        <w:numPr>
          <w:ilvl w:val="1"/>
          <w:numId w:val="1000"/>
        </w:numPr>
      </w:pPr>
      <w:r>
        <w:t xml:space="preserve"> </w:t>
      </w:r>
      <w:r>
        <w:t xml:space="preserve">Anti-political-economy / decolonial theory:</w:t>
      </w:r>
      <w:r>
        <w:t xml:space="preserve"> </w:t>
      </w:r>
      <w:r>
        <w:t xml:space="preserve"> </w:t>
      </w:r>
      <w:r>
        <w:t xml:space="preserve">Patel &amp; Moore 2017</w:t>
      </w:r>
      <w:r>
        <w:t xml:space="preserve"> </w:t>
      </w:r>
      <w:r>
        <w:t xml:space="preserve"> </w:t>
      </w:r>
      <w:r>
        <w:t xml:space="preserve">A History of the World in Seven Cheap Things</w:t>
      </w:r>
      <w:r>
        <w:t xml:space="preserve"> </w:t>
      </w:r>
      <w:r>
        <w:t xml:space="preserve"> </w:t>
      </w:r>
      <w:r>
        <w:t xml:space="preserve">; Hickel 2020</w:t>
      </w:r>
      <w:r>
        <w:t xml:space="preserve"> </w:t>
      </w:r>
      <w:r>
        <w:t xml:space="preserve"> </w:t>
      </w:r>
      <w:r>
        <w:t xml:space="preserve">Less Is More</w:t>
      </w:r>
      <w:r>
        <w:t xml:space="preserve"> </w:t>
      </w:r>
      <w:r>
        <w:t xml:space="preserve"> </w:t>
      </w:r>
      <w:r>
        <w:t xml:space="preserve">.</w:t>
      </w:r>
    </w:p>
    <w:p>
      <w:pPr>
        <w:pStyle w:val="Compact"/>
        <w:numPr>
          <w:ilvl w:val="1"/>
          <w:numId w:val="1000"/>
        </w:numPr>
      </w:pPr>
      <w:r>
        <w:t xml:space="preserve"> </w:t>
      </w:r>
      <w:r>
        <w:t xml:space="preserve">Reparations economics:</w:t>
      </w:r>
      <w:r>
        <w:t xml:space="preserve"> </w:t>
      </w:r>
      <w:r>
        <w:t xml:space="preserve"> </w:t>
      </w:r>
      <w:r>
        <w:t xml:space="preserve">Darity &amp; Mullen 2020</w:t>
      </w:r>
      <w:r>
        <w:t xml:space="preserve"> </w:t>
      </w:r>
      <w:r>
        <w:t xml:space="preserve"> </w:t>
      </w:r>
      <w:r>
        <w:t xml:space="preserve">From Here to Equality</w:t>
      </w:r>
      <w:r>
        <w:t xml:space="preserve"> </w:t>
      </w:r>
      <w:r>
        <w:t xml:space="preserve"> </w:t>
      </w:r>
      <w:r>
        <w:t xml:space="preserve">(UNC Press) — reparations economics methodology.</w:t>
      </w:r>
    </w:p>
    <w:p>
      <w:pPr>
        <w:pStyle w:val="Compact"/>
        <w:numPr>
          <w:ilvl w:val="1"/>
          <w:numId w:val="1000"/>
        </w:numPr>
      </w:pPr>
      <w:r>
        <w:t xml:space="preserve"> </w:t>
      </w:r>
      <w:r>
        <w:t xml:space="preserve">Neo-republican / civic ethics:</w:t>
      </w:r>
      <w:r>
        <w:t xml:space="preserve"> </w:t>
      </w:r>
      <w:r>
        <w:t xml:space="preserve"> </w:t>
      </w:r>
      <w:r>
        <w:t xml:space="preserve">Anderson 2017</w:t>
      </w:r>
      <w:r>
        <w:t xml:space="preserve"> </w:t>
      </w:r>
      <w:r>
        <w:t xml:space="preserve"> </w:t>
      </w:r>
      <w:r>
        <w:t xml:space="preserve">Private Government</w:t>
      </w:r>
      <w:r>
        <w:t xml:space="preserve"> </w:t>
      </w:r>
      <w:r>
        <w:t xml:space="preserve"> </w:t>
      </w:r>
      <w:r>
        <w:t xml:space="preserve">; Pettit 1997</w:t>
      </w:r>
      <w:r>
        <w:t xml:space="preserve"> </w:t>
      </w:r>
      <w:r>
        <w:t xml:space="preserve"> </w:t>
      </w:r>
      <w:r>
        <w:t xml:space="preserve">Republicanism</w:t>
      </w:r>
      <w:r>
        <w:t xml:space="preserve"> </w:t>
      </w:r>
      <w:r>
        <w:t xml:space="preserve"> </w:t>
      </w:r>
      <w:r>
        <w:t xml:space="preserve">.</w:t>
      </w:r>
    </w:p>
    <w:p>
      <w:pPr>
        <w:pStyle w:val="Compact"/>
        <w:numPr>
          <w:ilvl w:val="1"/>
          <w:numId w:val="1000"/>
        </w:numPr>
      </w:pPr>
      <w:r>
        <w:t xml:space="preserve"> </w:t>
      </w:r>
      <w:r>
        <w:t xml:space="preserve">Established US legal vocabulary:</w:t>
      </w:r>
      <w:r>
        <w:t xml:space="preserve"> </w:t>
      </w:r>
      <w:r>
        <w:t xml:space="preserve"> </w:t>
      </w:r>
      <w:r>
        <w:t xml:space="preserve">~36 state severance-tax statutes (cited above) — severance-tax precedent is the existing US legal vocabulary nearest to what</w:t>
      </w:r>
      <w:r>
        <w:t xml:space="preserve"> </w:t>
      </w:r>
      <w:r>
        <w:t xml:space="preserve"> </w:t>
      </w:r>
      <w:r>
        <w:t xml:space="preserve">Cost Severance Damages</w:t>
      </w:r>
      <w:r>
        <w:t xml:space="preserve"> </w:t>
      </w:r>
    </w:p>
    <w:p>
      <w:pPr>
        <w:pStyle w:val="Compact"/>
        <w:numPr>
          <w:ilvl w:val="2"/>
          <w:numId w:val="1003"/>
        </w:numPr>
      </w:pPr>
      <w:r>
        <w:t xml:space="preserve"> </w:t>
      </w:r>
      <w:r>
        <w:t xml:space="preserve">Restitution Bond</w:t>
      </w:r>
      <w:r>
        <w:t xml:space="preserve"> </w:t>
      </w:r>
    </w:p>
    <w:p>
      <w:pPr>
        <w:pStyle w:val="Compact"/>
        <w:numPr>
          <w:ilvl w:val="3"/>
          <w:numId w:val="1004"/>
        </w:numPr>
      </w:pPr>
      <w:r>
        <w:t xml:space="preserve"> </w:t>
      </w:r>
      <w:r>
        <w:t xml:space="preserve">Foreclosure Bond</w:t>
      </w:r>
      <w:r>
        <w:t xml:space="preserve"> </w:t>
      </w:r>
      <w:r>
        <w:t xml:space="preserve"> </w:t>
      </w:r>
      <w:r>
        <w:t xml:space="preserve">architecture extends.</w:t>
      </w:r>
    </w:p>
    <w:p>
      <w:pPr>
        <w:pStyle w:val="Compact"/>
        <w:numPr>
          <w:ilvl w:val="3"/>
          <w:numId w:val="1000"/>
        </w:numPr>
      </w:pPr>
      <w:r>
        <w:t xml:space="preserve"> </w:t>
      </w:r>
      <w:r>
        <w:t xml:space="preserve">Framework positioning:</w:t>
      </w:r>
      <w:r>
        <w:t xml:space="preserve"> </w:t>
      </w:r>
      <w:r>
        <w:t xml:space="preserve"> </w:t>
      </w:r>
      <w:r>
        <w:t xml:space="preserve"> </w:t>
      </w:r>
      <w:r>
        <w:t xml:space="preserve">Cost Severance</w:t>
      </w:r>
      <w:r>
        <w:t xml:space="preserve"> </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p>
      <w:pPr>
        <w:pStyle w:val="Compact"/>
        <w:numPr>
          <w:ilvl w:val="3"/>
          <w:numId w:val="1000"/>
        </w:numPr>
      </w:pPr>
      <w:r>
        <w:t xml:space="preserve">§15.2.2 — Foreclosure Bond methodological framing — housing-crisis affect handling</w:t>
      </w:r>
    </w:p>
    <w:p>
      <w:pPr>
        <w:pStyle w:val="Compact"/>
        <w:numPr>
          <w:ilvl w:val="3"/>
          <w:numId w:val="1000"/>
        </w:numPr>
      </w:pPr>
      <w:r>
        <w:t xml:space="preserve"> </w:t>
      </w:r>
      <w:r>
        <w:t xml:space="preserve">Rejected alternative — Rename to avoid 2008 housing-crisis affect.</w:t>
      </w:r>
      <w:r>
        <w:t xml:space="preserve"> </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t xml:space="preserve"> </w:t>
      </w:r>
      <w:r>
        <w:t xml:space="preserve">Foreclosure Cost</w:t>
      </w:r>
      <w:r>
        <w:t xml:space="preserve"> </w:t>
      </w:r>
      <w:r>
        <w:t xml:space="preserve"> </w:t>
      </w:r>
      <w:r>
        <w:t xml:space="preserve">(the cost variable that appears in the RCV integrand) — the framework architecture pairs</w:t>
      </w:r>
      <w:r>
        <w:t xml:space="preserve"> </w:t>
      </w:r>
      <w:r>
        <w:t xml:space="preserve"> </w:t>
      </w:r>
      <w:r>
        <w:t xml:space="preserve">Foreclosure Cost is what’s lost; Foreclosure Bond is what would internalize it</w:t>
      </w:r>
      <w:r>
        <w:t xml:space="preserve"> </w:t>
      </w:r>
      <w:r>
        <w:t xml:space="preserve"> </w:t>
      </w:r>
      <w:r>
        <w:t xml:space="preserve">, and that pairing is load-bearing for Ch 9</w:t>
      </w:r>
      <w:r>
        <w:t xml:space="preserve"> </w:t>
      </w:r>
      <w:r>
        <w:t xml:space="preserve"> </w:t>
      </w:r>
      <w:r>
        <w:t xml:space="preserve">Pricing Honestly</w:t>
      </w:r>
      <w:r>
        <w:t xml:space="preserve"> </w:t>
      </w:r>
      <w:r>
        <w:t xml:space="preserve"> </w:t>
      </w:r>
      <w:r>
        <w:t xml:space="preserve">‘s teaching arc; (b) dinner-table accessibility via mortgage-foreclosure analogy — mortgage-foreclosure forecloses homeowners’</w:t>
      </w:r>
      <w:r>
        <w:t xml:space="preserve"> </w:t>
      </w:r>
      <w:r>
        <w:t xml:space="preserve">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Compact"/>
        <w:numPr>
          <w:ilvl w:val="3"/>
          <w:numId w:val="1000"/>
        </w:numPr>
      </w:pPr>
      <w:r>
        <w:t xml:space="preserve">The 2008 housing-crisis affect is the term’s structural feature, not its liability: the trauma-affect on jacket-marketing register is honored via Ch 9 bridge prose at first-introduction (~250–350 words at canonical</w:t>
      </w:r>
      <w:r>
        <w:t xml:space="preserve"> </w:t>
      </w:r>
      <w:r>
        <w:t xml:space="preserve"> </w:t>
      </w:r>
      <w:r>
        <w:t xml:space="preserve">Foreclosure Bond</w:t>
      </w:r>
      <w:r>
        <w:t xml:space="preserve"> </w:t>
      </w:r>
      <w:r>
        <w:t xml:space="preserve"> </w:t>
      </w:r>
      <w:r>
        <w:t xml:space="preserve">first-mention) that surfaces the race-and-housing-economics scholarship, then names the framework’s structural commitment:</w:t>
      </w:r>
      <w:r>
        <w:t xml:space="preserve"> </w:t>
      </w:r>
      <w:r>
        <w:t xml:space="preserve"> </w:t>
      </w:r>
      <w:r>
        <w:t xml:space="preserve">the bond is forced from extractors to internalize the foreclosure-cost they would otherwise impose on future generations; it is not capital-deployment but capital-constraint</w:t>
      </w:r>
      <w:r>
        <w:t xml:space="preserve"> </w:t>
      </w:r>
      <w:r>
        <w:t xml:space="preserve"> </w:t>
      </w:r>
      <w:r>
        <w:t xml:space="preserve">.</w:t>
      </w:r>
    </w:p>
    <w:p>
      <w:pPr>
        <w:pStyle w:val="Compact"/>
        <w:numPr>
          <w:ilvl w:val="3"/>
          <w:numId w:val="1000"/>
        </w:numPr>
      </w:pPr>
      <w:r>
        <w:t xml:space="preserve">Lineage clusters:</w:t>
      </w:r>
    </w:p>
    <w:p>
      <w:pPr>
        <w:pStyle w:val="Compact"/>
        <w:numPr>
          <w:ilvl w:val="3"/>
          <w:numId w:val="1000"/>
        </w:numPr>
      </w:pPr>
      <w:r>
        <w:t xml:space="preserve"> </w:t>
      </w:r>
      <w:r>
        <w:t xml:space="preserve">Resource economics — Hotelling/Hartwick lineage:</w:t>
      </w:r>
      <w:r>
        <w:t xml:space="preserve"> </w:t>
      </w:r>
      <w:r>
        <w:t xml:space="preserve"> </w:t>
      </w:r>
      <w:r>
        <w:t xml:space="preserve">Hotelling 1931</w:t>
      </w:r>
      <w:r>
        <w:t xml:space="preserve"> </w:t>
      </w:r>
      <w:r>
        <w:t xml:space="preserve"> </w:t>
      </w:r>
      <w:r>
        <w:t xml:space="preserve">Journal of Political Economy</w:t>
      </w:r>
      <w:r>
        <w:t xml:space="preserve"> </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pStyle w:val="Compact"/>
        <w:numPr>
          <w:ilvl w:val="3"/>
          <w:numId w:val="1000"/>
        </w:numPr>
      </w:pPr>
      <w:r>
        <w:t xml:space="preserve"> </w:t>
      </w:r>
      <w:r>
        <w:t xml:space="preserve">Race + housing-economics:</w:t>
      </w:r>
      <w:r>
        <w:t xml:space="preserve"> </w:t>
      </w:r>
      <w:r>
        <w:t xml:space="preserve"> </w:t>
      </w:r>
      <w:r>
        <w:t xml:space="preserve">Mian &amp; Sufi 2014</w:t>
      </w:r>
      <w:r>
        <w:t xml:space="preserve"> </w:t>
      </w:r>
      <w:r>
        <w:t xml:space="preserve"> </w:t>
      </w:r>
      <w:r>
        <w:t xml:space="preserve">House of Debt</w:t>
      </w:r>
      <w:r>
        <w:t xml:space="preserve"> </w:t>
      </w:r>
      <w:r>
        <w:t xml:space="preserve"> </w:t>
      </w:r>
      <w:r>
        <w:t xml:space="preserve">; Rothstein 2017</w:t>
      </w:r>
      <w:r>
        <w:t xml:space="preserve"> </w:t>
      </w:r>
      <w:r>
        <w:t xml:space="preserve"> </w:t>
      </w:r>
      <w:r>
        <w:t xml:space="preserve">The Color of Law</w:t>
      </w:r>
      <w:r>
        <w:t xml:space="preserve"> </w:t>
      </w:r>
      <w:r>
        <w:t xml:space="preserve"> </w:t>
      </w:r>
      <w:r>
        <w:t xml:space="preserve">; Taylor 2019</w:t>
      </w:r>
      <w:r>
        <w:t xml:space="preserve"> </w:t>
      </w:r>
      <w:r>
        <w:t xml:space="preserve"> </w:t>
      </w:r>
      <w:r>
        <w:t xml:space="preserve">Race for Profit</w:t>
      </w:r>
      <w:r>
        <w:t xml:space="preserve"> </w:t>
      </w:r>
      <w:r>
        <w:t xml:space="preserve"> </w:t>
      </w:r>
      <w:r>
        <w:t xml:space="preserve">; Coates 2014</w:t>
      </w:r>
      <w:r>
        <w:t xml:space="preserve"> </w:t>
      </w:r>
      <w:r>
        <w:t xml:space="preserve">“The Case for Reparations”</w:t>
      </w:r>
      <w:r>
        <w:t xml:space="preserve">; Hyman 2011</w:t>
      </w:r>
      <w:r>
        <w:t xml:space="preserve"> </w:t>
      </w:r>
      <w:r>
        <w:t xml:space="preserve"> </w:t>
      </w:r>
      <w:r>
        <w:t xml:space="preserve">Debtor Nation</w:t>
      </w:r>
      <w:r>
        <w:t xml:space="preserve"> </w:t>
      </w:r>
      <w:r>
        <w:t xml:space="preserve"> </w:t>
      </w:r>
      <w:r>
        <w:t xml:space="preserve">; Sugrue 1996</w:t>
      </w:r>
      <w:r>
        <w:t xml:space="preserve"> </w:t>
      </w:r>
      <w:r>
        <w:t xml:space="preserve"> </w:t>
      </w:r>
      <w:r>
        <w:t xml:space="preserve">The Origins of the Urban Crisis</w:t>
      </w:r>
      <w:r>
        <w:t xml:space="preserve"> </w:t>
      </w:r>
      <w:r>
        <w:t xml:space="preserve"> </w:t>
      </w:r>
      <w:r>
        <w:t xml:space="preserve">; Desmond 2016</w:t>
      </w:r>
      <w:r>
        <w:t xml:space="preserve"> </w:t>
      </w:r>
      <w:r>
        <w:t xml:space="preserve"> </w:t>
      </w:r>
      <w:r>
        <w:t xml:space="preserve">Evicted</w:t>
      </w:r>
      <w:r>
        <w:t xml:space="preserve"> </w:t>
      </w:r>
      <w:r>
        <w:t xml:space="preserve"> </w:t>
      </w:r>
      <w:r>
        <w:t xml:space="preserve">.</w:t>
      </w:r>
    </w:p>
    <w:p>
      <w:pPr>
        <w:pStyle w:val="Compact"/>
        <w:numPr>
          <w:ilvl w:val="3"/>
          <w:numId w:val="1000"/>
        </w:numPr>
      </w:pPr>
      <w:r>
        <w:t xml:space="preserve"> </w:t>
      </w:r>
      <w:r>
        <w:t xml:space="preserve">Decolonial / colonial-foreclosure</w:t>
      </w:r>
      <w:r>
        <w:t xml:space="preserve"> </w:t>
      </w:r>
      <w:r>
        <w:t xml:space="preserve"> </w:t>
      </w:r>
      <w:r>
        <w:t xml:space="preserve">(cross-reference §15.2.1): Wolfe 1999; Coulthard 2014; Tuck &amp; Yang 2012; Whyte.</w:t>
      </w:r>
    </w:p>
    <w:p>
      <w:pPr>
        <w:pStyle w:val="Compact"/>
        <w:numPr>
          <w:ilvl w:val="3"/>
          <w:numId w:val="1000"/>
        </w:numPr>
      </w:pPr>
      <w:r>
        <w:t xml:space="preserve"> </w:t>
      </w:r>
      <w:r>
        <w:t xml:space="preserve">Reparations economics — forward-looking analog:</w:t>
      </w:r>
      <w:r>
        <w:t xml:space="preserve"> </w:t>
      </w:r>
      <w:r>
        <w:t xml:space="preserve"> </w:t>
      </w:r>
      <w:r>
        <w:t xml:space="preserve">Darity &amp; Mullen 2020</w:t>
      </w:r>
      <w:r>
        <w:t xml:space="preserve"> </w:t>
      </w:r>
      <w:r>
        <w:t xml:space="preserve"> </w:t>
      </w:r>
      <w:r>
        <w:t xml:space="preserve">From Here to Equality</w:t>
      </w:r>
      <w:r>
        <w:t xml:space="preserve"> </w:t>
      </w:r>
      <w:r>
        <w:t xml:space="preserve"> </w:t>
      </w:r>
      <w:r>
        <w:t xml:space="preserve">— symmetric application to</w:t>
      </w:r>
      <w:r>
        <w:t xml:space="preserve"> </w:t>
      </w:r>
      <w:r>
        <w:t xml:space="preserve"> </w:t>
      </w:r>
      <w:r>
        <w:t xml:space="preserve">Foreclosure Bond</w:t>
      </w:r>
      <w:r>
        <w:t xml:space="preserve"> </w:t>
      </w:r>
      <w:r>
        <w:t xml:space="preserve"> </w:t>
      </w:r>
      <w:r>
        <w:t xml:space="preserve">as forward-looking analog of backward-looking restitution.</w:t>
      </w:r>
    </w:p>
    <w:p>
      <w:pPr>
        <w:pStyle w:val="Compact"/>
        <w:numPr>
          <w:ilvl w:val="3"/>
          <w:numId w:val="1000"/>
        </w:numPr>
      </w:pPr>
      <w:r>
        <w:t xml:space="preserve"> </w:t>
      </w:r>
      <w:r>
        <w:t xml:space="preserve">US regulatory precedent:</w:t>
      </w:r>
      <w:r>
        <w:t xml:space="preserve"> </w:t>
      </w:r>
      <w:r>
        <w:t xml:space="preserve"> </w:t>
      </w:r>
      <w:r>
        <w:t xml:space="preserve">BLM 43 CFR Part 3162; BSEE 30 CFR Parts 250 + 254; ~36 state plugging/abandonment bond regimes; CERCLA / RCRA financial-assurance; SMCRA 1977 reclamation bonds; Environmental Impact Bonds (Balboa 2016).</w:t>
      </w:r>
    </w:p>
    <w:p>
      <w:pPr>
        <w:pStyle w:val="Compact"/>
        <w:numPr>
          <w:ilvl w:val="3"/>
          <w:numId w:val="1000"/>
        </w:numPr>
      </w:pPr>
      <w:r>
        <w:t xml:space="preserve"> </w:t>
      </w:r>
      <w:r>
        <w:t xml:space="preserve">Pigouvian carbon-taxation:</w:t>
      </w:r>
      <w:r>
        <w:t xml:space="preserve"> </w:t>
      </w:r>
      <w:r>
        <w:t xml:space="preserve"> </w:t>
      </w:r>
      <w:r>
        <w:t xml:space="preserve">Pigou 1920</w:t>
      </w:r>
      <w:r>
        <w:t xml:space="preserve"> </w:t>
      </w:r>
      <w:r>
        <w:t xml:space="preserve"> </w:t>
      </w:r>
      <w:r>
        <w:t xml:space="preserve">Economics of Welfare</w:t>
      </w:r>
      <w:r>
        <w:t xml:space="preserve"> </w:t>
      </w:r>
      <w:r>
        <w:t xml:space="preserve"> </w:t>
      </w:r>
      <w:r>
        <w:t xml:space="preserve">.</w:t>
      </w:r>
    </w:p>
    <w:p>
      <w:pPr>
        <w:pStyle w:val="Compact"/>
        <w:numPr>
          <w:ilvl w:val="3"/>
          <w:numId w:val="1000"/>
        </w:numPr>
      </w:pPr>
      <w:r>
        <w:t xml:space="preserve"> </w:t>
      </w:r>
      <w:r>
        <w:t xml:space="preserve">Framework positioning:</w:t>
      </w:r>
      <w:r>
        <w:t xml:space="preserve"> </w:t>
      </w:r>
      <w:r>
        <w:t xml:space="preserve"> </w:t>
      </w:r>
      <w:r>
        <w:t xml:space="preserve"> </w:t>
      </w:r>
      <w:r>
        <w:t xml:space="preserve">Foreclosure Bond</w:t>
      </w:r>
      <w:r>
        <w:t xml:space="preserve"> </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p>
      <w:pPr>
        <w:pStyle w:val="Compact"/>
        <w:numPr>
          <w:ilvl w:val="3"/>
          <w:numId w:val="1000"/>
        </w:numPr>
      </w:pPr>
      <w:r>
        <w:t xml:space="preserve">§15.2.3 — Intergenerational Option Value methodological framing — framework specialization</w:t>
      </w:r>
    </w:p>
    <w:p>
      <w:pPr>
        <w:pStyle w:val="Compact"/>
        <w:numPr>
          <w:ilvl w:val="3"/>
          <w:numId w:val="1000"/>
        </w:numPr>
      </w:pPr>
      <w:r>
        <w:t xml:space="preserve"> </w:t>
      </w:r>
      <w:r>
        <w:t xml:space="preserve">Rejected alternative — Defer to established option-value literature without dedicated framework term.</w:t>
      </w:r>
      <w:r>
        <w:t xml:space="preserve"> </w:t>
      </w:r>
      <w:r>
        <w:t xml:space="preserve"> </w:t>
      </w:r>
      <w:r>
        <w:t xml:space="preserve">The academic-borrowed-uncoined alternative was considered: Henry 1974 + Arrow &amp; Fisher 1974 + Dixit &amp; Pindyck 1994</w:t>
      </w:r>
      <w:r>
        <w:t xml:space="preserve"> </w:t>
      </w:r>
      <w:r>
        <w:t xml:space="preserve"> </w:t>
      </w:r>
      <w:r>
        <w:t xml:space="preserve">Investment under Uncertainty</w:t>
      </w:r>
      <w:r>
        <w:t xml:space="preserve"> </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t xml:space="preserve"> </w:t>
      </w:r>
      <w:r>
        <w:t xml:space="preserve">The Existence Proof</w:t>
      </w:r>
      <w:r>
        <w:t xml:space="preserve"> </w:t>
      </w:r>
      <w:r>
        <w:t xml:space="preserve"> </w:t>
      </w:r>
      <w:r>
        <w:t xml:space="preserve">frames the entire chapter argument via option-value reasoning. The framework specializes generic option-value-under-irreversibility for the intergenerational temporal-scope axis:</w:t>
      </w:r>
      <w:r>
        <w:t xml:space="preserve"> </w:t>
      </w:r>
      <w:r>
        <w:t xml:space="preserve"> </w:t>
      </w:r>
      <w:r>
        <w:t xml:space="preserve">the</w:t>
      </w:r>
      <w:r>
        <w:t xml:space="preserve"> </w:t>
      </w:r>
      <w:r>
        <w:t xml:space="preserve"> </w:t>
      </w:r>
      <w:r>
        <w:t xml:space="preserve">Intergenerational Option Value</w:t>
      </w:r>
      <w:r>
        <w:t xml:space="preserve"> </w:t>
      </w:r>
      <w:r>
        <w:t xml:space="preserve"> </w:t>
      </w:r>
      <w:r>
        <w:t xml:space="preserve">is the value that future generations forgo when present extraction forecloses options-substitution paths they have not yet had the opportunity to develop</w:t>
      </w:r>
      <w:r>
        <w:t xml:space="preserve"> </w:t>
      </w:r>
      <w:r>
        <w:t xml:space="preserve"> </w:t>
      </w:r>
      <w:r>
        <w:t xml:space="preserve">. Without naming this specialization, Ch 4’s argument relies on reader-side translation from the established option-value literature, which the chapter’s audience does not uniformly carry.</w:t>
      </w:r>
    </w:p>
    <w:p>
      <w:pPr>
        <w:pStyle w:val="Compact"/>
        <w:numPr>
          <w:ilvl w:val="3"/>
          <w:numId w:val="1000"/>
        </w:numPr>
      </w:pPr>
      <w:r>
        <w:t xml:space="preserve">Lineage clusters:</w:t>
      </w:r>
    </w:p>
    <w:p>
      <w:pPr>
        <w:pStyle w:val="Compact"/>
        <w:numPr>
          <w:ilvl w:val="3"/>
          <w:numId w:val="1000"/>
        </w:numPr>
      </w:pPr>
      <w:r>
        <w:t xml:space="preserve"> </w:t>
      </w:r>
      <w:r>
        <w:t xml:space="preserve">Foundational option-value-under-irreversibility:</w:t>
      </w:r>
      <w:r>
        <w:t xml:space="preserve"> </w:t>
      </w:r>
      <w:r>
        <w:t xml:space="preserve"> </w:t>
      </w:r>
      <w:r>
        <w:t xml:space="preserve">Henry 1974 (quasi-option value); Arrow &amp; Fisher 1974 (uncertainty + irreversibility + welfare).</w:t>
      </w:r>
    </w:p>
    <w:p>
      <w:pPr>
        <w:pStyle w:val="Compact"/>
        <w:numPr>
          <w:ilvl w:val="3"/>
          <w:numId w:val="1000"/>
        </w:numPr>
      </w:pPr>
      <w:r>
        <w:t xml:space="preserve"> </w:t>
      </w:r>
      <w:r>
        <w:t xml:space="preserve">Real-options theory:</w:t>
      </w:r>
      <w:r>
        <w:t xml:space="preserve"> </w:t>
      </w:r>
      <w:r>
        <w:t xml:space="preserve"> </w:t>
      </w:r>
      <w:r>
        <w:t xml:space="preserve">Dixit &amp; Pindyck 1994</w:t>
      </w:r>
      <w:r>
        <w:t xml:space="preserve"> </w:t>
      </w:r>
      <w:r>
        <w:t xml:space="preserve"> </w:t>
      </w:r>
      <w:r>
        <w:t xml:space="preserve">Investment under Uncertainty</w:t>
      </w:r>
      <w:r>
        <w:t xml:space="preserve"> </w:t>
      </w:r>
      <w:r>
        <w:t xml:space="preserve"> </w:t>
      </w:r>
      <w:r>
        <w:t xml:space="preserve">(Princeton) — irreversibility-as-decision-axis.</w:t>
      </w:r>
    </w:p>
    <w:p>
      <w:pPr>
        <w:pStyle w:val="Compact"/>
        <w:numPr>
          <w:ilvl w:val="3"/>
          <w:numId w:val="1000"/>
        </w:numPr>
      </w:pPr>
      <w:r>
        <w:t xml:space="preserve"> </w:t>
      </w:r>
      <w:r>
        <w:t xml:space="preserve">Intergenerational equity + ecological-economics specialization:</w:t>
      </w:r>
      <w:r>
        <w:t xml:space="preserve"> </w:t>
      </w:r>
      <w:r>
        <w:t xml:space="preserve"> </w:t>
      </w:r>
      <w:r>
        <w:t xml:space="preserve">Howarth &amp; Norgaard 1990</w:t>
      </w:r>
      <w:r>
        <w:t xml:space="preserve"> </w:t>
      </w:r>
      <w:r>
        <w:t xml:space="preserve"> </w:t>
      </w:r>
      <w:r>
        <w:t xml:space="preserve">American Economic Review</w:t>
      </w:r>
      <w:r>
        <w:t xml:space="preserve"> </w:t>
      </w:r>
      <w:r>
        <w:t xml:space="preserve"> </w:t>
      </w:r>
      <w:r>
        <w:t xml:space="preserve">; Howarth &amp; Norgaard 1992</w:t>
      </w:r>
      <w:r>
        <w:t xml:space="preserve"> </w:t>
      </w:r>
      <w:r>
        <w:t xml:space="preserve"> </w:t>
      </w:r>
      <w:r>
        <w:t xml:space="preserve">Environmental and Resource Economics</w:t>
      </w:r>
      <w:r>
        <w:t xml:space="preserve"> </w:t>
      </w:r>
      <w:r>
        <w:t xml:space="preserve"> </w:t>
      </w:r>
      <w:r>
        <w:t xml:space="preserve">— intergenerational-equity option-value treatment in environmental economics.</w:t>
      </w:r>
    </w:p>
    <w:p>
      <w:pPr>
        <w:pStyle w:val="Compact"/>
        <w:numPr>
          <w:ilvl w:val="3"/>
          <w:numId w:val="1000"/>
        </w:numPr>
      </w:pPr>
      <w:r>
        <w:t xml:space="preserve"> </w:t>
      </w:r>
      <w:r>
        <w:t xml:space="preserve">Cross-tradition reference for socialist/communitarian + lived-oppression registers:</w:t>
      </w:r>
      <w:r>
        <w:t xml:space="preserve"> </w:t>
      </w:r>
      <w:r>
        <w:t xml:space="preserve"> </w:t>
      </w:r>
      <w:r>
        <w:t xml:space="preserve">Brown Weiss 1989</w:t>
      </w:r>
      <w:r>
        <w:t xml:space="preserve"> </w:t>
      </w:r>
      <w:r>
        <w:t xml:space="preserve"> </w:t>
      </w:r>
      <w:r>
        <w:t xml:space="preserve">In Fairness to Future Generations</w:t>
      </w:r>
      <w:r>
        <w:t xml:space="preserve"> </w:t>
      </w:r>
      <w:r>
        <w:t xml:space="preserve"> </w:t>
      </w:r>
      <w:r>
        <w:t xml:space="preserve">(Transnational Publishers) — international-law tradition of intergenerational equity that frames the same content in justice-vocabulary register; Pettit 1997</w:t>
      </w:r>
      <w:r>
        <w:t xml:space="preserve"> </w:t>
      </w:r>
      <w:r>
        <w:t xml:space="preserve"> </w:t>
      </w:r>
      <w:r>
        <w:t xml:space="preserve">Republicanism</w:t>
      </w:r>
      <w:r>
        <w:t xml:space="preserve"> </w:t>
      </w:r>
    </w:p>
    <w:p>
      <w:pPr>
        <w:pStyle w:val="Compact"/>
        <w:numPr>
          <w:ilvl w:val="3"/>
          <w:numId w:val="1004"/>
        </w:numPr>
      </w:pPr>
      <w:r>
        <w:t xml:space="preserve">Anderson 2017</w:t>
      </w:r>
      <w:r>
        <w:t xml:space="preserve"> </w:t>
      </w:r>
      <w:r>
        <w:t xml:space="preserve"> </w:t>
      </w:r>
      <w:r>
        <w:t xml:space="preserve">Private Government</w:t>
      </w:r>
      <w:r>
        <w:t xml:space="preserve"> </w:t>
      </w:r>
      <w:r>
        <w:t xml:space="preserve"> </w:t>
      </w:r>
      <w:r>
        <w:t xml:space="preserve">(cross-reference §15.2.1) — civic-republican / neo-republican vocabulary for honoring present-suffering claims alongside future-generation claims.</w:t>
      </w:r>
    </w:p>
    <w:p>
      <w:pPr>
        <w:pStyle w:val="Compact"/>
        <w:numPr>
          <w:ilvl w:val="3"/>
          <w:numId w:val="1000"/>
        </w:numPr>
      </w:pPr>
      <w:r>
        <w:t xml:space="preserve"> </w:t>
      </w:r>
      <w:r>
        <w:t xml:space="preserve">Framework positioning:</w:t>
      </w:r>
      <w:r>
        <w:t xml:space="preserve"> </w:t>
      </w:r>
      <w:r>
        <w:t xml:space="preserve"> </w:t>
      </w:r>
      <w:r>
        <w:t xml:space="preserve"> </w:t>
      </w:r>
      <w:r>
        <w:t xml:space="preserve">Intergenerational Option Value</w:t>
      </w:r>
      <w:r>
        <w:t xml:space="preserve"> </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p>
      <w:pPr>
        <w:pStyle w:val="Compact"/>
        <w:numPr>
          <w:ilvl w:val="3"/>
          <w:numId w:val="1000"/>
        </w:numPr>
      </w:pPr>
      <w:r>
        <w:t xml:space="preserve">§16. Mathematical Extensions</w:t>
      </w:r>
    </w:p>
    <w:p>
      <w:pPr>
        <w:pStyle w:val="Compact"/>
        <w:numPr>
          <w:ilvl w:val="3"/>
          <w:numId w:val="1000"/>
        </w:numPr>
      </w:pPr>
      <w:r>
        <w:t xml:space="preserve">§16.1 — RCV with Variable Discount Rates (Weitzman Specification)</w:t>
      </w:r>
    </w:p>
    <w:p>
      <w:pPr>
        <w:pStyle w:val="Compact"/>
        <w:numPr>
          <w:ilvl w:val="3"/>
          <w:numId w:val="1000"/>
        </w:numPr>
      </w:pPr>
      <w:r>
        <w:t xml:space="preserve">RCV = ∫t₀∞ { [1 − S(t)] · U(R, t, Q(t)) + E(R, t) } · exp(−∫t₀t r(u)du) dt</w:t>
      </w:r>
    </w:p>
    <w:p>
      <w:pPr>
        <w:pStyle w:val="Compact"/>
        <w:numPr>
          <w:ilvl w:val="3"/>
          <w:numId w:val="1000"/>
        </w:numPr>
      </w:pPr>
      <w:r>
        <w:t xml:space="preserve">where r(t) = r₀ · e−δt + r_min</w:t>
      </w:r>
    </w:p>
    <w:p>
      <w:pPr>
        <w:pStyle w:val="Compact"/>
        <w:numPr>
          <w:ilvl w:val="3"/>
          <w:numId w:val="1000"/>
        </w:numPr>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p>
      <w:pPr>
        <w:pStyle w:val="Compact"/>
        <w:numPr>
          <w:ilvl w:val="3"/>
          <w:numId w:val="1000"/>
        </w:numPr>
      </w:pPr>
      <w:r>
        <w:t xml:space="preserve">§16.2 — Stock-Dependent Substitutability</w:t>
      </w:r>
    </w:p>
    <w:p>
      <w:pPr>
        <w:pStyle w:val="Compact"/>
        <w:numPr>
          <w:ilvl w:val="3"/>
          <w:numId w:val="1000"/>
        </w:numPr>
      </w:pPr>
      <w:r>
        <w:t xml:space="preserve">S(t | t₀, Q(t)) = S_base(t) · [1 − α · (Q_critical / Q(t))β]</w:t>
      </w:r>
    </w:p>
    <w:p>
      <w:pPr>
        <w:pStyle w:val="Compact"/>
        <w:numPr>
          <w:ilvl w:val="3"/>
          <w:numId w:val="1000"/>
        </w:numPr>
      </w:pPr>
      <w:r>
        <w:t xml:space="preserve">where α, β &gt; 0 capture scarcity effects on innovation incentives</w:t>
      </w:r>
    </w:p>
    <w:p>
      <w:pPr>
        <w:pStyle w:val="Compact"/>
        <w:numPr>
          <w:ilvl w:val="3"/>
          <w:numId w:val="1000"/>
        </w:numPr>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w:t>
      </w:r>
      <w:r>
        <w:t xml:space="preserve"> </w:t>
      </w:r>
      <w:r>
        <w:t xml:space="preserve">“stranded asset risk”</w:t>
      </w:r>
      <w:r>
        <w:t xml:space="preserve"> </w:t>
      </w:r>
      <w:r>
        <w:t xml:space="preserve">— industries that extracted too fast find themselves without substitutes when they need them.</w:t>
      </w:r>
    </w:p>
    <w:p>
      <w:pPr>
        <w:pStyle w:val="Compact"/>
        <w:numPr>
          <w:ilvl w:val="3"/>
          <w:numId w:val="1000"/>
        </w:numPr>
      </w:pPr>
      <w:r>
        <w:t xml:space="preserve">§16.3 — Spatial cost severance formalization</w:t>
      </w:r>
    </w:p>
    <w:p>
      <w:pPr>
        <w:pStyle w:val="Compact"/>
        <w:numPr>
          <w:ilvl w:val="3"/>
          <w:numId w:val="1000"/>
        </w:numPr>
      </w:pPr>
      <w:r>
        <w:t xml:space="preserve">SCS = ∫</w:t>
      </w:r>
      <w:r>
        <w:t xml:space="preserve">E∖K</w:t>
      </w:r>
      <w:r>
        <w:t xml:space="preserve"> ∫</w:t>
      </w:r>
      <w:r>
        <w:t xml:space="preserve">time</w:t>
      </w:r>
      <w:r>
        <w:t xml:space="preserve"> C(x, t) dx dt</w:t>
      </w:r>
    </w:p>
    <w:p>
      <w:pPr>
        <w:pStyle w:val="Compact"/>
        <w:numPr>
          <w:ilvl w:val="3"/>
          <w:numId w:val="1000"/>
        </w:numPr>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Compact"/>
        <w:numPr>
          <w:ilvl w:val="3"/>
          <w:numId w:val="1000"/>
        </w:numPr>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Compact"/>
        <w:numPr>
          <w:ilvl w:val="3"/>
          <w:numId w:val="1000"/>
        </w:numPr>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p>
      <w:pPr>
        <w:pStyle w:val="Compact"/>
        <w:numPr>
          <w:ilvl w:val="3"/>
          <w:numId w:val="1000"/>
        </w:numPr>
      </w:pPr>
      <w:r>
        <w:t xml:space="preserve">§16.4 — Sensitivity Analysis Summary</w:t>
      </w:r>
    </w:p>
    <w:p>
      <w:pPr>
        <w:pStyle w:val="Compact"/>
        <w:numPr>
          <w:ilvl w:val="3"/>
          <w:numId w:val="1000"/>
        </w:numPr>
      </w:pPr>
      <w:r>
        <w:t xml:space="preserve">The following table shows how the McDowell County IPG (central case) responds to parameter variation:</w:t>
      </w:r>
    </w:p>
    <w:p>
      <w:pPr>
        <w:pStyle w:val="Compact"/>
        <w:numPr>
          <w:ilvl w:val="3"/>
          <w:numId w:val="1000"/>
        </w:numPr>
      </w:pPr>
      <w:r>
        <w:t xml:space="preserve">Parameter</w:t>
      </w:r>
    </w:p>
    <w:p>
      <w:pPr>
        <w:pStyle w:val="Compact"/>
        <w:numPr>
          <w:ilvl w:val="3"/>
          <w:numId w:val="1000"/>
        </w:numPr>
      </w:pPr>
      <w:r>
        <w:t xml:space="preserve">Baseline</w:t>
      </w:r>
    </w:p>
    <w:p>
      <w:pPr>
        <w:pStyle w:val="Compact"/>
        <w:numPr>
          <w:ilvl w:val="3"/>
          <w:numId w:val="1000"/>
        </w:numPr>
      </w:pPr>
      <w:r>
        <w:t xml:space="preserve">Low Case</w:t>
      </w:r>
    </w:p>
    <w:p>
      <w:pPr>
        <w:pStyle w:val="Compact"/>
        <w:numPr>
          <w:ilvl w:val="3"/>
          <w:numId w:val="1000"/>
        </w:numPr>
      </w:pPr>
      <w:r>
        <w:t xml:space="preserve">High Case</w:t>
      </w:r>
    </w:p>
    <w:p>
      <w:pPr>
        <w:pStyle w:val="Compact"/>
        <w:numPr>
          <w:ilvl w:val="3"/>
          <w:numId w:val="1000"/>
        </w:numPr>
      </w:pPr>
      <w:r>
        <w:t xml:space="preserve">IPG Range</w:t>
      </w:r>
    </w:p>
    <w:p>
      <w:pPr>
        <w:pStyle w:val="Compact"/>
        <w:numPr>
          <w:ilvl w:val="3"/>
          <w:numId w:val="1000"/>
        </w:numPr>
      </w:pPr>
      <w:r>
        <w:t xml:space="preserve">Discount rate r₀</w:t>
      </w:r>
    </w:p>
    <w:p>
      <w:pPr>
        <w:pStyle w:val="Compact"/>
        <w:numPr>
          <w:ilvl w:val="3"/>
          <w:numId w:val="1000"/>
        </w:numPr>
      </w:pPr>
      <w:r>
        <w:t xml:space="preserve">4%</w:t>
      </w:r>
    </w:p>
    <w:p>
      <w:pPr>
        <w:pStyle w:val="Compact"/>
        <w:numPr>
          <w:ilvl w:val="3"/>
          <w:numId w:val="1000"/>
        </w:numPr>
      </w:pPr>
      <w:r>
        <w:t xml:space="preserve">1.4% (Stern)</w:t>
      </w:r>
    </w:p>
    <w:p>
      <w:pPr>
        <w:pStyle w:val="Compact"/>
        <w:numPr>
          <w:ilvl w:val="3"/>
          <w:numId w:val="1000"/>
        </w:numPr>
      </w:pPr>
      <w:r>
        <w:t xml:space="preserve">5.5% (Nordhaus)</w:t>
      </w:r>
    </w:p>
    <w:p>
      <w:pPr>
        <w:pStyle w:val="Compact"/>
        <w:numPr>
          <w:ilvl w:val="3"/>
          <w:numId w:val="1000"/>
        </w:numPr>
      </w:pPr>
      <w:r>
        <w:t xml:space="preserve">33× to 122×</w:t>
      </w:r>
    </w:p>
    <w:p>
      <w:pPr>
        <w:pStyle w:val="Compact"/>
        <w:numPr>
          <w:ilvl w:val="3"/>
          <w:numId w:val="1000"/>
        </w:numPr>
      </w:pPr>
      <w:r>
        <w:t xml:space="preserve">S_max (electricity)</w:t>
      </w:r>
    </w:p>
    <w:p>
      <w:pPr>
        <w:pStyle w:val="Compact"/>
        <w:numPr>
          <w:ilvl w:val="3"/>
          <w:numId w:val="1000"/>
        </w:numPr>
      </w:pPr>
      <w:r>
        <w:t xml:space="preserve">0.85</w:t>
      </w:r>
    </w:p>
    <w:p>
      <w:pPr>
        <w:pStyle w:val="Compact"/>
        <w:numPr>
          <w:ilvl w:val="3"/>
          <w:numId w:val="1000"/>
        </w:numPr>
      </w:pPr>
      <w:r>
        <w:t xml:space="preserve">0.95</w:t>
      </w:r>
    </w:p>
    <w:p>
      <w:pPr>
        <w:pStyle w:val="Compact"/>
        <w:numPr>
          <w:ilvl w:val="3"/>
          <w:numId w:val="1000"/>
        </w:numPr>
      </w:pPr>
      <w:r>
        <w:t xml:space="preserve">0.70</w:t>
      </w:r>
    </w:p>
    <w:p>
      <w:pPr>
        <w:pStyle w:val="Compact"/>
        <w:numPr>
          <w:ilvl w:val="3"/>
          <w:numId w:val="1000"/>
        </w:numPr>
      </w:pPr>
      <w:r>
        <w:t xml:space="preserve">±20%</w:t>
      </w:r>
    </w:p>
    <w:p>
      <w:pPr>
        <w:pStyle w:val="Compact"/>
        <w:numPr>
          <w:ilvl w:val="3"/>
          <w:numId w:val="1000"/>
        </w:numPr>
      </w:pPr>
      <w:r>
        <w:t xml:space="preserve">Carbon SCC</w:t>
      </w:r>
    </w:p>
    <w:p>
      <w:pPr>
        <w:pStyle w:val="Compact"/>
        <w:numPr>
          <w:ilvl w:val="3"/>
          <w:numId w:val="1000"/>
        </w:numPr>
      </w:pPr>
      <w:r>
        <w:t xml:space="preserve">$190/ton CO₂ (EPA)</w:t>
      </w:r>
    </w:p>
    <w:p>
      <w:pPr>
        <w:pStyle w:val="Compact"/>
        <w:numPr>
          <w:ilvl w:val="3"/>
          <w:numId w:val="1000"/>
        </w:numPr>
      </w:pPr>
      <w:r>
        <w:t xml:space="preserve">$51 (conservative)</w:t>
      </w:r>
    </w:p>
    <w:p>
      <w:pPr>
        <w:pStyle w:val="Compact"/>
        <w:numPr>
          <w:ilvl w:val="3"/>
          <w:numId w:val="1000"/>
        </w:numPr>
      </w:pPr>
      <w:r>
        <w:t xml:space="preserve">$300+ (damage function)
       &lt;/p&gt;
      &lt;/td&gt;
      &lt;td&gt;
       &lt;p&gt;
    &amp;plusmn;60%
       &lt;/p&gt;
      &lt;/td&gt;
     &lt;/tr&gt;
     &lt;tr&gt;
      &lt;td&gt;
       &lt;p&gt;
    Externality tail length
       &lt;/p&gt;
      &lt;/td&gt;
      &lt;td&gt;
       &lt;p&gt;
    200 years
       &lt;/p&gt;
      &lt;/td&gt;
      &lt;td&gt;
       &lt;p&gt;
    100 years
       &lt;/p&gt;
      &lt;/td&gt;
      &lt;td&gt;
       &lt;p&gt;
    Indefinite
       &lt;/p&gt;
      &lt;/td&gt;
      &lt;td&gt;
       &lt;p&gt;
    &amp;plusmn;15%
       &lt;/p&gt;
      &lt;/td&gt;
     &lt;/tr&gt;
    &lt;/table&gt;
    &lt;p&gt;
     Robustness finding:&amp;nbsp;CS &amp;gt; 0 across all parameter combinations tested. Even under the most conservative assumptions (high discount rate, high S_max, low SCC, short externality tail), the McDowell County IPG &amp;ge; 5&amp;times; &amp;mdash; the market price covers at most 20% of the true cost. The central finding is robust to parameter uncertainty; only the magnitude varies.
    &lt;/p&gt;
    &lt;/section&gt;
    &lt;section id="sec-17-formula-generalization"&gt;
    &lt;h2&gt;
     &amp;sect;17. Formula Generalization &amp;mdash; Sum-of-Costs Form
    &lt;/h2&gt;
    &lt;hr&gt;
    &lt;h3&gt;
     &amp;sect;17.1 &amp;mdash; Overview
    &lt;/h3&gt;
    &lt;p&gt;
     &amp;sect;7 specifies the four gates governing admission of cost terms to the RCV integrand. This section presents the corresponding mathematical generalization of the RCV formula &amp;mdash; the sum-of-costs form &amp;mdash; and derives the properties (convergence, dimensional consistency, CS = RCV &amp;minus; B preservation) that must hold for the generalization to be sound. The generalization is the extension that makes the framework generative: new variables can be admitted as the four gates reveal them, without destabilizing the mathematical architecture. The two-term RCV formula of &amp;sect;3.1 is recovered as the n = 2 special case of the general form.
    &lt;/p&gt;
    &lt;h3&gt;
     &amp;sect;17.2 &amp;mdash; The Generalization: Formal Statement
    &lt;/h3&gt;
    &lt;p&gt;
     The two-term RCV formula (&amp;sect;3.1):
    &lt;/p&gt;
    &lt;p&gt;
     RCV(R, t0) = &amp;int;t₀&amp;infin;&amp;nbsp;{ [1 &amp;minus; S(t | t0)] &amp;middot; U(R, t, Q(t)) + E(R, t) } &amp;middot; D(t, t0) dt
    &lt;/p&gt;
    &lt;p&gt;
     is replaced by the general sum-of-costs form:
    &lt;/p&gt;
    &lt;p&gt;
     RCV(R, t0, Context) = &amp;int;t₀&amp;infin;&amp;nbsp;{ &amp;Sigma;i=1n&amp;nbsp;Ci(R, t, Context) } &amp;middot; D(t, t0) dt
    &lt;/p&gt;
    &lt;p&gt;
     where:
    &lt;/p&gt;
    &lt;p&gt;
     &amp;bull; n is the number of cost terms admitted into the integrand under the current Context;
    &lt;/p&gt;
    &lt;p&gt;
     &amp;bull; each Ci&amp;nbsp;has passed the four gates (&amp;sect;7.1-&amp;sect;7.4) under stated specifications;
    &lt;/p&gt;
    &lt;p&gt;
     &amp;bull; Context encodes the specific extraction situation (who captures value, who bears cost, what scarcity operates, what substitutability landscape exists, what externality profile, what community relationships are affected);
    &lt;/p&gt;
    &lt;p&gt;
     &amp;bull; D(t, t0) is the declining-rate discount factor per &amp;sect;16.1.
    &lt;/p&gt;
    &lt;p&gt;
     The two-term form is recovered as the special case n = 2 with C1(R, t, Context) = [1 &amp;minus; S(t | t0)] &amp;middot; U(R, t, Q(t)) (foreclosure) and C2(R, t, Context) = E(R, t) (externality tail). This equivalence is worked explicitly in &amp;sect;17.6 below.
    &lt;/p&gt;
    &lt;h3&gt;
     &amp;sect;17.3 &amp;mdash; Convergence Preservation
    &lt;/h3&gt;
    &lt;p&gt;
     Claim.&amp;nbsp;If each Ci&amp;nbsp;satisfies the boundedness gate (Gate 3, &amp;sect;7.3) individually under the stated discount factor, and n is finite, then the sum-of-costs integral converges.
    &lt;/p&gt;
    &lt;p&gt;
     Proof.&amp;nbsp;The integrand is a finite sum of functions, each of which yields a convergent integral under D by Gate 3 (&amp;sect;7.3). By linearity of integration:
    &lt;/p&gt;
    &lt;p&gt;
     &amp;int;t₀&amp;infin;&amp;nbsp;&amp;Sigma;i=1n&amp;nbsp;Ci(R, t, Context) &amp;middot; D(t, t0) dt = &amp;Sigma;i=1n&amp;nbsp;&amp;int;t₀&amp;infin;&amp;nbsp;Ci(R, t, Context) &amp;middot; D(t, t0) dt
    &lt;/p&gt;
    &lt;p&gt;
     Each term on the right is finite (Gate 3 passes individually). A finite sum of finite terms is finite. The integral of the sum converges. Q.E.D.
    &lt;/p&gt;
    &lt;p&gt;
     Remark on countable sums.&amp;nbsp;For countably many Ci&amp;nbsp;(a theoretical extension), uniform convergence of the partial sums plus absolute convergence of the sum of integrals is required. In practice, n is bounded by the empirical scope of CIT-discoverable variables in a given Context (observed bound &amp;le; ~20 across 18 case studies). Countable-sum extensions are not required for the framework&amp;rsquo;s current applied scope. Future research may address formal boundedness of n as a function of Context complexity; the current framework operates under empirical finiteness.
    &lt;/p&gt;
    &lt;p&gt;
     Interchange of sum and integral.&amp;nbsp;For finite sums, interchange is unconditional. For countable sums, the interchange requires a dominating function by the dominated convergence theorem or a monotone structure by the monotone convergence theorem. In the framework&amp;rsquo;s applied scope (finite n), no dominating function is needed; the interchange is a standard result.
    &lt;/p&gt;
    &lt;h3&gt;
     &amp;sect;17.4 &amp;mdash; Units Consistency
    &lt;/h3&gt;
    &lt;p&gt;
     Claim.&amp;nbsp;If each Ci&amp;nbsp;satisfies the dimensional gate (Gate 2, &amp;sect;7.2) (units [$</w:t>
      </w:r>
      <w:r>
        <w:t xml:space="preserve"> </w:t>
      </w:r>
      <w:r>
        <w:t xml:space="preserve">· res-unit−1 · time-unit−1]), then the sum-of-costs integral produces a quantity with units [$ · res-unit−1] — the same units as the two-term RCV.</w:t>
      </w:r>
    </w:p>
    <w:p>
      <w:pPr>
        <w:pStyle w:val="Compact"/>
        <w:numPr>
          <w:ilvl w:val="3"/>
          <w:numId w:val="1000"/>
        </w:numPr>
      </w:pPr>
      <w:r>
        <w:t xml:space="preserve">Proof. Each Ci · D(t, t0) has units:</w:t>
      </w:r>
    </w:p>
    <w:p>
      <w:pPr>
        <w:pStyle w:val="Compact"/>
        <w:numPr>
          <w:ilvl w:val="3"/>
          <w:numId w:val="1000"/>
        </w:numPr>
      </w:pPr>
      <w:r>
        <w:t xml:space="preserve">[$ · res-unit−1 · time-unit−1] · [dimensionless] = [$ · res-unit−1 · time-unit−1]</w:t>
      </w:r>
    </w:p>
    <w:p>
      <w:pPr>
        <w:pStyle w:val="Compact"/>
        <w:numPr>
          <w:ilvl w:val="3"/>
          <w:numId w:val="1000"/>
        </w:numPr>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Compact"/>
        <w:numPr>
          <w:ilvl w:val="3"/>
          <w:numId w:val="1000"/>
        </w:numPr>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p>
      <w:pPr>
        <w:pStyle w:val="Compact"/>
        <w:numPr>
          <w:ilvl w:val="3"/>
          <w:numId w:val="1000"/>
        </w:numPr>
      </w:pPr>
      <w:r>
        <w:t xml:space="preserve">§17.5 — Preservation of the Cost Severance Relation</w:t>
      </w:r>
    </w:p>
    <w:p>
      <w:pPr>
        <w:pStyle w:val="Compact"/>
        <w:numPr>
          <w:ilvl w:val="3"/>
          <w:numId w:val="1000"/>
        </w:numPr>
      </w:pPr>
      <w:r>
        <w:t xml:space="preserve">Claim. The cost severance equation CS = RCV − B (§3) holds under the generalized RCV without modification.</w:t>
      </w:r>
    </w:p>
    <w:p>
      <w:pPr>
        <w:pStyle w:val="Compact"/>
        <w:numPr>
          <w:ilvl w:val="3"/>
          <w:numId w:val="1000"/>
        </w:numPr>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Compact"/>
        <w:numPr>
          <w:ilvl w:val="3"/>
          <w:numId w:val="1000"/>
        </w:numPr>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Compact"/>
        <w:numPr>
          <w:ilvl w:val="3"/>
          <w:numId w:val="1000"/>
        </w:numPr>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Compact"/>
        <w:numPr>
          <w:ilvl w:val="3"/>
          <w:numId w:val="1000"/>
        </w:numPr>
      </w:pPr>
      <w:r>
        <w:t xml:space="preserve">Corollary — bidirectional preservation. The same preservation extends to the bidirectional form</w:t>
      </w:r>
      <w:r>
        <w:t xml:space="preserve"> </w:t>
      </w:r>
      <w: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p>
      <w:pPr>
        <w:pStyle w:val="Compact"/>
        <w:numPr>
          <w:ilvl w:val="3"/>
          <w:numId w:val="1000"/>
        </w:numPr>
      </w:pPr>
      <w:r>
        <w:t xml:space="preserve">§17.6 — Worked Derivation: The Two-Term Form as Special Case</w:t>
      </w:r>
    </w:p>
    <w:p>
      <w:pPr>
        <w:pStyle w:val="Compact"/>
        <w:numPr>
          <w:ilvl w:val="3"/>
          <w:numId w:val="1000"/>
        </w:numPr>
      </w:pPr>
      <w:r>
        <w:t xml:space="preserve">Starting from the generalized form:</w:t>
      </w:r>
    </w:p>
    <w:p>
      <w:pPr>
        <w:pStyle w:val="Compact"/>
        <w:numPr>
          <w:ilvl w:val="3"/>
          <w:numId w:val="1000"/>
        </w:numPr>
      </w:pPr>
      <w:r>
        <w:t xml:space="preserve">RCV(R, t0, Context) = ∫t₀∞ { Σi=1n Ci(R, t, Context) } · D(t, t0) dt</w:t>
      </w:r>
    </w:p>
    <w:p>
      <w:pPr>
        <w:pStyle w:val="Compact"/>
        <w:numPr>
          <w:ilvl w:val="3"/>
          <w:numId w:val="1000"/>
        </w:numPr>
      </w:pPr>
      <w:r>
        <w:t xml:space="preserve">Specify Context = “standard fossil-fuel extraction with canonical externality profile” and admit only the following two terms:</w:t>
      </w:r>
    </w:p>
    <w:p>
      <w:pPr>
        <w:pStyle w:val="Compact"/>
        <w:numPr>
          <w:ilvl w:val="3"/>
          <w:numId w:val="1000"/>
        </w:numPr>
      </w:pPr>
      <w:r>
        <w:t xml:space="preserve">C1 — Foreclosure Cost. Under this Context, foreclosure captures the value future users lose by the extracted resource not being available. Functional form:</w:t>
      </w:r>
    </w:p>
    <w:p>
      <w:pPr>
        <w:pStyle w:val="Compact"/>
        <w:numPr>
          <w:ilvl w:val="3"/>
          <w:numId w:val="1000"/>
        </w:numPr>
      </w:pPr>
      <w:r>
        <w:t xml:space="preserve">C1(R, t, Context) = [1 − S(t | t0)] · U(R, t, Q(t))</w:t>
      </w:r>
    </w:p>
    <w:p>
      <w:pPr>
        <w:pStyle w:val="Compact"/>
        <w:numPr>
          <w:ilvl w:val="3"/>
          <w:numId w:val="1000"/>
        </w:numPr>
      </w:pPr>
      <w:r>
        <w:t xml:space="preserve">Gate checks:</w:t>
      </w:r>
    </w:p>
    <w:p>
      <w:pPr>
        <w:pStyle w:val="Compact"/>
        <w:numPr>
          <w:ilvl w:val="3"/>
          <w:numId w:val="1000"/>
        </w:numPr>
      </w:pPr>
      <w:r>
        <w:t xml:space="preserve">• Gate 1 (CIT): under abundance of substitutes at all times, [1 − S] = 0; foreclosure vanishes. Pass.</w:t>
      </w:r>
    </w:p>
    <w:p>
      <w:pPr>
        <w:pStyle w:val="Compact"/>
        <w:numPr>
          <w:ilvl w:val="3"/>
          <w:numId w:val="1000"/>
        </w:numPr>
      </w:pPr>
      <w:r>
        <w:t xml:space="preserve">• Gate 2 (dimensional): [1 − S] dimensionless; U has units [$ · res-unit−1 · time-unit−1]; product has required units. Pass.</w:t>
      </w:r>
    </w:p>
    <w:p>
      <w:pPr>
        <w:pStyle w:val="Compact"/>
        <w:numPr>
          <w:ilvl w:val="3"/>
          <w:numId w:val="1000"/>
        </w:numPr>
      </w:pPr>
      <w:r>
        <w:t xml:space="preserve">• Gate 3 (boundedness): S monotonically increases toward Smax ≤ 1; [1 − S] bounded in [0, 1]; U bounded for finite stock Q. Integral converges under Weitzman D. Pass.</w:t>
      </w:r>
    </w:p>
    <w:p>
      <w:pPr>
        <w:pStyle w:val="Compact"/>
        <w:numPr>
          <w:ilvl w:val="3"/>
          <w:numId w:val="1000"/>
        </w:numPr>
      </w:pPr>
      <w:r>
        <w:t xml:space="preserve">• Gate 4 (independence): foreclosure is the first term of the starting set; independence trivially holds. Pass.</w:t>
      </w:r>
    </w:p>
    <w:p>
      <w:pPr>
        <w:pStyle w:val="Compact"/>
        <w:numPr>
          <w:ilvl w:val="3"/>
          <w:numId w:val="1000"/>
        </w:numPr>
      </w:pPr>
      <w:r>
        <w:t xml:space="preserve">C2 — Externality Tail. Captures ongoing damage flow attributable to the extraction, independent of resource-stock depletion:</w:t>
      </w:r>
    </w:p>
    <w:p>
      <w:pPr>
        <w:pStyle w:val="Compact"/>
        <w:numPr>
          <w:ilvl w:val="3"/>
          <w:numId w:val="1000"/>
        </w:numPr>
      </w:pPr>
      <w:r>
        <w:t xml:space="preserve">C2(R, t, Context) = E(R, t)</w:t>
      </w:r>
    </w:p>
    <w:p>
      <w:pPr>
        <w:pStyle w:val="Compact"/>
        <w:numPr>
          <w:ilvl w:val="3"/>
          <w:numId w:val="1000"/>
        </w:numPr>
      </w:pPr>
      <w:r>
        <w:t xml:space="preserve">Gate checks:</w:t>
      </w:r>
    </w:p>
    <w:p>
      <w:pPr>
        <w:pStyle w:val="Compact"/>
        <w:numPr>
          <w:ilvl w:val="3"/>
          <w:numId w:val="1000"/>
        </w:numPr>
      </w:pPr>
      <w:r>
        <w:t xml:space="preserve">• Gate 1: under abundance of absorption capacity, E-driven damage vanishes. Pass.</w:t>
      </w:r>
    </w:p>
    <w:p>
      <w:pPr>
        <w:pStyle w:val="Compact"/>
        <w:numPr>
          <w:ilvl w:val="3"/>
          <w:numId w:val="1000"/>
        </w:numPr>
      </w:pPr>
      <w:r>
        <w:t xml:space="preserve">• Gate 2: E specified with units [$ · res-unit−1 · time-unit−1]. Pass.</w:t>
      </w:r>
    </w:p>
    <w:p>
      <w:pPr>
        <w:pStyle w:val="Compact"/>
        <w:numPr>
          <w:ilvl w:val="3"/>
          <w:numId w:val="1000"/>
        </w:numPr>
      </w:pPr>
      <w:r>
        <w:t xml:space="preserve">• Gate 3: E decays with natural sinks (atmospheric CO2 half-life ~100 years for primary fraction; ~1000 years for residual fraction). Integral converges. Pass.</w:t>
      </w:r>
    </w:p>
    <w:p>
      <w:pPr>
        <w:pStyle w:val="Compact"/>
        <w:numPr>
          <w:ilvl w:val="3"/>
          <w:numId w:val="1000"/>
        </w:numPr>
      </w:pPr>
      <w:r>
        <w:t xml:space="preserve">• Gate 4: E captures damage to absorption systems; C1 captures resource-stock loss to future users. Cost categories disjoint. Pass.</w:t>
      </w:r>
    </w:p>
    <w:p>
      <w:pPr>
        <w:pStyle w:val="Compact"/>
        <w:numPr>
          <w:ilvl w:val="3"/>
          <w:numId w:val="1000"/>
        </w:numPr>
      </w:pPr>
      <w:r>
        <w:t xml:space="preserve">Substitution. With n = 2 and {C1, C2} as above:</w:t>
      </w:r>
    </w:p>
    <w:p>
      <w:pPr>
        <w:pStyle w:val="Compact"/>
        <w:numPr>
          <w:ilvl w:val="3"/>
          <w:numId w:val="1000"/>
        </w:numPr>
      </w:pPr>
      <w:r>
        <w:t xml:space="preserve">RCV(R, t0, Context) = ∫t₀∞ { [1 − S(t | t0)] · U(R, t, Q(t)) + E(R, t) } · D(t, t0) dt</w:t>
      </w:r>
    </w:p>
    <w:p>
      <w:pPr>
        <w:pStyle w:val="Compact"/>
        <w:numPr>
          <w:ilvl w:val="3"/>
          <w:numId w:val="1000"/>
        </w:numPr>
      </w:pPr>
      <w:r>
        <w:t xml:space="preserve">This is the two-term formula from §3.1. The canonical formula is the generalized formula under the specification (Context = standard-fossil-fuel, n = 2, {C1 = foreclosure, C2 = externality tail}). Q.E.D.</w:t>
      </w:r>
    </w:p>
    <w:p>
      <w:pPr>
        <w:pStyle w:val="Compact"/>
        <w:numPr>
          <w:ilvl w:val="3"/>
          <w:numId w:val="1000"/>
        </w:numPr>
      </w:pPr>
      <w:r>
        <w:t xml:space="preserve">§17.7 — The Generative Property</w:t>
      </w:r>
    </w:p>
    <w:p>
      <w:pPr>
        <w:pStyle w:val="Compact"/>
        <w:numPr>
          <w:ilvl w:val="3"/>
          <w:numId w:val="1000"/>
        </w:numPr>
      </w:pPr>
      <w:r>
        <w:t xml:space="preserve">The sum-of-costs form supports three modes of variable admission that the two-term form does not.</w:t>
      </w:r>
    </w:p>
    <w:p>
      <w:pPr>
        <w:pStyle w:val="Compact"/>
        <w:numPr>
          <w:ilvl w:val="3"/>
          <w:numId w:val="1000"/>
        </w:numPr>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Compact"/>
        <w:numPr>
          <w:ilvl w:val="3"/>
          <w:numId w:val="1000"/>
        </w:numPr>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Compact"/>
        <w:numPr>
          <w:ilvl w:val="3"/>
          <w:numId w:val="1000"/>
        </w:numPr>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Compact"/>
        <w:numPr>
          <w:ilvl w:val="3"/>
          <w:numId w:val="1000"/>
        </w:numPr>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p>
      <w:pPr>
        <w:pStyle w:val="Compact"/>
        <w:numPr>
          <w:ilvl w:val="3"/>
          <w:numId w:val="1000"/>
        </w:numPr>
      </w:pPr>
      <w:r>
        <w:t xml:space="preserve">§17.8 — Practical Consequence for Published Analyses</w:t>
      </w:r>
    </w:p>
    <w:p>
      <w:pPr>
        <w:pStyle w:val="Compact"/>
        <w:numPr>
          <w:ilvl w:val="3"/>
          <w:numId w:val="1000"/>
        </w:numPr>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Compact"/>
        <w:numPr>
          <w:ilvl w:val="3"/>
          <w:numId w:val="1000"/>
        </w:numPr>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p>
      <w:pPr>
        <w:pStyle w:val="Compact"/>
        <w:numPr>
          <w:ilvl w:val="3"/>
          <w:numId w:val="1000"/>
        </w:numPr>
      </w:pPr>
      <w:r>
        <w:t xml:space="preserve">§18. Bibliography</w:t>
      </w:r>
    </w:p>
    <w:p>
      <w:pPr>
        <w:pStyle w:val="Compact"/>
        <w:numPr>
          <w:ilvl w:val="3"/>
          <w:numId w:val="1000"/>
        </w:numPr>
      </w:pPr>
      <w:r>
        <w:t xml:space="preserve">Academic citations referenced inline throughout this Tech Appendix, organized alphabetically by author surname.</w:t>
      </w:r>
    </w:p>
    <w:p>
      <w:pPr>
        <w:pStyle w:val="Compact"/>
        <w:numPr>
          <w:ilvl w:val="3"/>
          <w:numId w:val="1000"/>
        </w:numPr>
      </w:pPr>
      <w:r>
        <w:t xml:space="preserve">Acemoglu, Daron, and James A. Robinson.</w:t>
      </w:r>
      <w:r>
        <w:t xml:space="preserve"> </w:t>
      </w:r>
      <w:r>
        <w:t xml:space="preserve">Why Nations Fail: The Origins of Power, Prosperity, and Poverty</w:t>
      </w:r>
      <w:r>
        <w:t xml:space="preserve">. New York: Crown Business, 2012.</w:t>
      </w:r>
    </w:p>
    <w:p>
      <w:pPr>
        <w:pStyle w:val="Compact"/>
        <w:numPr>
          <w:ilvl w:val="3"/>
          <w:numId w:val="1000"/>
        </w:numPr>
      </w:pPr>
      <w:r>
        <w:t xml:space="preserve">Akerlof, George A.</w:t>
      </w:r>
      <w:r>
        <w:t xml:space="preserve"> </w:t>
      </w:r>
      <w:r>
        <w:t xml:space="preserve">“The Market for</w:t>
      </w:r>
      <w:r>
        <w:t xml:space="preserve"> </w:t>
      </w:r>
      <w:r>
        <w:t xml:space="preserve">‘Lemons’</w:t>
      </w:r>
      <w:r>
        <w:t xml:space="preserve">: Quality Uncertainty and the Market Mechanism.”</w:t>
      </w:r>
      <w:r>
        <w:t xml:space="preserve"> </w:t>
      </w:r>
      <w:r>
        <w:t xml:space="preserve">Quarterly Journal of Economics</w:t>
      </w:r>
      <w:r>
        <w:t xml:space="preserve"> </w:t>
      </w:r>
      <w:r>
        <w:t xml:space="preserve">84, no. 3 (1970): 488–500.</w:t>
      </w:r>
    </w:p>
    <w:p>
      <w:pPr>
        <w:pStyle w:val="Compact"/>
        <w:numPr>
          <w:ilvl w:val="3"/>
          <w:numId w:val="1000"/>
        </w:numPr>
      </w:pPr>
      <w:r>
        <w:t xml:space="preserve">Anderson, Chris.</w:t>
      </w:r>
      <w:r>
        <w:t xml:space="preserve"> </w:t>
      </w:r>
      <w:r>
        <w:t xml:space="preserve">The Long Tail: Why the Future of Business Is Selling Less of More</w:t>
      </w:r>
      <w:r>
        <w:t xml:space="preserve">. New York: Hyperion, 2006.</w:t>
      </w:r>
    </w:p>
    <w:p>
      <w:pPr>
        <w:pStyle w:val="Compact"/>
        <w:numPr>
          <w:ilvl w:val="3"/>
          <w:numId w:val="1000"/>
        </w:numPr>
      </w:pPr>
      <w:r>
        <w:t xml:space="preserve">Anderson, Elizabeth.</w:t>
      </w:r>
      <w:r>
        <w:t xml:space="preserve"> </w:t>
      </w:r>
      <w:r>
        <w:t xml:space="preserve">Private Government: How Employers Rule Our Lives (and Why We Don’t Talk about It)</w:t>
      </w:r>
      <w:r>
        <w:t xml:space="preserve">. Princeton: Princeton University Press, 2017.</w:t>
      </w:r>
    </w:p>
    <w:p>
      <w:pPr>
        <w:pStyle w:val="Compact"/>
        <w:numPr>
          <w:ilvl w:val="3"/>
          <w:numId w:val="1000"/>
        </w:numPr>
      </w:pPr>
      <w:r>
        <w:t xml:space="preserve">Arrow, Kenneth J., and Anthony C. Fisher.</w:t>
      </w:r>
      <w:r>
        <w:t xml:space="preserve"> </w:t>
      </w:r>
      <w:r>
        <w:t xml:space="preserve">“Environmental Preservation, Uncertainty, and Irreversibility.”</w:t>
      </w:r>
      <w:r>
        <w:t xml:space="preserve"> </w:t>
      </w:r>
      <w:r>
        <w:t xml:space="preserve">Quarterly Journal of Economics</w:t>
      </w:r>
      <w:r>
        <w:t xml:space="preserve"> </w:t>
      </w:r>
      <w:r>
        <w:t xml:space="preserve">88, no. 2 (1974): 312–319.</w:t>
      </w:r>
    </w:p>
    <w:p>
      <w:pPr>
        <w:pStyle w:val="Compact"/>
        <w:numPr>
          <w:ilvl w:val="3"/>
          <w:numId w:val="1000"/>
        </w:numPr>
      </w:pPr>
      <w:r>
        <w:t xml:space="preserve">Atkinson, Anthony B.</w:t>
      </w:r>
      <w:r>
        <w:t xml:space="preserve"> </w:t>
      </w:r>
      <w:r>
        <w:t xml:space="preserve">“On the Measurement of Inequality.”</w:t>
      </w:r>
      <w:r>
        <w:t xml:space="preserve"> </w:t>
      </w:r>
      <w:r>
        <w:t xml:space="preserve">Journal of Economic Theory</w:t>
      </w:r>
      <w:r>
        <w:t xml:space="preserve"> </w:t>
      </w:r>
      <w:r>
        <w:t xml:space="preserve">2, no. 3 (1970): 244–263.</w:t>
      </w:r>
    </w:p>
    <w:p>
      <w:pPr>
        <w:pStyle w:val="Compact"/>
        <w:numPr>
          <w:ilvl w:val="3"/>
          <w:numId w:val="1000"/>
        </w:numPr>
      </w:pPr>
      <w:r>
        <w:t xml:space="preserve">Balboa, Cristina M.</w:t>
      </w:r>
      <w:r>
        <w:t xml:space="preserve"> </w:t>
      </w:r>
      <w:r>
        <w:t xml:space="preserve">“Accountability of Environmental Impact Bonds.”</w:t>
      </w:r>
      <w:r>
        <w:t xml:space="preserve"> </w:t>
      </w:r>
      <w:r>
        <w:t xml:space="preserve">2016.</w:t>
      </w:r>
    </w:p>
    <w:p>
      <w:pPr>
        <w:pStyle w:val="Compact"/>
        <w:numPr>
          <w:ilvl w:val="3"/>
          <w:numId w:val="1000"/>
        </w:numPr>
      </w:pPr>
      <w:r>
        <w:t xml:space="preserve">Barnosky, Anthony D., et al. </w:t>
      </w:r>
      <w:r>
        <w:t xml:space="preserve">“Approaching a State Shift in Earth’s Biosphere.”</w:t>
      </w:r>
      <w:r>
        <w:t xml:space="preserve"> </w:t>
      </w:r>
      <w:r>
        <w:t xml:space="preserve">Nature</w:t>
      </w:r>
      <w:r>
        <w:t xml:space="preserve"> </w:t>
      </w:r>
      <w:r>
        <w:t xml:space="preserve">486 (2012): 52–58.</w:t>
      </w:r>
    </w:p>
    <w:p>
      <w:pPr>
        <w:pStyle w:val="Compact"/>
        <w:numPr>
          <w:ilvl w:val="3"/>
          <w:numId w:val="1000"/>
        </w:numPr>
      </w:pPr>
      <w:r>
        <w:t xml:space="preserve">Basel Committee on Banking Supervision.</w:t>
      </w:r>
      <w:r>
        <w:t xml:space="preserve"> </w:t>
      </w:r>
      <w:r>
        <w:t xml:space="preserve">Basel III: Finalising Post-Crisis Reforms</w:t>
      </w:r>
      <w:r>
        <w:t xml:space="preserve">. Bank for International Settlements, 2017.</w:t>
      </w:r>
    </w:p>
    <w:p>
      <w:pPr>
        <w:pStyle w:val="Compact"/>
        <w:numPr>
          <w:ilvl w:val="3"/>
          <w:numId w:val="1000"/>
        </w:numPr>
      </w:pPr>
      <w:r>
        <w:t xml:space="preserve">Bassett-Bell, Naa Oyo A., David R. Williams, William A. Darity Jr., et al. </w:t>
      </w:r>
      <w:r>
        <w:t xml:space="preserve">“Association Between Racial Wealth Inequities and Racial Disparities in Longevity Among US Adults and Role of Reparations Payments, 1992 to 2018.”</w:t>
      </w:r>
      <w:r>
        <w:t xml:space="preserve"> </w:t>
      </w:r>
      <w:r>
        <w:t xml:space="preserve">JAMA Network Open</w:t>
      </w:r>
      <w:r>
        <w:t xml:space="preserve"> </w:t>
      </w:r>
      <w:r>
        <w:t xml:space="preserve">5, no. 11 (2022): e2240519.</w:t>
      </w:r>
    </w:p>
    <w:p>
      <w:pPr>
        <w:pStyle w:val="Compact"/>
        <w:numPr>
          <w:ilvl w:val="3"/>
          <w:numId w:val="1000"/>
        </w:numPr>
      </w:pPr>
      <w:r>
        <w:t xml:space="preserve">Benjamin, Ruha.</w:t>
      </w:r>
      <w:r>
        <w:t xml:space="preserve"> </w:t>
      </w:r>
      <w:r>
        <w:t xml:space="preserve">Race After Technology: Abolitionist Tools for the New Jim Code</w:t>
      </w:r>
      <w:r>
        <w:t xml:space="preserve">. Cambridge: Polity Press, 2019.</w:t>
      </w:r>
    </w:p>
    <w:p>
      <w:pPr>
        <w:pStyle w:val="Compact"/>
        <w:numPr>
          <w:ilvl w:val="3"/>
          <w:numId w:val="1000"/>
        </w:numPr>
      </w:pPr>
      <w:r>
        <w:t xml:space="preserve">Bergson, Abram.</w:t>
      </w:r>
      <w:r>
        <w:t xml:space="preserve"> </w:t>
      </w:r>
      <w:r>
        <w:t xml:space="preserve">“A Reformulation of Certain Aspects of Welfare Economics.”</w:t>
      </w:r>
      <w:r>
        <w:t xml:space="preserve"> </w:t>
      </w:r>
      <w:r>
        <w:t xml:space="preserve">Quarterly Journal of Economics</w:t>
      </w:r>
      <w:r>
        <w:t xml:space="preserve"> </w:t>
      </w:r>
      <w:r>
        <w:t xml:space="preserve">52, no. 2 (1938): 310–334.</w:t>
      </w:r>
    </w:p>
    <w:p>
      <w:pPr>
        <w:pStyle w:val="Compact"/>
        <w:numPr>
          <w:ilvl w:val="3"/>
          <w:numId w:val="1000"/>
        </w:numPr>
      </w:pPr>
      <w:r>
        <w:t xml:space="preserve">Brown Weiss, Edith.</w:t>
      </w:r>
      <w:r>
        <w:t xml:space="preserve"> </w:t>
      </w:r>
      <w:r>
        <w:t xml:space="preserve">In Fairness to Future Generations: International Law, Common Patrimony, and Intergenerational Equity</w:t>
      </w:r>
      <w:r>
        <w:t xml:space="preserve">. Dobbs Ferry, NY: Transnational Publishers, 1989.</w:t>
      </w:r>
    </w:p>
    <w:p>
      <w:pPr>
        <w:pStyle w:val="Compact"/>
        <w:numPr>
          <w:ilvl w:val="3"/>
          <w:numId w:val="1000"/>
        </w:numPr>
      </w:pPr>
      <w:r>
        <w:t xml:space="preserve">Brundtland, Gro Harlem (chair), World Commission on Environment and Development.</w:t>
      </w:r>
      <w:r>
        <w:t xml:space="preserve"> </w:t>
      </w:r>
      <w:r>
        <w:t xml:space="preserve">Our Common Future</w:t>
      </w:r>
      <w:r>
        <w:t xml:space="preserve">. Oxford: Oxford University Press, 1987.</w:t>
      </w:r>
    </w:p>
    <w:p>
      <w:pPr>
        <w:pStyle w:val="Compact"/>
        <w:numPr>
          <w:ilvl w:val="3"/>
          <w:numId w:val="1000"/>
        </w:numPr>
      </w:pPr>
      <w:r>
        <w:t xml:space="preserve">Bullard, Robert D.</w:t>
      </w:r>
      <w:r>
        <w:t xml:space="preserve"> </w:t>
      </w:r>
      <w:r>
        <w:t xml:space="preserve">Dumping in Dixie: Race, Class, and Environmental Quality</w:t>
      </w:r>
      <w:r>
        <w:t xml:space="preserve">. Boulder, CO: Westview Press, 1990.</w:t>
      </w:r>
    </w:p>
    <w:p>
      <w:pPr>
        <w:pStyle w:val="Compact"/>
        <w:numPr>
          <w:ilvl w:val="3"/>
          <w:numId w:val="1000"/>
        </w:numPr>
      </w:pPr>
      <w:r>
        <w:t xml:space="preserve">Coase, Ronald H.</w:t>
      </w:r>
      <w:r>
        <w:t xml:space="preserve"> </w:t>
      </w:r>
      <w:r>
        <w:t xml:space="preserve">“The Problem of Social Cost.”</w:t>
      </w:r>
      <w:r>
        <w:t xml:space="preserve"> </w:t>
      </w:r>
      <w:r>
        <w:t xml:space="preserve">Journal of Law and Economics</w:t>
      </w:r>
      <w:r>
        <w:t xml:space="preserve"> </w:t>
      </w:r>
      <w:r>
        <w:t xml:space="preserve">3 (1960): 1–44.</w:t>
      </w:r>
    </w:p>
    <w:p>
      <w:pPr>
        <w:pStyle w:val="Compact"/>
        <w:numPr>
          <w:ilvl w:val="3"/>
          <w:numId w:val="1000"/>
        </w:numPr>
      </w:pPr>
      <w:r>
        <w:t xml:space="preserve">Coates, Ta-Nehisi.</w:t>
      </w:r>
      <w:r>
        <w:t xml:space="preserve"> </w:t>
      </w:r>
      <w:r>
        <w:t xml:space="preserve">“The Case for Reparations.”</w:t>
      </w:r>
      <w:r>
        <w:t xml:space="preserve"> </w:t>
      </w:r>
      <w:r>
        <w:t xml:space="preserve">The Atlantic</w:t>
      </w:r>
      <w:r>
        <w:t xml:space="preserve">, June 2014.</w:t>
      </w:r>
    </w:p>
    <w:p>
      <w:pPr>
        <w:pStyle w:val="Compact"/>
        <w:numPr>
          <w:ilvl w:val="3"/>
          <w:numId w:val="1000"/>
        </w:numPr>
      </w:pPr>
      <w:r>
        <w:t xml:space="preserve">Cobb, Charles W., and Paul H. Douglas.</w:t>
      </w:r>
      <w:r>
        <w:t xml:space="preserve"> </w:t>
      </w:r>
      <w:r>
        <w:t xml:space="preserve">“A Theory of Production.”</w:t>
      </w:r>
      <w:r>
        <w:t xml:space="preserve"> </w:t>
      </w:r>
      <w:r>
        <w:t xml:space="preserve">American Economic Review</w:t>
      </w:r>
      <w:r>
        <w:t xml:space="preserve"> </w:t>
      </w:r>
      <w:r>
        <w:t xml:space="preserve">18, no. 1 (1928): 139–165.</w:t>
      </w:r>
    </w:p>
    <w:p>
      <w:pPr>
        <w:pStyle w:val="Compact"/>
        <w:numPr>
          <w:ilvl w:val="3"/>
          <w:numId w:val="1000"/>
        </w:numPr>
      </w:pPr>
      <w:r>
        <w:t xml:space="preserve">Coleman, James S.</w:t>
      </w:r>
      <w:r>
        <w:t xml:space="preserve"> </w:t>
      </w:r>
      <w:r>
        <w:t xml:space="preserve">Foundations of Social Theory</w:t>
      </w:r>
      <w:r>
        <w:t xml:space="preserve">. Cambridge, MA: Harvard University Press, 1990.</w:t>
      </w:r>
    </w:p>
    <w:p>
      <w:pPr>
        <w:pStyle w:val="Compact"/>
        <w:numPr>
          <w:ilvl w:val="3"/>
          <w:numId w:val="1000"/>
        </w:numPr>
      </w:pPr>
      <w:r>
        <w:t xml:space="preserve">Costanza, Robert, et al. </w:t>
      </w:r>
      <w:r>
        <w:t xml:space="preserve">“The Value of the World’s Ecosystem Services and Natural Capital.”</w:t>
      </w:r>
      <w:r>
        <w:t xml:space="preserve"> </w:t>
      </w:r>
      <w:r>
        <w:t xml:space="preserve">Nature</w:t>
      </w:r>
      <w:r>
        <w:t xml:space="preserve"> </w:t>
      </w:r>
      <w:r>
        <w:t xml:space="preserve">387 (1997): 253–260.</w:t>
      </w:r>
    </w:p>
    <w:p>
      <w:pPr>
        <w:pStyle w:val="Compact"/>
        <w:numPr>
          <w:ilvl w:val="3"/>
          <w:numId w:val="1000"/>
        </w:numPr>
      </w:pPr>
      <w:r>
        <w:t xml:space="preserve">Costanza, Robert, et al. </w:t>
      </w:r>
      <w:r>
        <w:t xml:space="preserve">“Changes in the Global Value of Ecosystem Services.”</w:t>
      </w:r>
      <w:r>
        <w:t xml:space="preserve"> </w:t>
      </w:r>
      <w:r>
        <w:t xml:space="preserve">Global Environmental Change</w:t>
      </w:r>
      <w:r>
        <w:t xml:space="preserve"> </w:t>
      </w:r>
      <w:r>
        <w:t xml:space="preserve">26 (2014): 152–158.</w:t>
      </w:r>
    </w:p>
    <w:p>
      <w:pPr>
        <w:pStyle w:val="Compact"/>
        <w:numPr>
          <w:ilvl w:val="3"/>
          <w:numId w:val="1000"/>
        </w:numPr>
      </w:pPr>
      <w:r>
        <w:t xml:space="preserve">Coulthard, Glen Sean.</w:t>
      </w:r>
      <w:r>
        <w:t xml:space="preserve"> </w:t>
      </w:r>
      <w:r>
        <w:t xml:space="preserve">Red Skin, White Masks: Rejecting the Colonial Politics of Recognition</w:t>
      </w:r>
      <w:r>
        <w:t xml:space="preserve">. Minneapolis: University of Minnesota Press, 2014.</w:t>
      </w:r>
    </w:p>
    <w:p>
      <w:pPr>
        <w:pStyle w:val="Compact"/>
        <w:numPr>
          <w:ilvl w:val="3"/>
          <w:numId w:val="1000"/>
        </w:numPr>
      </w:pPr>
      <w:r>
        <w:t xml:space="preserve">Crawford, Kate.</w:t>
      </w:r>
      <w:r>
        <w:t xml:space="preserve"> </w:t>
      </w:r>
      <w:r>
        <w:t xml:space="preserve">Atlas of AI: Power, Politics, and the Planetary Costs of Artificial Intelligence</w:t>
      </w:r>
      <w:r>
        <w:t xml:space="preserve">. New Haven: Yale University Press, 2021.</w:t>
      </w:r>
    </w:p>
    <w:p>
      <w:pPr>
        <w:pStyle w:val="Compact"/>
        <w:numPr>
          <w:ilvl w:val="3"/>
          <w:numId w:val="1000"/>
        </w:numPr>
      </w:pPr>
      <w:r>
        <w:t xml:space="preserve">Daily, Gretchen C., ed. </w:t>
      </w:r>
      <w:r>
        <w:t xml:space="preserve">Nature’s Services: Societal Dependence on Natural Ecosystems</w:t>
      </w:r>
      <w:r>
        <w:t xml:space="preserve">. Washington, DC: Island Press, 1997.</w:t>
      </w:r>
    </w:p>
    <w:p>
      <w:pPr>
        <w:pStyle w:val="Compact"/>
        <w:numPr>
          <w:ilvl w:val="3"/>
          <w:numId w:val="1000"/>
        </w:numPr>
      </w:pPr>
      <w:r>
        <w:t xml:space="preserve">Darity, William A., Jr. Interview by Christopher Winn. May 13, 2026. Recording on file with author.</w:t>
      </w:r>
    </w:p>
    <w:p>
      <w:pPr>
        <w:pStyle w:val="Compact"/>
        <w:numPr>
          <w:ilvl w:val="3"/>
          <w:numId w:val="1000"/>
        </w:numPr>
      </w:pPr>
      <w:r>
        <w:t xml:space="preserve">Darity, William A., Jr., and A. Kirsten Mullen.</w:t>
      </w:r>
      <w:r>
        <w:t xml:space="preserve"> </w:t>
      </w:r>
      <w:r>
        <w:t xml:space="preserve">From Here to Equality: Reparations for Black Americans in the Twenty-First Century</w:t>
      </w:r>
      <w:r>
        <w:t xml:space="preserve">. Chapel Hill: University of North Carolina Press, 2020.</w:t>
      </w:r>
    </w:p>
    <w:p>
      <w:pPr>
        <w:pStyle w:val="Compact"/>
        <w:numPr>
          <w:ilvl w:val="3"/>
          <w:numId w:val="1000"/>
        </w:numPr>
      </w:pPr>
      <w:r>
        <w:t xml:space="preserve">Dasgupta, Partha, and Geoffrey M. Heal.</w:t>
      </w:r>
      <w:r>
        <w:t xml:space="preserve"> </w:t>
      </w:r>
      <w:r>
        <w:t xml:space="preserve">Economic Theory and Exhaustible Resources</w:t>
      </w:r>
      <w:r>
        <w:t xml:space="preserve">. Cambridge: Cambridge University Press, 1979.</w:t>
      </w:r>
    </w:p>
    <w:p>
      <w:pPr>
        <w:pStyle w:val="Compact"/>
        <w:numPr>
          <w:ilvl w:val="3"/>
          <w:numId w:val="1000"/>
        </w:numPr>
      </w:pPr>
      <w:r>
        <w:t xml:space="preserve">Desmond, Matthew.</w:t>
      </w:r>
      <w:r>
        <w:t xml:space="preserve"> </w:t>
      </w:r>
      <w:r>
        <w:t xml:space="preserve">Evicted: Poverty and Profit in the American City</w:t>
      </w:r>
      <w:r>
        <w:t xml:space="preserve">. New York: Crown, 2016.</w:t>
      </w:r>
    </w:p>
    <w:p>
      <w:pPr>
        <w:pStyle w:val="Compact"/>
        <w:numPr>
          <w:ilvl w:val="3"/>
          <w:numId w:val="1000"/>
        </w:numPr>
      </w:pPr>
      <w:r>
        <w:t xml:space="preserve">Dixit, Avinash K., and Robert S. Pindyck.</w:t>
      </w:r>
      <w:r>
        <w:t xml:space="preserve"> </w:t>
      </w:r>
      <w:r>
        <w:t xml:space="preserve">Investment under Uncertainty</w:t>
      </w:r>
      <w:r>
        <w:t xml:space="preserve">. Princeton: Princeton University Press, 1994.</w:t>
      </w:r>
    </w:p>
    <w:p>
      <w:pPr>
        <w:pStyle w:val="Compact"/>
        <w:numPr>
          <w:ilvl w:val="3"/>
          <w:numId w:val="1000"/>
        </w:numPr>
      </w:pPr>
      <w:r>
        <w:t xml:space="preserve">Du Bois, W. E. B.</w:t>
      </w:r>
      <w:r>
        <w:t xml:space="preserve"> </w:t>
      </w:r>
      <w:r>
        <w:t xml:space="preserve">Black Reconstruction in America: 1860–1880</w:t>
      </w:r>
      <w:r>
        <w:t xml:space="preserve">. New York: Harcourt, Brace, 1935.</w:t>
      </w:r>
    </w:p>
    <w:p>
      <w:pPr>
        <w:pStyle w:val="Compact"/>
        <w:numPr>
          <w:ilvl w:val="3"/>
          <w:numId w:val="1000"/>
        </w:numPr>
      </w:pPr>
      <w:r>
        <w:t xml:space="preserve">Embrechts, Paul, Claudia Klüppelberg, and Thomas Mikosch.</w:t>
      </w:r>
      <w:r>
        <w:t xml:space="preserve"> </w:t>
      </w:r>
      <w:r>
        <w:t xml:space="preserve">Modelling Extremal Events for Insurance and Finance</w:t>
      </w:r>
      <w:r>
        <w:t xml:space="preserve">. Berlin: Springer, 1997.</w:t>
      </w:r>
    </w:p>
    <w:p>
      <w:pPr>
        <w:pStyle w:val="Compact"/>
        <w:numPr>
          <w:ilvl w:val="3"/>
          <w:numId w:val="1000"/>
        </w:numPr>
      </w:pPr>
      <w:r>
        <w:t xml:space="preserve">Esping-Andersen, Gøsta.</w:t>
      </w:r>
      <w:r>
        <w:t xml:space="preserve"> </w:t>
      </w:r>
      <w:r>
        <w:t xml:space="preserve">The Three Worlds of Welfare Capitalism</w:t>
      </w:r>
      <w:r>
        <w:t xml:space="preserve">. Princeton: Princeton University Press, 1990.</w:t>
      </w:r>
    </w:p>
    <w:p>
      <w:pPr>
        <w:pStyle w:val="Compact"/>
        <w:numPr>
          <w:ilvl w:val="3"/>
          <w:numId w:val="1000"/>
        </w:numPr>
      </w:pPr>
      <w:r>
        <w:t xml:space="preserve">Federici, Silvia.</w:t>
      </w:r>
      <w:r>
        <w:t xml:space="preserve"> </w:t>
      </w:r>
      <w:r>
        <w:t xml:space="preserve">Caliban and the Witch: Women, the Body, and Primitive Accumulation</w:t>
      </w:r>
      <w:r>
        <w:t xml:space="preserve">. New York: Autonomedia, 2004.</w:t>
      </w:r>
    </w:p>
    <w:p>
      <w:pPr>
        <w:pStyle w:val="Compact"/>
        <w:numPr>
          <w:ilvl w:val="3"/>
          <w:numId w:val="1000"/>
        </w:numPr>
      </w:pPr>
      <w:r>
        <w:t xml:space="preserve">Folland, Gerald B.</w:t>
      </w:r>
      <w:r>
        <w:t xml:space="preserve"> </w:t>
      </w:r>
      <w:r>
        <w:t xml:space="preserve">Real Analysis: Modern Techniques and Their Applications</w:t>
      </w:r>
      <w:r>
        <w:t xml:space="preserve">. 2nd ed. New York: John Wiley &amp; Sons, 1999.</w:t>
      </w:r>
    </w:p>
    <w:p>
      <w:pPr>
        <w:pStyle w:val="Compact"/>
        <w:numPr>
          <w:ilvl w:val="3"/>
          <w:numId w:val="1000"/>
        </w:numPr>
      </w:pPr>
      <w:r>
        <w:t xml:space="preserve">Fricker, Miranda.</w:t>
      </w:r>
      <w:r>
        <w:t xml:space="preserve"> </w:t>
      </w:r>
      <w:r>
        <w:t xml:space="preserve">Epistemic Injustice: Power and the Ethics of Knowing</w:t>
      </w:r>
      <w:r>
        <w:t xml:space="preserve">. Oxford: Oxford University Press, 2007.</w:t>
      </w:r>
    </w:p>
    <w:p>
      <w:pPr>
        <w:pStyle w:val="Compact"/>
        <w:numPr>
          <w:ilvl w:val="3"/>
          <w:numId w:val="1000"/>
        </w:numPr>
      </w:pPr>
      <w:r>
        <w:t xml:space="preserve">Habermas, Jürgen.</w:t>
      </w:r>
      <w:r>
        <w:t xml:space="preserve"> </w:t>
      </w:r>
      <w:r>
        <w:t xml:space="preserve">Theory of Communicative Action</w:t>
      </w:r>
      <w:r>
        <w:t xml:space="preserve">. Translated by Thomas McCarthy. Boston: Beacon Press, 1981.</w:t>
      </w:r>
    </w:p>
    <w:p>
      <w:pPr>
        <w:pStyle w:val="Compact"/>
        <w:numPr>
          <w:ilvl w:val="3"/>
          <w:numId w:val="1000"/>
        </w:numPr>
      </w:pPr>
      <w:r>
        <w:t xml:space="preserve">Hamilton, James D.</w:t>
      </w:r>
      <w:r>
        <w:t xml:space="preserve"> </w:t>
      </w:r>
      <w:r>
        <w:t xml:space="preserve">“Causes and Consequences of the Oil Shock of 2007–08.”</w:t>
      </w:r>
      <w:r>
        <w:t xml:space="preserve"> </w:t>
      </w:r>
      <w:r>
        <w:t xml:space="preserve">Brookings Papers on Economic Activity</w:t>
      </w:r>
      <w:r>
        <w:t xml:space="preserve"> </w:t>
      </w:r>
      <w:r>
        <w:t xml:space="preserve">2009, no. 1 (2009): 215–261.</w:t>
      </w:r>
    </w:p>
    <w:p>
      <w:pPr>
        <w:pStyle w:val="Compact"/>
        <w:numPr>
          <w:ilvl w:val="3"/>
          <w:numId w:val="1000"/>
        </w:numPr>
      </w:pPr>
      <w:r>
        <w:t xml:space="preserve">Hartwick, John M.</w:t>
      </w:r>
      <w:r>
        <w:t xml:space="preserve"> </w:t>
      </w:r>
      <w:r>
        <w:t xml:space="preserve">“Intergenerational Equity and the Investing of Rents from Exhaustible Resources.”</w:t>
      </w:r>
      <w:r>
        <w:t xml:space="preserve"> </w:t>
      </w:r>
      <w:r>
        <w:t xml:space="preserve">American Economic Review</w:t>
      </w:r>
      <w:r>
        <w:t xml:space="preserve"> </w:t>
      </w:r>
      <w:r>
        <w:t xml:space="preserve">67, no. 5 (1977): 972–974.</w:t>
      </w:r>
    </w:p>
    <w:p>
      <w:pPr>
        <w:pStyle w:val="Compact"/>
        <w:numPr>
          <w:ilvl w:val="3"/>
          <w:numId w:val="1000"/>
        </w:numPr>
      </w:pPr>
      <w:r>
        <w:t xml:space="preserve">Harvey, David.</w:t>
      </w:r>
      <w:r>
        <w:t xml:space="preserve"> </w:t>
      </w:r>
      <w:r>
        <w:t xml:space="preserve">The New Imperialism</w:t>
      </w:r>
      <w:r>
        <w:t xml:space="preserve">. Oxford: Oxford University Press, 2003.</w:t>
      </w:r>
    </w:p>
    <w:p>
      <w:pPr>
        <w:pStyle w:val="Compact"/>
        <w:numPr>
          <w:ilvl w:val="3"/>
          <w:numId w:val="1000"/>
        </w:numPr>
      </w:pPr>
      <w:r>
        <w:t xml:space="preserve">Henry, Claude.</w:t>
      </w:r>
      <w:r>
        <w:t xml:space="preserve"> </w:t>
      </w:r>
      <w:r>
        <w:t xml:space="preserve">“Investment Decisions Under Uncertainty: The</w:t>
      </w:r>
      <w:r>
        <w:t xml:space="preserve"> </w:t>
      </w:r>
      <w:r>
        <w:t xml:space="preserve">‘Irreversibility Effect.’</w:t>
      </w:r>
      <w:r>
        <w:t xml:space="preserve">”</w:t>
      </w:r>
      <w:r>
        <w:t xml:space="preserve"> </w:t>
      </w:r>
      <w:r>
        <w:t xml:space="preserve">American Economic Review</w:t>
      </w:r>
      <w:r>
        <w:t xml:space="preserve"> </w:t>
      </w:r>
      <w:r>
        <w:t xml:space="preserve">64, no. 6 (1974): 1006–1012.</w:t>
      </w:r>
    </w:p>
    <w:p>
      <w:pPr>
        <w:pStyle w:val="Compact"/>
        <w:numPr>
          <w:ilvl w:val="3"/>
          <w:numId w:val="1000"/>
        </w:numPr>
      </w:pPr>
      <w:r>
        <w:t xml:space="preserve">Hess, Charlotte, and Elinor Ostrom, eds. </w:t>
      </w:r>
      <w:r>
        <w:t xml:space="preserve">Understanding Knowledge as a Commons: From Theory to Practice</w:t>
      </w:r>
      <w:r>
        <w:t xml:space="preserve">. Cambridge, MA: MIT Press, 2007.</w:t>
      </w:r>
    </w:p>
    <w:p>
      <w:pPr>
        <w:pStyle w:val="Compact"/>
        <w:numPr>
          <w:ilvl w:val="3"/>
          <w:numId w:val="1000"/>
        </w:numPr>
      </w:pPr>
      <w:r>
        <w:t xml:space="preserve">Hickel, Jason.</w:t>
      </w:r>
      <w:r>
        <w:t xml:space="preserve"> </w:t>
      </w:r>
      <w:r>
        <w:t xml:space="preserve">Less Is More: How Degrowth Will Save the World</w:t>
      </w:r>
      <w:r>
        <w:t xml:space="preserve">. London: William Heinemann, 2020.</w:t>
      </w:r>
    </w:p>
    <w:p>
      <w:pPr>
        <w:pStyle w:val="Compact"/>
        <w:numPr>
          <w:ilvl w:val="3"/>
          <w:numId w:val="1000"/>
        </w:numPr>
      </w:pPr>
      <w:r>
        <w:t xml:space="preserve">Hicks, John R.</w:t>
      </w:r>
      <w:r>
        <w:t xml:space="preserve"> </w:t>
      </w:r>
      <w:r>
        <w:t xml:space="preserve">The Theory of Wages</w:t>
      </w:r>
      <w:r>
        <w:t xml:space="preserve">. London: Macmillan, 1932.</w:t>
      </w:r>
    </w:p>
    <w:p>
      <w:pPr>
        <w:pStyle w:val="Compact"/>
        <w:numPr>
          <w:ilvl w:val="3"/>
          <w:numId w:val="1000"/>
        </w:numPr>
      </w:pPr>
      <w:r>
        <w:t xml:space="preserve">Hong, Lu, and Scott E. Page.</w:t>
      </w:r>
      <w:r>
        <w:t xml:space="preserve"> </w:t>
      </w:r>
      <w:r>
        <w:t xml:space="preserve">“Groups of Diverse Problem Solvers Can Outperform Groups of High-Ability Problem Solvers.”</w:t>
      </w:r>
      <w:r>
        <w:t xml:space="preserve"> </w:t>
      </w:r>
      <w:r>
        <w:t xml:space="preserve">Proceedings of the National Academy of Sciences</w:t>
      </w:r>
      <w:r>
        <w:t xml:space="preserve"> </w:t>
      </w:r>
      <w:r>
        <w:t xml:space="preserve">101, no. 46 (2004): 16385–16389.</w:t>
      </w:r>
    </w:p>
    <w:p>
      <w:pPr>
        <w:pStyle w:val="Compact"/>
        <w:numPr>
          <w:ilvl w:val="3"/>
          <w:numId w:val="1000"/>
        </w:numPr>
      </w:pPr>
      <w:r>
        <w:t xml:space="preserve">Hotelling, Harold.</w:t>
      </w:r>
      <w:r>
        <w:t xml:space="preserve"> </w:t>
      </w:r>
      <w:r>
        <w:t xml:space="preserve">“The Economics of Exhaustible Resources.”</w:t>
      </w:r>
      <w:r>
        <w:t xml:space="preserve"> </w:t>
      </w:r>
      <w:r>
        <w:t xml:space="preserve">Journal of Political Economy</w:t>
      </w:r>
      <w:r>
        <w:t xml:space="preserve"> </w:t>
      </w:r>
      <w:r>
        <w:t xml:space="preserve">39, no. 2 (1931): 137–175.</w:t>
      </w:r>
    </w:p>
    <w:p>
      <w:pPr>
        <w:pStyle w:val="Compact"/>
        <w:numPr>
          <w:ilvl w:val="3"/>
          <w:numId w:val="1000"/>
        </w:numPr>
      </w:pPr>
      <w:r>
        <w:t xml:space="preserve">Howarth, Richard B., and Richard B. Norgaard.</w:t>
      </w:r>
      <w:r>
        <w:t xml:space="preserve"> </w:t>
      </w:r>
      <w:r>
        <w:t xml:space="preserve">“Intergenerational Resource Rights, Efficiency, and Social Optimality.”</w:t>
      </w:r>
      <w:r>
        <w:t xml:space="preserve"> </w:t>
      </w:r>
      <w:r>
        <w:t xml:space="preserve">American Economic Review</w:t>
      </w:r>
      <w:r>
        <w:t xml:space="preserve"> </w:t>
      </w:r>
      <w:r>
        <w:t xml:space="preserve">80, no. 2 (1990): 473–477.</w:t>
      </w:r>
    </w:p>
    <w:p>
      <w:pPr>
        <w:pStyle w:val="Compact"/>
        <w:numPr>
          <w:ilvl w:val="3"/>
          <w:numId w:val="1000"/>
        </w:numPr>
      </w:pPr>
      <w:r>
        <w:t xml:space="preserve">Howarth, Richard B., and Richard B. Norgaard.</w:t>
      </w:r>
      <w:r>
        <w:t xml:space="preserve"> </w:t>
      </w:r>
      <w:r>
        <w:t xml:space="preserve">“Environmental Valuation under Sustainable Development.”</w:t>
      </w:r>
      <w:r>
        <w:t xml:space="preserve"> </w:t>
      </w:r>
      <w:r>
        <w:t xml:space="preserve">Environmental and Resource Economics</w:t>
      </w:r>
      <w:r>
        <w:t xml:space="preserve"> </w:t>
      </w:r>
      <w:r>
        <w:t xml:space="preserve">2, no. 6 (1992): 583–596.</w:t>
      </w:r>
    </w:p>
    <w:p>
      <w:pPr>
        <w:pStyle w:val="Compact"/>
        <w:numPr>
          <w:ilvl w:val="3"/>
          <w:numId w:val="1000"/>
        </w:numPr>
      </w:pPr>
      <w:r>
        <w:t xml:space="preserve">Hyman, Louis.</w:t>
      </w:r>
      <w:r>
        <w:t xml:space="preserve"> </w:t>
      </w:r>
      <w:r>
        <w:t xml:space="preserve">Debtor Nation: The History of America in Red Ink</w:t>
      </w:r>
      <w:r>
        <w:t xml:space="preserve">. Princeton: Princeton University Press, 2011.</w:t>
      </w:r>
    </w:p>
    <w:p>
      <w:pPr>
        <w:pStyle w:val="Compact"/>
        <w:numPr>
          <w:ilvl w:val="3"/>
          <w:numId w:val="1000"/>
        </w:numPr>
      </w:pPr>
      <w:r>
        <w:t xml:space="preserve">Insurance Information Institute.</w:t>
      </w:r>
      <w:r>
        <w:t xml:space="preserve"> </w:t>
      </w:r>
      <w:r>
        <w:t xml:space="preserve">Replacement Cost vs. Actual Cash Value</w:t>
      </w:r>
      <w:r>
        <w:t xml:space="preserve"> </w:t>
      </w:r>
      <w:r>
        <w:t xml:space="preserve">(consumer guide).</w:t>
      </w:r>
    </w:p>
    <w:p>
      <w:pPr>
        <w:pStyle w:val="Compact"/>
        <w:numPr>
          <w:ilvl w:val="3"/>
          <w:numId w:val="1000"/>
        </w:numPr>
      </w:pPr>
      <w:r>
        <w:t xml:space="preserve">Jacobs, Jane.</w:t>
      </w:r>
      <w:r>
        <w:t xml:space="preserve"> </w:t>
      </w:r>
      <w:r>
        <w:t xml:space="preserve">The Death and Life of Great American Cities</w:t>
      </w:r>
      <w:r>
        <w:t xml:space="preserve">. New York: Random House, 1961.</w:t>
      </w:r>
    </w:p>
    <w:p>
      <w:pPr>
        <w:pStyle w:val="Compact"/>
        <w:numPr>
          <w:ilvl w:val="3"/>
          <w:numId w:val="1000"/>
        </w:numPr>
      </w:pPr>
      <w:r>
        <w:t xml:space="preserve">Kant, Immanuel.</w:t>
      </w:r>
      <w:r>
        <w:t xml:space="preserve"> </w:t>
      </w:r>
      <w:r>
        <w:t xml:space="preserve">Groundwork of the Metaphysics of Morals</w:t>
      </w:r>
      <w:r>
        <w:t xml:space="preserve">. 1785. Translated by Mary Gregor and Jens Timmermann. Cambridge: Cambridge University Press, 2012.</w:t>
      </w:r>
    </w:p>
    <w:p>
      <w:pPr>
        <w:pStyle w:val="Compact"/>
        <w:numPr>
          <w:ilvl w:val="3"/>
          <w:numId w:val="1000"/>
        </w:numPr>
      </w:pPr>
      <w:r>
        <w:t xml:space="preserve">Kilian, Lutz.</w:t>
      </w:r>
      <w:r>
        <w:t xml:space="preserve"> </w:t>
      </w:r>
      <w:r>
        <w:t xml:space="preserve">“Not All Oil Price Shocks Are Alike: Disentangling Demand and Supply Shocks in the Crude Oil Market.”</w:t>
      </w:r>
      <w:r>
        <w:t xml:space="preserve"> </w:t>
      </w:r>
      <w:r>
        <w:t xml:space="preserve">American Economic Review</w:t>
      </w:r>
      <w:r>
        <w:t xml:space="preserve"> </w:t>
      </w:r>
      <w:r>
        <w:t xml:space="preserve">99, no. 3 (2009): 1053–1069.</w:t>
      </w:r>
    </w:p>
    <w:p>
      <w:pPr>
        <w:pStyle w:val="Compact"/>
        <w:numPr>
          <w:ilvl w:val="3"/>
          <w:numId w:val="1000"/>
        </w:numPr>
      </w:pPr>
      <w:r>
        <w:t xml:space="preserve">Klinenberg, Eric.</w:t>
      </w:r>
      <w:r>
        <w:t xml:space="preserve"> </w:t>
      </w:r>
      <w:r>
        <w:t xml:space="preserve">Palaces for the People: How Social Infrastructure Can Help Fight Inequality, Polarization, and the Decline of Civic Life</w:t>
      </w:r>
      <w:r>
        <w:t xml:space="preserve">. New York: Crown, 2018.</w:t>
      </w:r>
    </w:p>
    <w:p>
      <w:pPr>
        <w:pStyle w:val="Compact"/>
        <w:numPr>
          <w:ilvl w:val="3"/>
          <w:numId w:val="1000"/>
        </w:numPr>
      </w:pPr>
      <w:r>
        <w:t xml:space="preserve">Lempert, Robert J., Steven W. Popper, and Steven C. Bankes.</w:t>
      </w:r>
      <w:r>
        <w:t xml:space="preserve"> </w:t>
      </w:r>
      <w:r>
        <w:t xml:space="preserve">Shaping the Next One Hundred Years: New Methods for Quantitative, Long-Term Policy Analysis</w:t>
      </w:r>
      <w:r>
        <w:t xml:space="preserve">. Santa Monica, CA: RAND, 2003.</w:t>
      </w:r>
    </w:p>
    <w:p>
      <w:pPr>
        <w:pStyle w:val="Compact"/>
        <w:numPr>
          <w:ilvl w:val="3"/>
          <w:numId w:val="1000"/>
        </w:numPr>
      </w:pPr>
      <w:r>
        <w:t xml:space="preserve">Lenton, Timothy M., et al. </w:t>
      </w:r>
      <w:r>
        <w:t xml:space="preserve">“Tipping Elements in the Earth’s Climate System.”</w:t>
      </w:r>
      <w:r>
        <w:t xml:space="preserve"> </w:t>
      </w:r>
      <w:r>
        <w:t xml:space="preserve">Proceedings of the National Academy of Sciences</w:t>
      </w:r>
      <w:r>
        <w:t xml:space="preserve"> </w:t>
      </w:r>
      <w:r>
        <w:t xml:space="preserve">105, no. 6 (2008): 1786–1793.</w:t>
      </w:r>
    </w:p>
    <w:p>
      <w:pPr>
        <w:pStyle w:val="Compact"/>
        <w:numPr>
          <w:ilvl w:val="3"/>
          <w:numId w:val="1000"/>
        </w:numPr>
      </w:pPr>
      <w:r>
        <w:t xml:space="preserve">Loomes, Graham, and Robert Sugden.</w:t>
      </w:r>
      <w:r>
        <w:t xml:space="preserve"> </w:t>
      </w:r>
      <w:r>
        <w:t xml:space="preserve">“Regret Theory: An Alternative Theory of Rational Choice under Uncertainty.”</w:t>
      </w:r>
      <w:r>
        <w:t xml:space="preserve"> </w:t>
      </w:r>
      <w:r>
        <w:t xml:space="preserve">Economic Journal</w:t>
      </w:r>
      <w:r>
        <w:t xml:space="preserve"> </w:t>
      </w:r>
      <w:r>
        <w:t xml:space="preserve">92, no. 368 (1982): 805–824.</w:t>
      </w:r>
    </w:p>
    <w:p>
      <w:pPr>
        <w:pStyle w:val="Compact"/>
        <w:numPr>
          <w:ilvl w:val="3"/>
          <w:numId w:val="1000"/>
        </w:numPr>
      </w:pPr>
      <w:r>
        <w:t xml:space="preserve">Mandelbrot, Benoit.</w:t>
      </w:r>
      <w:r>
        <w:t xml:space="preserve"> </w:t>
      </w:r>
      <w:r>
        <w:t xml:space="preserve">“The Variation of Certain Speculative Prices.”</w:t>
      </w:r>
      <w:r>
        <w:t xml:space="preserve"> </w:t>
      </w:r>
      <w:r>
        <w:t xml:space="preserve">Journal of Business</w:t>
      </w:r>
      <w:r>
        <w:t xml:space="preserve"> </w:t>
      </w:r>
      <w:r>
        <w:t xml:space="preserve">36, no. 4 (1963): 394–419.</w:t>
      </w:r>
    </w:p>
    <w:p>
      <w:pPr>
        <w:pStyle w:val="Compact"/>
        <w:numPr>
          <w:ilvl w:val="3"/>
          <w:numId w:val="1000"/>
        </w:numPr>
      </w:pPr>
      <w:r>
        <w:t xml:space="preserve">Mann, Michael.</w:t>
      </w:r>
      <w:r>
        <w:t xml:space="preserve"> </w:t>
      </w:r>
      <w:r>
        <w:t xml:space="preserve">“The Autonomous Power of the State: Its Origins, Mechanisms and Results.”</w:t>
      </w:r>
      <w:r>
        <w:t xml:space="preserve"> </w:t>
      </w:r>
      <w:r>
        <w:t xml:space="preserve">European Journal of Sociology</w:t>
      </w:r>
      <w:r>
        <w:t xml:space="preserve"> </w:t>
      </w:r>
      <w:r>
        <w:t xml:space="preserve">25, no. 2 (1984): 185–213.</w:t>
      </w:r>
    </w:p>
    <w:p>
      <w:pPr>
        <w:pStyle w:val="Compact"/>
        <w:numPr>
          <w:ilvl w:val="3"/>
          <w:numId w:val="1000"/>
        </w:numPr>
      </w:pPr>
      <w:r>
        <w:t xml:space="preserve">Marshall, Alfred.</w:t>
      </w:r>
      <w:r>
        <w:t xml:space="preserve"> </w:t>
      </w:r>
      <w:r>
        <w:t xml:space="preserve">Principles of Economics</w:t>
      </w:r>
      <w:r>
        <w:t xml:space="preserve">. London: Macmillan, 1890.</w:t>
      </w:r>
    </w:p>
    <w:p>
      <w:pPr>
        <w:pStyle w:val="Compact"/>
        <w:numPr>
          <w:ilvl w:val="3"/>
          <w:numId w:val="1000"/>
        </w:numPr>
      </w:pPr>
      <w:r>
        <w:t xml:space="preserve">Mazzucato, Mariana.</w:t>
      </w:r>
      <w:r>
        <w:t xml:space="preserve"> </w:t>
      </w:r>
      <w:r>
        <w:t xml:space="preserve">The Value of Everything: Making and Taking in the Global Economy</w:t>
      </w:r>
      <w:r>
        <w:t xml:space="preserve">. London: Allen Lane, 2018.</w:t>
      </w:r>
    </w:p>
    <w:p>
      <w:pPr>
        <w:pStyle w:val="Compact"/>
        <w:numPr>
          <w:ilvl w:val="3"/>
          <w:numId w:val="1000"/>
        </w:numPr>
      </w:pPr>
      <w:r>
        <w:t xml:space="preserve">Mian, Atif, and Amir Sufi.</w:t>
      </w:r>
      <w:r>
        <w:t xml:space="preserve"> </w:t>
      </w:r>
      <w:r>
        <w:t xml:space="preserve">House of Debt: How They (and You) Caused the Great Recession, and How We Can Prevent It from Happening Again</w:t>
      </w:r>
      <w:r>
        <w:t xml:space="preserve">. Chicago: University of Chicago Press, 2014.</w:t>
      </w:r>
    </w:p>
    <w:p>
      <w:pPr>
        <w:pStyle w:val="Compact"/>
        <w:numPr>
          <w:ilvl w:val="3"/>
          <w:numId w:val="1000"/>
        </w:numPr>
      </w:pPr>
      <w:r>
        <w:t xml:space="preserve">Mill, John Stuart.</w:t>
      </w:r>
      <w:r>
        <w:t xml:space="preserve"> </w:t>
      </w:r>
      <w:r>
        <w:t xml:space="preserve">On Liberty</w:t>
      </w:r>
      <w:r>
        <w:t xml:space="preserve">. London: John W. Parker and Son, 1859.</w:t>
      </w:r>
    </w:p>
    <w:p>
      <w:pPr>
        <w:pStyle w:val="Compact"/>
        <w:numPr>
          <w:ilvl w:val="3"/>
          <w:numId w:val="1000"/>
        </w:numPr>
      </w:pPr>
      <w:r>
        <w:t xml:space="preserve">Mosteller, Frederick, and John W. Tukey.</w:t>
      </w:r>
      <w:r>
        <w:t xml:space="preserve"> </w:t>
      </w:r>
      <w:r>
        <w:t xml:space="preserve">Data Analysis and Regression: A Second Course in Statistics</w:t>
      </w:r>
      <w:r>
        <w:t xml:space="preserve">. Reading, MA: Addison-Wesley, 1977.</w:t>
      </w:r>
    </w:p>
    <w:p>
      <w:pPr>
        <w:pStyle w:val="Compact"/>
        <w:numPr>
          <w:ilvl w:val="3"/>
          <w:numId w:val="1000"/>
        </w:numPr>
      </w:pPr>
      <w:r>
        <w:t xml:space="preserve">Mussa, Michael, and Sherwin Rosen.</w:t>
      </w:r>
      <w:r>
        <w:t xml:space="preserve"> </w:t>
      </w:r>
      <w:r>
        <w:t xml:space="preserve">“Monopoly and Product Quality.”</w:t>
      </w:r>
      <w:r>
        <w:t xml:space="preserve"> </w:t>
      </w:r>
      <w:r>
        <w:t xml:space="preserve">Journal of Economic Theory</w:t>
      </w:r>
      <w:r>
        <w:t xml:space="preserve"> </w:t>
      </w:r>
      <w:r>
        <w:t xml:space="preserve">18, no. 2 (1978): 301–317.</w:t>
      </w:r>
    </w:p>
    <w:p>
      <w:pPr>
        <w:pStyle w:val="Compact"/>
        <w:numPr>
          <w:ilvl w:val="3"/>
          <w:numId w:val="1000"/>
        </w:numPr>
      </w:pPr>
      <w:r>
        <w:t xml:space="preserve">Nordhaus, William D., and Joseph Boyer.</w:t>
      </w:r>
      <w:r>
        <w:t xml:space="preserve"> </w:t>
      </w:r>
      <w:r>
        <w:t xml:space="preserve">Warming the World: Economic Models of Global Warming</w:t>
      </w:r>
      <w:r>
        <w:t xml:space="preserve">. Cambridge, MA: MIT Press, 2000.</w:t>
      </w:r>
    </w:p>
    <w:p>
      <w:pPr>
        <w:pStyle w:val="Compact"/>
        <w:numPr>
          <w:ilvl w:val="3"/>
          <w:numId w:val="1000"/>
        </w:numPr>
      </w:pPr>
      <w:r>
        <w:t xml:space="preserve">North, Douglass C.</w:t>
      </w:r>
      <w:r>
        <w:t xml:space="preserve"> </w:t>
      </w:r>
      <w:r>
        <w:t xml:space="preserve">Institutions, Institutional Change and Economic Performance</w:t>
      </w:r>
      <w:r>
        <w:t xml:space="preserve">. Cambridge: Cambridge University Press, 1990.</w:t>
      </w:r>
    </w:p>
    <w:p>
      <w:pPr>
        <w:pStyle w:val="Compact"/>
        <w:numPr>
          <w:ilvl w:val="3"/>
          <w:numId w:val="1000"/>
        </w:numPr>
      </w:pPr>
      <w:r>
        <w:t xml:space="preserve">Nussbaum, Martha C.</w:t>
      </w:r>
      <w:r>
        <w:t xml:space="preserve"> </w:t>
      </w:r>
      <w:r>
        <w:t xml:space="preserve">Creating Capabilities: The Human Development Approach</w:t>
      </w:r>
      <w:r>
        <w:t xml:space="preserve">. Cambridge, MA: Belknap Press of Harvard University Press, 2011.</w:t>
      </w:r>
    </w:p>
    <w:p>
      <w:pPr>
        <w:pStyle w:val="Compact"/>
        <w:numPr>
          <w:ilvl w:val="3"/>
          <w:numId w:val="1000"/>
        </w:numPr>
      </w:pPr>
      <w:r>
        <w:t xml:space="preserve">Olson, Mancur.</w:t>
      </w:r>
      <w:r>
        <w:t xml:space="preserve"> </w:t>
      </w:r>
      <w:r>
        <w:t xml:space="preserve">The Logic of Collective Action: Public Goods and the Theory of Groups</w:t>
      </w:r>
      <w:r>
        <w:t xml:space="preserve">. Cambridge, MA: Harvard University Press, 1965.</w:t>
      </w:r>
    </w:p>
    <w:p>
      <w:pPr>
        <w:pStyle w:val="Compact"/>
        <w:numPr>
          <w:ilvl w:val="3"/>
          <w:numId w:val="1000"/>
        </w:numPr>
      </w:pPr>
      <w:r>
        <w:t xml:space="preserve">O’Neil, Cathy.</w:t>
      </w:r>
      <w:r>
        <w:t xml:space="preserve"> </w:t>
      </w:r>
      <w:r>
        <w:t xml:space="preserve">Weapons of Math Destruction: How Big Data Increases Inequality and Threatens Democracy</w:t>
      </w:r>
      <w:r>
        <w:t xml:space="preserve">. New York: Crown, 2016.</w:t>
      </w:r>
    </w:p>
    <w:p>
      <w:pPr>
        <w:pStyle w:val="Compact"/>
        <w:numPr>
          <w:ilvl w:val="3"/>
          <w:numId w:val="1000"/>
        </w:numPr>
      </w:pPr>
      <w:r>
        <w:t xml:space="preserve">Ostrom, Elinor.</w:t>
      </w:r>
      <w:r>
        <w:t xml:space="preserve"> </w:t>
      </w:r>
      <w:r>
        <w:t xml:space="preserve">Governing the Commons: The Evolution of Institutions for Collective Action</w:t>
      </w:r>
      <w:r>
        <w:t xml:space="preserve">. Cambridge: Cambridge University Press, 1990.</w:t>
      </w:r>
    </w:p>
    <w:p>
      <w:pPr>
        <w:pStyle w:val="Compact"/>
        <w:numPr>
          <w:ilvl w:val="3"/>
          <w:numId w:val="1000"/>
        </w:numPr>
      </w:pPr>
      <w:r>
        <w:t xml:space="preserve">Parfit, Derek.</w:t>
      </w:r>
      <w:r>
        <w:t xml:space="preserve"> </w:t>
      </w:r>
      <w:r>
        <w:t xml:space="preserve">Reasons and Persons</w:t>
      </w:r>
      <w:r>
        <w:t xml:space="preserve">. Oxford: Oxford University Press, 1984.</w:t>
      </w:r>
    </w:p>
    <w:p>
      <w:pPr>
        <w:pStyle w:val="Compact"/>
        <w:numPr>
          <w:ilvl w:val="3"/>
          <w:numId w:val="1000"/>
        </w:numPr>
      </w:pPr>
      <w:r>
        <w:t xml:space="preserve">Patel, Raj, and Jason W. Moore.</w:t>
      </w:r>
      <w:r>
        <w:t xml:space="preserve"> </w:t>
      </w:r>
      <w:r>
        <w:t xml:space="preserve">A History of the World in Seven Cheap Things: A Guide to Capitalism, Nature, and the Future of the Planet</w:t>
      </w:r>
      <w:r>
        <w:t xml:space="preserve">. Berkeley: University of California Press, 2017.</w:t>
      </w:r>
    </w:p>
    <w:p>
      <w:pPr>
        <w:pStyle w:val="Compact"/>
        <w:numPr>
          <w:ilvl w:val="3"/>
          <w:numId w:val="1000"/>
        </w:numPr>
      </w:pPr>
      <w:r>
        <w:t xml:space="preserve">Pettit, Philip.</w:t>
      </w:r>
      <w:r>
        <w:t xml:space="preserve"> </w:t>
      </w:r>
      <w:r>
        <w:t xml:space="preserve">Republicanism: A Theory of Freedom and Government</w:t>
      </w:r>
      <w:r>
        <w:t xml:space="preserve">. Oxford: Oxford University Press, 1997.</w:t>
      </w:r>
    </w:p>
    <w:p>
      <w:pPr>
        <w:pStyle w:val="Compact"/>
        <w:numPr>
          <w:ilvl w:val="3"/>
          <w:numId w:val="1000"/>
        </w:numPr>
      </w:pPr>
      <w:r>
        <w:t xml:space="preserve">Pigou, Arthur Cecil.</w:t>
      </w:r>
      <w:r>
        <w:t xml:space="preserve"> </w:t>
      </w:r>
      <w:r>
        <w:t xml:space="preserve">The Economics of Welfare</w:t>
      </w:r>
      <w:r>
        <w:t xml:space="preserve">. London: Macmillan, 1920.</w:t>
      </w:r>
    </w:p>
    <w:p>
      <w:pPr>
        <w:pStyle w:val="Compact"/>
        <w:numPr>
          <w:ilvl w:val="3"/>
          <w:numId w:val="1000"/>
        </w:numPr>
      </w:pPr>
      <w:r>
        <w:t xml:space="preserve">Pindyck, Robert S.</w:t>
      </w:r>
      <w:r>
        <w:t xml:space="preserve"> </w:t>
      </w:r>
      <w:r>
        <w:t xml:space="preserve">“The Optimal Exploration and Production of Nonrenewable Resources.”</w:t>
      </w:r>
      <w:r>
        <w:t xml:space="preserve"> </w:t>
      </w:r>
      <w:r>
        <w:t xml:space="preserve">Journal of Political Economy</w:t>
      </w:r>
      <w:r>
        <w:t xml:space="preserve"> </w:t>
      </w:r>
      <w:r>
        <w:t xml:space="preserve">86, no. 5 (1978): 841–861.</w:t>
      </w:r>
    </w:p>
    <w:p>
      <w:pPr>
        <w:pStyle w:val="Compact"/>
        <w:numPr>
          <w:ilvl w:val="3"/>
          <w:numId w:val="1000"/>
        </w:numPr>
      </w:pPr>
      <w:r>
        <w:t xml:space="preserve">Pindyck, Robert S.</w:t>
      </w:r>
      <w:r>
        <w:t xml:space="preserve"> </w:t>
      </w:r>
      <w:r>
        <w:t xml:space="preserve">“Volatility and Commodity Price Dynamics.”</w:t>
      </w:r>
      <w:r>
        <w:t xml:space="preserve"> </w:t>
      </w:r>
      <w:r>
        <w:t xml:space="preserve">Energy Journal</w:t>
      </w:r>
      <w:r>
        <w:t xml:space="preserve"> </w:t>
      </w:r>
      <w:r>
        <w:t xml:space="preserve">29, no. 1 (2008): 1–26.</w:t>
      </w:r>
    </w:p>
    <w:p>
      <w:pPr>
        <w:pStyle w:val="Compact"/>
        <w:numPr>
          <w:ilvl w:val="3"/>
          <w:numId w:val="1000"/>
        </w:numPr>
      </w:pPr>
      <w:r>
        <w:t xml:space="preserve">Putnam, Robert D.</w:t>
      </w:r>
      <w:r>
        <w:t xml:space="preserve"> </w:t>
      </w:r>
      <w:r>
        <w:t xml:space="preserve">Bowling Alone: The Collapse and Revival of American Community</w:t>
      </w:r>
      <w:r>
        <w:t xml:space="preserve">. New York: Simon &amp; Schuster, 2000.</w:t>
      </w:r>
    </w:p>
    <w:p>
      <w:pPr>
        <w:pStyle w:val="Compact"/>
        <w:numPr>
          <w:ilvl w:val="3"/>
          <w:numId w:val="1000"/>
        </w:numPr>
      </w:pPr>
      <w:r>
        <w:t xml:space="preserve">Reilly, Benjamin.</w:t>
      </w:r>
      <w:r>
        <w:t xml:space="preserve"> </w:t>
      </w:r>
      <w:r>
        <w:t xml:space="preserve">Democracy and Diversity: Political Engineering in the Asia-Pacific</w:t>
      </w:r>
      <w:r>
        <w:t xml:space="preserve">. Oxford: Oxford University Press, 2001.</w:t>
      </w:r>
    </w:p>
    <w:p>
      <w:pPr>
        <w:pStyle w:val="Compact"/>
        <w:numPr>
          <w:ilvl w:val="3"/>
          <w:numId w:val="1000"/>
        </w:numPr>
      </w:pPr>
      <w:r>
        <w:t xml:space="preserve">Rio Declaration on Environment and Development. United Nations Conference on Environment and Development, 1992. (Principle 15: Precautionary Approach.)</w:t>
      </w:r>
    </w:p>
    <w:p>
      <w:pPr>
        <w:pStyle w:val="Compact"/>
        <w:numPr>
          <w:ilvl w:val="3"/>
          <w:numId w:val="1000"/>
        </w:numPr>
      </w:pPr>
      <w:r>
        <w:t xml:space="preserve">Rockström, Johan, et al. </w:t>
      </w:r>
      <w:r>
        <w:t xml:space="preserve">“A Safe Operating Space for Humanity.”</w:t>
      </w:r>
      <w:r>
        <w:t xml:space="preserve"> </w:t>
      </w:r>
      <w:r>
        <w:t xml:space="preserve">Nature</w:t>
      </w:r>
      <w:r>
        <w:t xml:space="preserve"> </w:t>
      </w:r>
      <w:r>
        <w:t xml:space="preserve">461 (2009): 472–475.</w:t>
      </w:r>
    </w:p>
    <w:p>
      <w:pPr>
        <w:pStyle w:val="Compact"/>
        <w:numPr>
          <w:ilvl w:val="3"/>
          <w:numId w:val="1000"/>
        </w:numPr>
      </w:pPr>
      <w:r>
        <w:t xml:space="preserve">Rothstein, Richard.</w:t>
      </w:r>
      <w:r>
        <w:t xml:space="preserve"> </w:t>
      </w:r>
      <w:r>
        <w:t xml:space="preserve">The Color of Law: A Forgotten History of How Our Government Segregated America</w:t>
      </w:r>
      <w:r>
        <w:t xml:space="preserve">. New York: Liveright, 2017.</w:t>
      </w:r>
    </w:p>
    <w:p>
      <w:pPr>
        <w:pStyle w:val="Compact"/>
        <w:numPr>
          <w:ilvl w:val="3"/>
          <w:numId w:val="1000"/>
        </w:numPr>
      </w:pPr>
      <w:r>
        <w:t xml:space="preserve">Royden, H. L.</w:t>
      </w:r>
      <w:r>
        <w:t xml:space="preserve"> </w:t>
      </w:r>
      <w:r>
        <w:t xml:space="preserve">Real Analysis</w:t>
      </w:r>
      <w:r>
        <w:t xml:space="preserve">. 3rd ed. New York: Macmillan, 1988.</w:t>
      </w:r>
    </w:p>
    <w:p>
      <w:pPr>
        <w:pStyle w:val="Compact"/>
        <w:numPr>
          <w:ilvl w:val="3"/>
          <w:numId w:val="1000"/>
        </w:numPr>
      </w:pPr>
      <w:r>
        <w:t xml:space="preserve">Savage, Leonard J.</w:t>
      </w:r>
      <w:r>
        <w:t xml:space="preserve"> </w:t>
      </w:r>
      <w:r>
        <w:t xml:space="preserve">“The Theory of Statistical Decision.”</w:t>
      </w:r>
      <w:r>
        <w:t xml:space="preserve"> </w:t>
      </w:r>
      <w:r>
        <w:t xml:space="preserve">Journal of the American Statistical Association</w:t>
      </w:r>
      <w:r>
        <w:t xml:space="preserve"> </w:t>
      </w:r>
      <w:r>
        <w:t xml:space="preserve">46, no. 253 (1951): 55–67.</w:t>
      </w:r>
    </w:p>
    <w:p>
      <w:pPr>
        <w:pStyle w:val="Compact"/>
        <w:numPr>
          <w:ilvl w:val="3"/>
          <w:numId w:val="1000"/>
        </w:numPr>
      </w:pPr>
      <w:r>
        <w:t xml:space="preserve">Sen, Amartya.</w:t>
      </w:r>
      <w:r>
        <w:t xml:space="preserve"> </w:t>
      </w:r>
      <w:r>
        <w:t xml:space="preserve">Development as Freedom</w:t>
      </w:r>
      <w:r>
        <w:t xml:space="preserve">. New York: Knopf, 1999.</w:t>
      </w:r>
    </w:p>
    <w:p>
      <w:pPr>
        <w:pStyle w:val="Compact"/>
        <w:numPr>
          <w:ilvl w:val="3"/>
          <w:numId w:val="1000"/>
        </w:numPr>
      </w:pPr>
      <w:r>
        <w:t xml:space="preserve">Sen, Amartya.</w:t>
      </w:r>
      <w:r>
        <w:t xml:space="preserve"> </w:t>
      </w:r>
      <w:r>
        <w:t xml:space="preserve">Inequality Reexamined</w:t>
      </w:r>
      <w:r>
        <w:t xml:space="preserve">. Cambridge, MA: Harvard University Press, 1992.</w:t>
      </w:r>
    </w:p>
    <w:p>
      <w:pPr>
        <w:pStyle w:val="Compact"/>
        <w:numPr>
          <w:ilvl w:val="3"/>
          <w:numId w:val="1000"/>
        </w:numPr>
      </w:pPr>
      <w:r>
        <w:t xml:space="preserve">Slade, Margaret E., and Henry Thille.</w:t>
      </w:r>
      <w:r>
        <w:t xml:space="preserve"> </w:t>
      </w:r>
      <w:r>
        <w:t xml:space="preserve">“Whither Hotelling: Tests of the Theory of Exhaustible Resources.”</w:t>
      </w:r>
      <w:r>
        <w:t xml:space="preserve"> </w:t>
      </w:r>
      <w:r>
        <w:t xml:space="preserve">Annual Review of Resource Economics</w:t>
      </w:r>
      <w:r>
        <w:t xml:space="preserve"> </w:t>
      </w:r>
      <w:r>
        <w:t xml:space="preserve">1 (2009): 239–260.</w:t>
      </w:r>
    </w:p>
    <w:p>
      <w:pPr>
        <w:pStyle w:val="Compact"/>
        <w:numPr>
          <w:ilvl w:val="3"/>
          <w:numId w:val="1000"/>
        </w:numPr>
      </w:pPr>
      <w:r>
        <w:t xml:space="preserve">Solow, Robert M.</w:t>
      </w:r>
      <w:r>
        <w:t xml:space="preserve"> </w:t>
      </w:r>
      <w:r>
        <w:t xml:space="preserve">“A Contribution to the Theory of Economic Growth.”</w:t>
      </w:r>
      <w:r>
        <w:t xml:space="preserve"> </w:t>
      </w:r>
      <w:r>
        <w:t xml:space="preserve">Quarterly Journal of Economics</w:t>
      </w:r>
      <w:r>
        <w:t xml:space="preserve"> </w:t>
      </w:r>
      <w:r>
        <w:t xml:space="preserve">70, no. 1 (1956): 65–94.</w:t>
      </w:r>
    </w:p>
    <w:p>
      <w:pPr>
        <w:pStyle w:val="Compact"/>
        <w:numPr>
          <w:ilvl w:val="3"/>
          <w:numId w:val="1000"/>
        </w:numPr>
      </w:pPr>
      <w:r>
        <w:t xml:space="preserve">Solow, Robert M.</w:t>
      </w:r>
      <w:r>
        <w:t xml:space="preserve"> </w:t>
      </w:r>
      <w:r>
        <w:t xml:space="preserve">“Intergenerational Equity and Exhaustible Resources.”</w:t>
      </w:r>
      <w:r>
        <w:t xml:space="preserve"> </w:t>
      </w:r>
      <w:r>
        <w:t xml:space="preserve">Review of Economic Studies</w:t>
      </w:r>
      <w:r>
        <w:t xml:space="preserve"> </w:t>
      </w:r>
      <w:r>
        <w:t xml:space="preserve">41 (Symposium 1974): 29–45.</w:t>
      </w:r>
    </w:p>
    <w:p>
      <w:pPr>
        <w:pStyle w:val="Compact"/>
        <w:numPr>
          <w:ilvl w:val="3"/>
          <w:numId w:val="1000"/>
        </w:numPr>
      </w:pPr>
      <w:r>
        <w:t xml:space="preserve">Spence, Michael.</w:t>
      </w:r>
      <w:r>
        <w:t xml:space="preserve"> </w:t>
      </w:r>
      <w:r>
        <w:t xml:space="preserve">“Product Differentiation and Welfare.”</w:t>
      </w:r>
      <w:r>
        <w:t xml:space="preserve"> </w:t>
      </w:r>
      <w:r>
        <w:t xml:space="preserve">American Economic Review Papers and Proceedings</w:t>
      </w:r>
      <w:r>
        <w:t xml:space="preserve"> </w:t>
      </w:r>
      <w:r>
        <w:t xml:space="preserve">66, no. 2 (1976): 407–414.</w:t>
      </w:r>
    </w:p>
    <w:p>
      <w:pPr>
        <w:pStyle w:val="Compact"/>
        <w:numPr>
          <w:ilvl w:val="3"/>
          <w:numId w:val="1000"/>
        </w:numPr>
      </w:pPr>
      <w:r>
        <w:t xml:space="preserve">Steffen, Will, et al. </w:t>
      </w:r>
      <w:r>
        <w:t xml:space="preserve">“Planetary Boundaries: Guiding Human Development on a Changing Planet.”</w:t>
      </w:r>
      <w:r>
        <w:t xml:space="preserve"> </w:t>
      </w:r>
      <w:r>
        <w:t xml:space="preserve">Science</w:t>
      </w:r>
      <w:r>
        <w:t xml:space="preserve"> </w:t>
      </w:r>
      <w:r>
        <w:t xml:space="preserve">347, no. 6223 (2015): 1259855.</w:t>
      </w:r>
    </w:p>
    <w:p>
      <w:pPr>
        <w:pStyle w:val="Compact"/>
        <w:numPr>
          <w:ilvl w:val="3"/>
          <w:numId w:val="1000"/>
        </w:numPr>
      </w:pPr>
      <w:r>
        <w:t xml:space="preserve">Stern, Nicholas.</w:t>
      </w:r>
      <w:r>
        <w:t xml:space="preserve"> </w:t>
      </w:r>
      <w:r>
        <w:t xml:space="preserve">The Economics of Climate Change: The Stern Review</w:t>
      </w:r>
      <w:r>
        <w:t xml:space="preserve">. Cambridge: Cambridge University Press, 2007.</w:t>
      </w:r>
    </w:p>
    <w:p>
      <w:pPr>
        <w:pStyle w:val="Compact"/>
        <w:numPr>
          <w:ilvl w:val="3"/>
          <w:numId w:val="1000"/>
        </w:numPr>
      </w:pPr>
      <w:r>
        <w:t xml:space="preserve">Stigler, George J.</w:t>
      </w:r>
      <w:r>
        <w:t xml:space="preserve"> </w:t>
      </w:r>
      <w:r>
        <w:t xml:space="preserve">“The Theory of Economic Regulation.”</w:t>
      </w:r>
      <w:r>
        <w:t xml:space="preserve"> </w:t>
      </w:r>
      <w:r>
        <w:t xml:space="preserve">Bell Journal of Economics and Management Science</w:t>
      </w:r>
      <w:r>
        <w:t xml:space="preserve"> </w:t>
      </w:r>
      <w:r>
        <w:t xml:space="preserve">2, no. 1 (1971): 3–21.</w:t>
      </w:r>
    </w:p>
    <w:p>
      <w:pPr>
        <w:pStyle w:val="Compact"/>
        <w:numPr>
          <w:ilvl w:val="3"/>
          <w:numId w:val="1000"/>
        </w:numPr>
      </w:pPr>
      <w:r>
        <w:t xml:space="preserve">Stiglitz, Joseph E.</w:t>
      </w:r>
      <w:r>
        <w:t xml:space="preserve"> </w:t>
      </w:r>
      <w:r>
        <w:t xml:space="preserve">Economics of the Public Sector</w:t>
      </w:r>
      <w:r>
        <w:t xml:space="preserve">. 3rd ed. New York: W. W. Norton, 2000.</w:t>
      </w:r>
    </w:p>
    <w:p>
      <w:pPr>
        <w:pStyle w:val="Compact"/>
        <w:numPr>
          <w:ilvl w:val="3"/>
          <w:numId w:val="1000"/>
        </w:numPr>
      </w:pPr>
      <w:r>
        <w:t xml:space="preserve">Sugrue, Thomas J.</w:t>
      </w:r>
      <w:r>
        <w:t xml:space="preserve"> </w:t>
      </w:r>
      <w:r>
        <w:t xml:space="preserve">The Origins of the Urban Crisis: Race and Inequality in Postwar Detroit</w:t>
      </w:r>
      <w:r>
        <w:t xml:space="preserve">. Princeton: Princeton University Press, 1996.</w:t>
      </w:r>
    </w:p>
    <w:p>
      <w:pPr>
        <w:pStyle w:val="Compact"/>
        <w:numPr>
          <w:ilvl w:val="3"/>
          <w:numId w:val="1000"/>
        </w:numPr>
      </w:pPr>
      <w:r>
        <w:t xml:space="preserve">Taleb, Nassim Nicholas.</w:t>
      </w:r>
      <w:r>
        <w:t xml:space="preserve"> </w:t>
      </w:r>
      <w:r>
        <w:t xml:space="preserve">The Black Swan: The Impact of the Highly Improbable</w:t>
      </w:r>
      <w:r>
        <w:t xml:space="preserve">. New York: Random House, 2007.</w:t>
      </w:r>
    </w:p>
    <w:p>
      <w:pPr>
        <w:pStyle w:val="Compact"/>
        <w:numPr>
          <w:ilvl w:val="3"/>
          <w:numId w:val="1000"/>
        </w:numPr>
      </w:pPr>
      <w:r>
        <w:t xml:space="preserve">Taylor, Keeanga-Yamahtta.</w:t>
      </w:r>
      <w:r>
        <w:t xml:space="preserve"> </w:t>
      </w:r>
      <w:r>
        <w:t xml:space="preserve">Race for Profit: How Banks and the Real Estate Industry Undermined Black Homeownership</w:t>
      </w:r>
      <w:r>
        <w:t xml:space="preserve">. Chapel Hill: University of North Carolina Press, 2019.</w:t>
      </w:r>
    </w:p>
    <w:p>
      <w:pPr>
        <w:pStyle w:val="Compact"/>
        <w:numPr>
          <w:ilvl w:val="3"/>
          <w:numId w:val="1000"/>
        </w:numPr>
      </w:pPr>
      <w:r>
        <w:t xml:space="preserve">Tilly, Charles.</w:t>
      </w:r>
      <w:r>
        <w:t xml:space="preserve"> </w:t>
      </w:r>
      <w:r>
        <w:t xml:space="preserve">Coercion, Capital and European States, AD 990–1990</w:t>
      </w:r>
      <w:r>
        <w:t xml:space="preserve">. Cambridge, MA: Blackwell, 1990.</w:t>
      </w:r>
    </w:p>
    <w:p>
      <w:pPr>
        <w:pStyle w:val="Compact"/>
        <w:numPr>
          <w:ilvl w:val="3"/>
          <w:numId w:val="1000"/>
        </w:numPr>
      </w:pPr>
      <w:r>
        <w:t xml:space="preserve">Tirole, Jean.</w:t>
      </w:r>
      <w:r>
        <w:t xml:space="preserve"> </w:t>
      </w:r>
      <w:r>
        <w:t xml:space="preserve">The Theory of Industrial Organization</w:t>
      </w:r>
      <w:r>
        <w:t xml:space="preserve">. Cambridge, MA: MIT Press, 1988.</w:t>
      </w:r>
    </w:p>
    <w:p>
      <w:pPr>
        <w:pStyle w:val="Compact"/>
        <w:numPr>
          <w:ilvl w:val="3"/>
          <w:numId w:val="1000"/>
        </w:numPr>
      </w:pPr>
      <w:r>
        <w:t xml:space="preserve">Tönnies, Ferdinand.</w:t>
      </w:r>
      <w:r>
        <w:t xml:space="preserve"> </w:t>
      </w:r>
      <w:r>
        <w:t xml:space="preserve">Gemeinschaft und Gesellschaft</w:t>
      </w:r>
      <w:r>
        <w:t xml:space="preserve">. Leipzig: Fues’s Verlag, 1887. English translation:</w:t>
      </w:r>
      <w:r>
        <w:t xml:space="preserve"> </w:t>
      </w:r>
      <w:r>
        <w:t xml:space="preserve">Community and Society</w:t>
      </w:r>
      <w:r>
        <w:t xml:space="preserve">, 1957.</w:t>
      </w:r>
    </w:p>
    <w:p>
      <w:pPr>
        <w:pStyle w:val="Compact"/>
        <w:numPr>
          <w:ilvl w:val="3"/>
          <w:numId w:val="1000"/>
        </w:numPr>
      </w:pPr>
      <w:r>
        <w:t xml:space="preserve">Tuan, Yi-Fu.</w:t>
      </w:r>
      <w:r>
        <w:t xml:space="preserve"> </w:t>
      </w:r>
      <w:r>
        <w:t xml:space="preserve">Space and Place: The Perspective of Experience</w:t>
      </w:r>
      <w:r>
        <w:t xml:space="preserve">. Minneapolis: University of Minnesota Press, 1977.</w:t>
      </w:r>
    </w:p>
    <w:p>
      <w:pPr>
        <w:pStyle w:val="Compact"/>
        <w:numPr>
          <w:ilvl w:val="3"/>
          <w:numId w:val="1000"/>
        </w:numPr>
      </w:pPr>
      <w:r>
        <w:t xml:space="preserve">Tuck, Eve, and K. Wayne Yang.</w:t>
      </w:r>
      <w:r>
        <w:t xml:space="preserve"> </w:t>
      </w:r>
      <w:r>
        <w:t xml:space="preserve">“Decolonization Is Not a Metaphor.”</w:t>
      </w:r>
      <w:r>
        <w:t xml:space="preserve"> </w:t>
      </w:r>
      <w:r>
        <w:t xml:space="preserve">Decolonization: Indigeneity, Education &amp; Society</w:t>
      </w:r>
      <w:r>
        <w:t xml:space="preserve"> </w:t>
      </w:r>
      <w:r>
        <w:t xml:space="preserve">1, no. 1 (2012): 1–40.</w:t>
      </w:r>
    </w:p>
    <w:p>
      <w:pPr>
        <w:pStyle w:val="Compact"/>
        <w:numPr>
          <w:ilvl w:val="3"/>
          <w:numId w:val="1000"/>
        </w:numPr>
      </w:pPr>
      <w:r>
        <w:t xml:space="preserve">Weitzman, Martin L.</w:t>
      </w:r>
      <w:r>
        <w:t xml:space="preserve"> </w:t>
      </w:r>
      <w:r>
        <w:t xml:space="preserve">“Gamma Discounting.”</w:t>
      </w:r>
      <w:r>
        <w:t xml:space="preserve"> </w:t>
      </w:r>
      <w:r>
        <w:t xml:space="preserve">American Economic Review</w:t>
      </w:r>
      <w:r>
        <w:t xml:space="preserve"> </w:t>
      </w:r>
      <w:r>
        <w:t xml:space="preserve">91, no. 1 (2001): 260–271.</w:t>
      </w:r>
    </w:p>
    <w:p>
      <w:pPr>
        <w:pStyle w:val="Compact"/>
        <w:numPr>
          <w:ilvl w:val="3"/>
          <w:numId w:val="1000"/>
        </w:numPr>
      </w:pPr>
      <w:r>
        <w:t xml:space="preserve">Weston, Kath.</w:t>
      </w:r>
      <w:r>
        <w:t xml:space="preserve"> </w:t>
      </w:r>
      <w:r>
        <w:t xml:space="preserve">Families We Choose: Lesbians, Gays, Kinship</w:t>
      </w:r>
      <w:r>
        <w:t xml:space="preserve">. New York: Columbia University Press, 1991.</w:t>
      </w:r>
    </w:p>
    <w:p>
      <w:pPr>
        <w:pStyle w:val="Compact"/>
        <w:numPr>
          <w:ilvl w:val="3"/>
          <w:numId w:val="1000"/>
        </w:numPr>
      </w:pPr>
      <w:r>
        <w:t xml:space="preserve">Whyte, Kyle.</w:t>
      </w:r>
      <w:r>
        <w:t xml:space="preserve"> </w:t>
      </w:r>
      <w:r>
        <w:t xml:space="preserve">Indigenous Environmental Ethics</w:t>
      </w:r>
      <w:r>
        <w:t xml:space="preserve"> </w:t>
      </w:r>
      <w:r>
        <w:t xml:space="preserve">(collected works on indigenous environmental ethics + climate justice).</w:t>
      </w:r>
    </w:p>
    <w:p>
      <w:pPr>
        <w:pStyle w:val="Compact"/>
        <w:numPr>
          <w:ilvl w:val="3"/>
          <w:numId w:val="1000"/>
        </w:numPr>
      </w:pPr>
      <w:r>
        <w:t xml:space="preserve">Wolfe, Patrick.</w:t>
      </w:r>
      <w:r>
        <w:t xml:space="preserve"> </w:t>
      </w:r>
      <w:r>
        <w:t xml:space="preserve">Settler Colonialism and the Transformation of Anthropology: The Politics and Poetics of an Ethnographic Event</w:t>
      </w:r>
      <w:r>
        <w:t xml:space="preserve">. London: Cassell, 1999.</w:t>
      </w:r>
    </w:p>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2026-05-18T18:58:36Z</dcterms:created>
  <dcterms:modified xsi:type="dcterms:W3CDTF">2026-05-18T18:58:36Z</dcterms:modified>
</cp:coreProperties>
</file>

<file path=docProps/custom.xml><?xml version="1.0" encoding="utf-8"?>
<Properties xmlns="http://schemas.openxmlformats.org/officeDocument/2006/custom-properties" xmlns:vt="http://schemas.openxmlformats.org/officeDocument/2006/docPropsVTypes"/>
</file>