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shd w:val="clear" w:fill="FFFFFF"/>
          <w:lang w:eastAsia="zh-CN"/>
        </w:rPr>
        <w:t>In this Document</w:t>
      </w:r>
    </w:p>
    <w:tbl>
      <w:tblPr>
        <w:tblW w:w="0" w:type="auto"/>
        <w:tblInd w:w="0" w:type="dxa"/>
        <w:shd w:val="clear"/>
        <w:tblLayout w:type="autofit"/>
        <w:tblCellMar>
          <w:top w:w="0" w:type="dxa"/>
          <w:left w:w="0" w:type="dxa"/>
          <w:bottom w:w="0" w:type="dxa"/>
          <w:right w:w="0" w:type="dxa"/>
        </w:tblCellMar>
      </w:tblPr>
      <w:tblGrid>
        <w:gridCol w:w="961"/>
        <w:gridCol w:w="97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972"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"https://support.oracle.com/epmos/faces/DocumentDisplay?_afrLoop=523097714141356&amp;id=1628809.1&amp;_adf.ctrl-state=3y6e78fjt_121" \l "REF_PURPOSE" </w:instrText>
            </w:r>
            <w:r>
              <w:rPr>
                <w:rFonts w:hint="default" w:ascii="Calibri" w:hAnsi="Calibri" w:cs="Calibri"/>
                <w:sz w:val="22"/>
                <w:szCs w:val="22"/>
              </w:rPr>
              <w:fldChar w:fldCharType="separate"/>
            </w:r>
            <w:r>
              <w:rPr>
                <w:rStyle w:val="6"/>
                <w:rFonts w:hint="default" w:ascii="Calibri" w:hAnsi="Calibri" w:cs="Calibri"/>
                <w:sz w:val="22"/>
                <w:szCs w:val="22"/>
                <w:shd w:val="clear" w:fill="FFFFFF"/>
              </w:rPr>
              <w:t>Purpose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85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850"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"https://support.oracle.com/epmos/faces/DocumentDisplay?_afrLoop=523097714141356&amp;id=1628809.1&amp;_adf.ctrl-state=3y6e78fjt_121" \l "REF_TEXT" </w:instrText>
            </w:r>
            <w:r>
              <w:rPr>
                <w:rFonts w:hint="default" w:ascii="Calibri" w:hAnsi="Calibri" w:cs="Calibri"/>
                <w:sz w:val="22"/>
                <w:szCs w:val="22"/>
              </w:rPr>
              <w:fldChar w:fldCharType="separate"/>
            </w:r>
            <w:r>
              <w:rPr>
                <w:rStyle w:val="6"/>
                <w:rFonts w:hint="default" w:ascii="Calibri" w:hAnsi="Calibri" w:cs="Calibri"/>
                <w:sz w:val="22"/>
                <w:szCs w:val="22"/>
                <w:shd w:val="clear" w:fill="FFFFFF"/>
              </w:rPr>
              <w:t>Details</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2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235"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"https://support.oracle.com/epmos/faces/DocumentDisplay?_afrLoop=523097714141356&amp;id=1628809.1&amp;_adf.ctrl-state=3y6e78fjt_121" \l "REF" </w:instrText>
            </w:r>
            <w:r>
              <w:rPr>
                <w:rFonts w:hint="default" w:ascii="Calibri" w:hAnsi="Calibri" w:cs="Calibri"/>
                <w:sz w:val="22"/>
                <w:szCs w:val="22"/>
              </w:rPr>
              <w:fldChar w:fldCharType="separate"/>
            </w:r>
            <w:r>
              <w:rPr>
                <w:rStyle w:val="6"/>
                <w:rFonts w:hint="default" w:ascii="Calibri" w:hAnsi="Calibri" w:cs="Calibri"/>
                <w:sz w:val="22"/>
                <w:szCs w:val="22"/>
                <w:shd w:val="clear" w:fill="FFFFFF"/>
              </w:rPr>
              <w:t>References</w:t>
            </w:r>
            <w:r>
              <w:rPr>
                <w:rFonts w:hint="default" w:ascii="Calibri" w:hAnsi="Calibri" w:cs="Calibri"/>
                <w:sz w:val="22"/>
                <w:szCs w:val="22"/>
              </w:rPr>
              <w:fldChar w:fldCharType="end"/>
            </w:r>
          </w:p>
        </w:tc>
      </w:tr>
    </w:tbl>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shd w:val="clear" w:fill="FFFFFF"/>
          <w:lang w:eastAsia="zh-CN"/>
        </w:rPr>
        <w:t>Applies to:</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shd w:val="clear" w:fill="FFFFFF"/>
          <w:lang w:eastAsia="zh-CN"/>
        </w:rPr>
        <w:t>Oracle Database - Enterprise Edition - Version 12.1.0.1 to 12.1.0.1 [Release 12.1]</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shd w:val="clear" w:fill="FFFFFF"/>
          <w:lang w:eastAsia="zh-CN"/>
        </w:rPr>
        <w:t>Information in this document applies to any platform.</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shd w:val="clear" w:fill="FFFFFF"/>
          <w:lang w:eastAsia="zh-CN"/>
        </w:rPr>
        <w:t>*** Checked for relevance on 05-Apr-2016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shd w:val="clear" w:fill="FFFFFF"/>
          <w:lang w:eastAsia="zh-CN"/>
        </w:rPr>
        <w:t>Purpose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shd w:val="clear" w:fill="FFFFFF"/>
          <w:lang w:eastAsia="zh-CN"/>
        </w:rPr>
        <w:t>To show the option differences between the different editions of Oracle 12.1 server,</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"http://docs.oracle.com/cd/B28359_01/license.111/b28287/editions.htm" \l "CIHBAEID" </w:instrText>
      </w:r>
      <w:r>
        <w:rPr>
          <w:rFonts w:hint="default" w:ascii="Calibri" w:hAnsi="Calibri" w:cs="Calibri"/>
          <w:sz w:val="22"/>
          <w:szCs w:val="22"/>
          <w:lang w:eastAsia="zh-CN"/>
        </w:rPr>
        <w:fldChar w:fldCharType="separate"/>
      </w:r>
      <w:r>
        <w:rPr>
          <w:rStyle w:val="6"/>
          <w:rFonts w:hint="default" w:ascii="Calibri" w:hAnsi="Calibri" w:cs="Calibri"/>
          <w:sz w:val="22"/>
          <w:szCs w:val="22"/>
          <w:shd w:val="clear" w:fill="FFFFFF"/>
          <w:lang w:eastAsia="zh-CN"/>
        </w:rPr>
        <w:t>Table</w:t>
      </w:r>
      <w:r>
        <w:rPr>
          <w:rFonts w:hint="default" w:ascii="Calibri" w:hAnsi="Calibri" w:cs="Calibri"/>
          <w:sz w:val="22"/>
          <w:szCs w:val="22"/>
          <w:lang w:eastAsia="zh-CN"/>
        </w:rPr>
        <w:fldChar w:fldCharType="end"/>
      </w:r>
      <w:r>
        <w:rPr>
          <w:rFonts w:hint="default" w:ascii="Calibri" w:hAnsi="Calibri" w:cs="Calibri"/>
          <w:sz w:val="22"/>
          <w:szCs w:val="22"/>
          <w:shd w:val="clear" w:fill="FFFFFF"/>
          <w:lang w:eastAsia="zh-CN"/>
        </w:rPr>
        <w:t> lists feature availability for Oracle Database Standard Edition One (SE1), Standard Edition (SE), and Enterprise Edition (EE).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shd w:val="clear" w:fill="FFFFFF"/>
          <w:lang w:eastAsia="zh-CN"/>
        </w:rPr>
        <w:t>SOURCE: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shd w:val="clear" w:fill="FFFFFF"/>
          <w:lang w:eastAsia="zh-CN"/>
        </w:rPr>
        <w:t>Oracle® Database Licensing Information 12c Release 1 (12.1) Part Number E17614-09</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shd w:val="clear" w:fill="FFFFFF"/>
          <w:lang w:eastAsia="zh-CN"/>
        </w:rPr>
        <w:t>      Chapter 1 Oracle Database Editions</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shd w:val="clear" w:fill="FFFFFF"/>
          <w:lang w:eastAsia="zh-CN"/>
        </w:rPr>
        <w:t>Details</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2671"/>
        <w:gridCol w:w="747"/>
        <w:gridCol w:w="697"/>
        <w:gridCol w:w="700"/>
        <w:gridCol w:w="3651"/>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Feature/Option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SE1</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EE</w:t>
            </w:r>
          </w:p>
        </w:tc>
        <w:tc>
          <w:tcPr>
            <w:tcW w:w="736"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Notes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Consolidation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Multitenant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 for up to 252 pluggable databases. The multitenant architecture with one pluggable database (single tenant) is available in all editions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Snapshots and Cloning</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Storage Snapshot Optimization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advanced compression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High Availability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Application Continuity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Active Data Guard option or the Real Application Clusters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Fail Safe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Windows only</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RAC One Node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Data Guard—Redo Apply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Data Guard— Far Sync Standby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Active Data Guard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Data Guard—SQL Apply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8"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Data Guard—Snapshot Standby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Data Guard—Real-Time Cascading Standby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Active Data Guard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Active Data Guard</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Rolling Upgrades—Patch Set, Database, and Operating System</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Rolling Upgrade using Active Data Guard</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Active Data Guard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Online index rebuild</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4"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Online index-organized table organization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ALTERTABLE...MOVEONLINEoperations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Online table redefinition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Using theDBMS_REDEFINITIONpackage</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74"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Duplexed backup sets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Block change tracking for fast incremental backup</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Unused block compression in backups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Block-level media recovery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Lost Write Protection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Automatic Block Repair</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Active Data Guard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Parallel backup and recovery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Tablespace point-in-time recovery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Trial recovery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Fast-start fault recovery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Flashback Table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Flashback Database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Flashback Transaction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Flashback Transaction Query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Optimization for Flashback Data Archive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Basic Flashback Data Archive is in all editions. Optimization for Flashback Data Archive requires EE and the Advanced Compression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Online Datafile Move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Transaction Guard</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78"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Cross-platform Backup and Recovery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Global Data Services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Active Data Guard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Recovering tables and table partitions from RMAN backups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Scalability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Real Application Clusters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with EE, included with SE</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Automatic Workload Management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Oracle Real Application Clusters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7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Quality of Service Management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Oracle Real Application Clusters</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Performance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Client Side Query Cache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Query Results Cache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PL/SQL Function Result Cache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In-Memory Database Cache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Database Smart Flash Cache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Solaris and Oracle Enterprise Linux only</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Support for Oracle Exadata Storage Server Software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Adaptive Execution Plans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Concurrent Execution of UNION and UNION ALL Branches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Security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Advanced Security Option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Label Security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Database Vault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Virtual Private Database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Fine-grained auditing</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Enterprise User Security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Enterprise User Security is an EE feature for directory-based management of database users. It does require a corresponding Oracle Identity Management Directory Services Plus to be licensed. Usage of Enterprise User Security with Oracle Datbase strong authentication (PKI Kerberos) no longer requires Oracle Advanced Security to be licensed.</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Real Application Security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Redaction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Oracle Advanced Security</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Privilege Analysis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Data vault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Transparent Sensitive Data Protection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6"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Development Platform</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SQLJ</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Oracle Programmer</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Developer Tools for Visual Studio .NET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Windows only</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Microsoft Distributed Transaction Coordinator support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Windows only</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Active Directory integration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Windows only</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Native .NET Data Provider—ODP.NET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Windows only</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.NET Stored Procedures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Windows only</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Manageability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Cloud Management Pack for Oracle Database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Data Masking Pack for Oracle and Non-Oracle databases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Database Lifecycle Management Pack for Oracle database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Diagnostic Pack</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Test Data Management Pck for Oracle and Non-Oracle Databases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Tuning Pack</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 also requires the Diagnostic Pack</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Real Application Testing</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Database Resource Manager</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74"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Instance Caging</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SQL Plan Management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VLDB, Data Warehousing, Business Intelligence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Partitioning</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OLAP</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Advanced Analytics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Advanced Compression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Hybrid Columnar Compression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Exadata, ZFS, or Pillar Axiom 600 storage</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Heat Map</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Advanced Compression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Automatic Data optimization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Advanced Compression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Basic Table Compression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Deferred Segment Creation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Bitmapped index, bitmapped join index, and bitmap plan conversions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Parallel query/DML</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Parallel statistics gathering</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Parallel index build/scans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Parallel Data Pump Export/Import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In-memory Parallel Execution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Parallel Statement Queuing</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Parallel capture and apply via XStream</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Transportable tablespaces, including cross-platform</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Import of transportable tablespaces supported into SE, SE1, and EE</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Summary management—Materialized View Query Rewrite</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4"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Integration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Basic Replication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SE1/SE: read-only, updateable materialized view</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Advanced Replication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Multi-master replication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7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Streams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SE1/SE: no capture from redo</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Database Gateways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Separate product license</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Messaging Gateway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Sharded Queues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Oracle Partitioning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Networking</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Connection Manager</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Available via a custom install of the Oracle Database client, usually installed on a separate machine</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Infiniband Support</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Network Compression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Advanced compression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Network Encryption (SSL/TLS)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shd w:val="clear" w:fill="FFFFFF"/>
              </w:rPr>
              <w:t>Spatial and Graph Data</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Oracle Spatial and Graph</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9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Extra cost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Graph and Semantic Technologies (RDF/OWL)</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the Oracle Spatial and Graph option and the Oracle Partitioning option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Parallel spatisl index builds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72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Multimaster replication of SDO_GEOMETRY objects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Single master/materialized view replication for SDO_GEOMETRY objects is supported with both Standard edition and Enterprise edition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Parallel spatial indexes</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Y</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shd w:val="clear" w:fill="FFFFFF"/>
              </w:rPr>
              <w:t>Requires Oracle Partitioning option</w:t>
            </w:r>
          </w:p>
        </w:tc>
      </w:tr>
    </w:tbl>
    <w:p>
      <w:pPr>
        <w:pStyle w:val="2"/>
        <w:keepNext w:val="0"/>
        <w:keepLines w:val="0"/>
        <w:widowControl/>
        <w:suppressLineNumbers w:val="0"/>
        <w:spacing w:before="0" w:beforeAutospacing="0" w:after="0" w:afterAutospacing="0"/>
        <w:ind w:left="0" w:right="0"/>
        <w:rPr>
          <w:rFonts w:hint="default" w:ascii="Calibri" w:hAnsi="Calibri" w:cs="Calibri"/>
          <w:color w:val="2E75B5"/>
          <w:sz w:val="28"/>
          <w:szCs w:val="28"/>
        </w:rPr>
      </w:pPr>
      <w:r>
        <w:rPr>
          <w:rFonts w:hint="default" w:ascii="Calibri" w:hAnsi="Calibri" w:cs="Calibri"/>
          <w:color w:val="2E75B5"/>
          <w:sz w:val="28"/>
          <w:szCs w:val="28"/>
          <w:shd w:val="clear" w:fill="FFFFFF"/>
          <w:lang w:eastAsia="zh-CN"/>
        </w:rPr>
        <w:t>References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AE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2021-03-03T08:57:33Z</dcterms:created>
  <dc:creator>xians</dc:creator>
  <cp:lastModifiedBy>Chris</cp:lastModifiedBy>
  <dcterms:modified xsi:type="dcterms:W3CDTF">2021-03-03T08:58:16Z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