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F971" w14:textId="77777777" w:rsidR="00CC5B85" w:rsidRDefault="00CC5B85" w:rsidP="00CC5B85">
      <w:pPr>
        <w:pStyle w:val="a3"/>
        <w:spacing w:beforeAutospacing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How to Partition a Non-partitioned / Regular / Normal Table (Doc ID 1070693.6)</w:t>
      </w:r>
    </w:p>
    <w:p w14:paraId="3D994F93" w14:textId="77777777" w:rsidR="00CC5B85" w:rsidRDefault="00CC5B85" w:rsidP="00CC5B85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 </w:t>
      </w:r>
    </w:p>
    <w:p w14:paraId="3D8E86FB" w14:textId="77777777" w:rsidR="00CC5B85" w:rsidRDefault="00CC5B85" w:rsidP="00CC5B85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hyperlink r:id="rId4" w:history="1">
        <w:r>
          <w:rPr>
            <w:rStyle w:val="a4"/>
            <w:rFonts w:cs="Calibri" w:hint="eastAsia"/>
            <w:b/>
            <w:bCs/>
            <w:color w:val="000000"/>
            <w:sz w:val="22"/>
            <w:szCs w:val="22"/>
          </w:rPr>
          <w:t>http://blog.csdn.net/leshjmail/article/details/6524519</w:t>
        </w:r>
      </w:hyperlink>
    </w:p>
    <w:p w14:paraId="1FDD1717" w14:textId="77777777" w:rsidR="00CC5B85" w:rsidRDefault="00CC5B85" w:rsidP="00CC5B85">
      <w:pPr>
        <w:pStyle w:val="a3"/>
        <w:spacing w:beforeAutospacing="0" w:afterAutospacing="0"/>
        <w:rPr>
          <w:rFonts w:cs="Calibri"/>
        </w:rPr>
      </w:pPr>
      <w:r>
        <w:rPr>
          <w:rFonts w:cs="Calibri" w:hint="eastAsia"/>
        </w:rPr>
        <w:t> </w:t>
      </w:r>
    </w:p>
    <w:p w14:paraId="7FCB80E7" w14:textId="77777777" w:rsidR="00CC5B85" w:rsidRDefault="00CC5B85" w:rsidP="00CC5B85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 </w:t>
      </w:r>
    </w:p>
    <w:p w14:paraId="3D1D1CEC" w14:textId="77777777" w:rsidR="00CC5B85" w:rsidRDefault="00CC5B85" w:rsidP="00CC5B85">
      <w:pPr>
        <w:pStyle w:val="a3"/>
        <w:spacing w:beforeAutospacing="0" w:afterAutospacing="0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&amp;quot" w:hAnsi="&amp;quot" w:cs="Calibri"/>
          <w:b/>
          <w:bCs/>
          <w:color w:val="000000"/>
          <w:sz w:val="22"/>
          <w:szCs w:val="22"/>
        </w:rPr>
        <w:t>When to Partition a Table</w:t>
      </w:r>
      <w:r>
        <w:rPr>
          <w:rFonts w:cs="Calibri" w:hint="eastAsia"/>
          <w:b/>
          <w:bCs/>
          <w:color w:val="000000"/>
          <w:sz w:val="22"/>
          <w:szCs w:val="22"/>
        </w:rPr>
        <w:t>什么时候需要分区表，</w:t>
      </w:r>
      <w:proofErr w:type="gramStart"/>
      <w:r>
        <w:rPr>
          <w:rFonts w:cs="Calibri" w:hint="eastAsia"/>
          <w:b/>
          <w:bCs/>
          <w:color w:val="000000"/>
          <w:sz w:val="22"/>
          <w:szCs w:val="22"/>
        </w:rPr>
        <w:t>官网的</w:t>
      </w:r>
      <w:proofErr w:type="gramEnd"/>
      <w:r>
        <w:rPr>
          <w:rFonts w:ascii="&amp;quot" w:hAnsi="&amp;quot" w:cs="Calibri"/>
          <w:b/>
          <w:bCs/>
          <w:color w:val="000000"/>
          <w:sz w:val="22"/>
          <w:szCs w:val="22"/>
        </w:rPr>
        <w:t>2</w:t>
      </w:r>
      <w:r>
        <w:rPr>
          <w:rFonts w:cs="Calibri" w:hint="eastAsia"/>
          <w:b/>
          <w:bCs/>
          <w:color w:val="000000"/>
          <w:sz w:val="22"/>
          <w:szCs w:val="22"/>
        </w:rPr>
        <w:t>个建议如下：</w:t>
      </w:r>
    </w:p>
    <w:p w14:paraId="20EB5F14" w14:textId="77777777" w:rsidR="00CC5B85" w:rsidRDefault="00CC5B85" w:rsidP="00CC5B85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ascii="&amp;quot" w:hAnsi="&amp;quot" w:cs="Calibri"/>
          <w:b/>
          <w:bCs/>
          <w:color w:val="000000"/>
          <w:sz w:val="22"/>
          <w:szCs w:val="22"/>
        </w:rPr>
        <w:t>1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ascii="&amp;quot" w:hAnsi="&amp;quot" w:cs="Calibri"/>
          <w:b/>
          <w:bCs/>
          <w:color w:val="000000"/>
          <w:sz w:val="22"/>
          <w:szCs w:val="22"/>
        </w:rPr>
        <w:t>Tables greater than 2GB should always be considered for partitioning.</w:t>
      </w:r>
    </w:p>
    <w:p w14:paraId="00AB57D7" w14:textId="77777777" w:rsidR="00CC5B85" w:rsidRDefault="00CC5B85" w:rsidP="00CC5B85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ascii="&amp;quot" w:hAnsi="&amp;quot" w:cs="Calibri"/>
          <w:b/>
          <w:bCs/>
          <w:color w:val="000000"/>
          <w:sz w:val="22"/>
          <w:szCs w:val="22"/>
        </w:rPr>
        <w:t>2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ascii="&amp;quot" w:hAnsi="&amp;quot" w:cs="Calibri"/>
          <w:b/>
          <w:bCs/>
          <w:color w:val="000000"/>
          <w:sz w:val="22"/>
          <w:szCs w:val="22"/>
        </w:rPr>
        <w:t>Tables containing historical data, in which new data is added into the newest partition. A typical example is a historical table where only the current month's data is updatable and the other 11 months are read only.</w:t>
      </w:r>
    </w:p>
    <w:p w14:paraId="485570DA" w14:textId="77777777" w:rsidR="00CC5B85" w:rsidRDefault="00CC5B85" w:rsidP="00CC5B8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sz w:val="20"/>
          <w:szCs w:val="20"/>
        </w:rPr>
        <w:t>都需要先建立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&amp;quot" w:hAnsi="&amp;quot" w:cs="Calibri"/>
          <w:b/>
          <w:bCs/>
          <w:sz w:val="20"/>
          <w:szCs w:val="20"/>
        </w:rPr>
        <w:t>partition table</w:t>
      </w:r>
      <w:r>
        <w:rPr>
          <w:rFonts w:cs="Calibri" w:hint="eastAsia"/>
          <w:b/>
          <w:bCs/>
          <w:sz w:val="20"/>
          <w:szCs w:val="20"/>
        </w:rPr>
        <w:t>，然后将数据迁移过来，迁移的过程不同</w:t>
      </w:r>
    </w:p>
    <w:p w14:paraId="10D7394F" w14:textId="77777777" w:rsidR="00CC5B85" w:rsidRDefault="00CC5B85" w:rsidP="00CC5B85">
      <w:pPr>
        <w:pStyle w:val="a3"/>
        <w:spacing w:beforeAutospacing="0" w:afterAutospacing="0"/>
        <w:rPr>
          <w:rFonts w:ascii="&amp;quot" w:hAnsi="&amp;quot" w:cs="Calibri"/>
          <w:sz w:val="20"/>
          <w:szCs w:val="20"/>
        </w:rPr>
      </w:pPr>
      <w:r>
        <w:rPr>
          <w:rFonts w:ascii="&amp;quot" w:hAnsi="&amp;quot" w:cs="Calibri"/>
          <w:b/>
          <w:bCs/>
          <w:sz w:val="20"/>
          <w:szCs w:val="20"/>
        </w:rPr>
        <w:t xml:space="preserve">A. Export/import </w:t>
      </w:r>
      <w:proofErr w:type="spellStart"/>
      <w:r>
        <w:rPr>
          <w:rFonts w:ascii="&amp;quot" w:hAnsi="&amp;quot" w:cs="Calibri"/>
          <w:b/>
          <w:bCs/>
          <w:sz w:val="20"/>
          <w:szCs w:val="20"/>
        </w:rPr>
        <w:t>metho</w:t>
      </w:r>
      <w:proofErr w:type="spellEnd"/>
    </w:p>
    <w:p w14:paraId="2BBE5009" w14:textId="77777777" w:rsidR="00CC5B85" w:rsidRDefault="00CC5B85" w:rsidP="00CC5B85">
      <w:pPr>
        <w:pStyle w:val="a3"/>
        <w:spacing w:beforeAutospacing="0" w:afterAutospacing="0"/>
        <w:rPr>
          <w:rFonts w:ascii="&amp;quot" w:hAnsi="&amp;quot" w:cs="Calibri"/>
          <w:sz w:val="20"/>
          <w:szCs w:val="20"/>
        </w:rPr>
      </w:pPr>
      <w:r>
        <w:rPr>
          <w:rFonts w:ascii="&amp;quot" w:hAnsi="&amp;quot" w:cs="Calibri"/>
          <w:b/>
          <w:bCs/>
          <w:sz w:val="20"/>
          <w:szCs w:val="20"/>
        </w:rPr>
        <w:t>B. Insert with a subquery method</w:t>
      </w:r>
    </w:p>
    <w:p w14:paraId="3F1135EC" w14:textId="77777777" w:rsidR="00CC5B85" w:rsidRDefault="00CC5B85" w:rsidP="00CC5B85">
      <w:pPr>
        <w:pStyle w:val="a3"/>
        <w:spacing w:beforeAutospacing="0" w:afterAutospacing="0"/>
        <w:rPr>
          <w:rFonts w:cs="Calibri"/>
        </w:rPr>
      </w:pPr>
      <w:r>
        <w:rPr>
          <w:rFonts w:cs="Calibri" w:hint="eastAsia"/>
        </w:rPr>
        <w:t xml:space="preserve">SQL&gt; insert into </w:t>
      </w:r>
      <w:proofErr w:type="spellStart"/>
      <w:r>
        <w:rPr>
          <w:rFonts w:cs="Calibri" w:hint="eastAsia"/>
        </w:rPr>
        <w:t>partbl</w:t>
      </w:r>
      <w:proofErr w:type="spellEnd"/>
      <w:r>
        <w:rPr>
          <w:rFonts w:cs="Calibri" w:hint="eastAsia"/>
        </w:rPr>
        <w:t xml:space="preserve"> (qty, name) select * from </w:t>
      </w:r>
      <w:proofErr w:type="spellStart"/>
      <w:r>
        <w:rPr>
          <w:rFonts w:cs="Calibri" w:hint="eastAsia"/>
        </w:rPr>
        <w:t>origtbl</w:t>
      </w:r>
      <w:proofErr w:type="spellEnd"/>
      <w:r>
        <w:rPr>
          <w:rFonts w:cs="Calibri" w:hint="eastAsia"/>
        </w:rPr>
        <w:t>;</w:t>
      </w:r>
    </w:p>
    <w:p w14:paraId="124E719C" w14:textId="77777777" w:rsidR="00CC5B85" w:rsidRDefault="00CC5B85" w:rsidP="00CC5B85">
      <w:pPr>
        <w:pStyle w:val="a3"/>
        <w:spacing w:beforeAutospacing="0" w:afterAutospacing="0"/>
        <w:rPr>
          <w:rFonts w:ascii="&amp;quot" w:hAnsi="&amp;quot" w:cs="Calibri" w:hint="eastAsia"/>
          <w:sz w:val="20"/>
          <w:szCs w:val="20"/>
        </w:rPr>
      </w:pPr>
      <w:r>
        <w:rPr>
          <w:rFonts w:ascii="&amp;quot" w:hAnsi="&amp;quot" w:cs="Calibri"/>
          <w:b/>
          <w:bCs/>
          <w:sz w:val="20"/>
          <w:szCs w:val="20"/>
        </w:rPr>
        <w:t>C. Partition Exchange method</w:t>
      </w:r>
    </w:p>
    <w:p w14:paraId="66691D19" w14:textId="77777777" w:rsidR="00CC5B85" w:rsidRDefault="00CC5B85" w:rsidP="00CC5B85">
      <w:pPr>
        <w:pStyle w:val="a3"/>
        <w:spacing w:beforeAutospacing="0" w:afterAutospacing="0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这种方法只是对数据字典中分区和表的定义进行了修改，没有数据的修改或复制，效率最高。适用于包含大数据量的表转到分区表中的一个分区的操作。尽量在闲时进行操作。</w:t>
      </w:r>
    </w:p>
    <w:p w14:paraId="698E4775" w14:textId="77777777" w:rsidR="00CC5B85" w:rsidRDefault="00CC5B85" w:rsidP="00CC5B85">
      <w:pPr>
        <w:pStyle w:val="a3"/>
        <w:spacing w:beforeAutospacing="0" w:afterAutospacing="0"/>
        <w:rPr>
          <w:rFonts w:cs="Calibri" w:hint="eastAsia"/>
          <w:color w:val="FF0000"/>
          <w:sz w:val="20"/>
          <w:szCs w:val="20"/>
        </w:rPr>
      </w:pPr>
      <w:r>
        <w:rPr>
          <w:rFonts w:cs="Calibri" w:hint="eastAsia"/>
          <w:color w:val="FF0000"/>
          <w:sz w:val="20"/>
          <w:szCs w:val="20"/>
        </w:rPr>
        <w:t>交换分区的操作步骤如下：</w:t>
      </w:r>
    </w:p>
    <w:p w14:paraId="12584B9E" w14:textId="77777777" w:rsidR="00CC5B85" w:rsidRDefault="00CC5B85" w:rsidP="00CC5B85">
      <w:pPr>
        <w:pStyle w:val="a3"/>
        <w:spacing w:beforeAutospacing="0" w:afterAutospacing="0"/>
        <w:rPr>
          <w:rFonts w:ascii="Calibri" w:hAnsi="Calibri" w:cs="Calibri" w:hint="eastAsia"/>
          <w:color w:val="000000"/>
          <w:sz w:val="20"/>
          <w:szCs w:val="20"/>
        </w:rPr>
      </w:pPr>
      <w:r>
        <w:rPr>
          <w:rFonts w:ascii="&amp;quot" w:hAnsi="&amp;quot" w:cs="Calibri"/>
          <w:color w:val="000000"/>
          <w:sz w:val="20"/>
          <w:szCs w:val="20"/>
        </w:rPr>
        <w:t>     1. </w:t>
      </w:r>
      <w:r>
        <w:rPr>
          <w:rFonts w:cs="Calibri" w:hint="eastAsia"/>
          <w:color w:val="000000"/>
          <w:sz w:val="20"/>
          <w:szCs w:val="20"/>
        </w:rPr>
        <w:t>创建分区表，假设有</w:t>
      </w:r>
      <w:r>
        <w:rPr>
          <w:rFonts w:ascii="&amp;quot" w:hAnsi="&amp;quot" w:cs="Calibri"/>
          <w:color w:val="000000"/>
          <w:sz w:val="20"/>
          <w:szCs w:val="20"/>
        </w:rPr>
        <w:t>2</w:t>
      </w:r>
      <w:r>
        <w:rPr>
          <w:rFonts w:cs="Calibri" w:hint="eastAsia"/>
          <w:color w:val="000000"/>
          <w:sz w:val="20"/>
          <w:szCs w:val="20"/>
        </w:rPr>
        <w:t>个分区，</w:t>
      </w:r>
      <w:r>
        <w:rPr>
          <w:rFonts w:ascii="&amp;quot" w:hAnsi="&amp;quot" w:cs="Calibri"/>
          <w:color w:val="000000"/>
          <w:sz w:val="20"/>
          <w:szCs w:val="20"/>
        </w:rPr>
        <w:t>P1</w:t>
      </w:r>
      <w:r>
        <w:rPr>
          <w:rFonts w:cs="Calibri" w:hint="eastAsia"/>
          <w:color w:val="000000"/>
          <w:sz w:val="20"/>
          <w:szCs w:val="20"/>
        </w:rPr>
        <w:t>，</w:t>
      </w:r>
      <w:r>
        <w:rPr>
          <w:rFonts w:ascii="&amp;quot" w:hAnsi="&amp;quot" w:cs="Calibri"/>
          <w:color w:val="000000"/>
          <w:sz w:val="20"/>
          <w:szCs w:val="20"/>
        </w:rPr>
        <w:t>P2.</w:t>
      </w:r>
    </w:p>
    <w:p w14:paraId="6059A664" w14:textId="77777777" w:rsidR="00CC5B85" w:rsidRDefault="00CC5B85" w:rsidP="00CC5B85">
      <w:pPr>
        <w:pStyle w:val="a3"/>
        <w:spacing w:beforeAutospacing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&amp;quot" w:hAnsi="&amp;quot" w:cs="Calibri"/>
          <w:color w:val="000000"/>
          <w:sz w:val="20"/>
          <w:szCs w:val="20"/>
        </w:rPr>
        <w:t>     2. </w:t>
      </w:r>
      <w:r>
        <w:rPr>
          <w:rFonts w:cs="Calibri" w:hint="eastAsia"/>
          <w:color w:val="000000"/>
          <w:sz w:val="20"/>
          <w:szCs w:val="20"/>
        </w:rPr>
        <w:t>创建表</w:t>
      </w:r>
      <w:r>
        <w:rPr>
          <w:rFonts w:ascii="&amp;quot" w:hAnsi="&amp;quot" w:cs="Calibri"/>
          <w:color w:val="000000"/>
          <w:sz w:val="20"/>
          <w:szCs w:val="20"/>
        </w:rPr>
        <w:t>A</w:t>
      </w:r>
      <w:r>
        <w:rPr>
          <w:rFonts w:cs="Calibri" w:hint="eastAsia"/>
          <w:color w:val="000000"/>
          <w:sz w:val="20"/>
          <w:szCs w:val="20"/>
        </w:rPr>
        <w:t>存放</w:t>
      </w:r>
      <w:r>
        <w:rPr>
          <w:rFonts w:ascii="&amp;quot" w:hAnsi="&amp;quot" w:cs="Calibri"/>
          <w:color w:val="000000"/>
          <w:sz w:val="20"/>
          <w:szCs w:val="20"/>
        </w:rPr>
        <w:t>P1</w:t>
      </w:r>
      <w:r>
        <w:rPr>
          <w:rFonts w:cs="Calibri" w:hint="eastAsia"/>
          <w:color w:val="000000"/>
          <w:sz w:val="20"/>
          <w:szCs w:val="20"/>
        </w:rPr>
        <w:t>规则的数据。</w:t>
      </w:r>
    </w:p>
    <w:p w14:paraId="6A513ACB" w14:textId="77777777" w:rsidR="00CC5B85" w:rsidRDefault="00CC5B85" w:rsidP="00CC5B85">
      <w:pPr>
        <w:pStyle w:val="a3"/>
        <w:spacing w:beforeAutospacing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&amp;quot" w:hAnsi="&amp;quot" w:cs="Calibri"/>
          <w:color w:val="000000"/>
          <w:sz w:val="20"/>
          <w:szCs w:val="20"/>
        </w:rPr>
        <w:t>     3. </w:t>
      </w:r>
      <w:r>
        <w:rPr>
          <w:rFonts w:cs="Calibri" w:hint="eastAsia"/>
          <w:color w:val="000000"/>
          <w:sz w:val="20"/>
          <w:szCs w:val="20"/>
        </w:rPr>
        <w:t>创建表</w:t>
      </w:r>
      <w:r>
        <w:rPr>
          <w:rFonts w:ascii="&amp;quot" w:hAnsi="&amp;quot" w:cs="Calibri"/>
          <w:color w:val="000000"/>
          <w:sz w:val="20"/>
          <w:szCs w:val="20"/>
        </w:rPr>
        <w:t>B </w:t>
      </w:r>
      <w:r>
        <w:rPr>
          <w:rFonts w:cs="Calibri" w:hint="eastAsia"/>
          <w:color w:val="000000"/>
          <w:sz w:val="20"/>
          <w:szCs w:val="20"/>
        </w:rPr>
        <w:t>存放</w:t>
      </w:r>
      <w:r>
        <w:rPr>
          <w:rFonts w:ascii="&amp;quot" w:hAnsi="&amp;quot" w:cs="Calibri"/>
          <w:color w:val="000000"/>
          <w:sz w:val="20"/>
          <w:szCs w:val="20"/>
        </w:rPr>
        <w:t>P2</w:t>
      </w:r>
      <w:r>
        <w:rPr>
          <w:rFonts w:cs="Calibri" w:hint="eastAsia"/>
          <w:color w:val="000000"/>
          <w:sz w:val="20"/>
          <w:szCs w:val="20"/>
        </w:rPr>
        <w:t>规则的数据。</w:t>
      </w:r>
    </w:p>
    <w:p w14:paraId="4949703C" w14:textId="77777777" w:rsidR="00CC5B85" w:rsidRDefault="00CC5B85" w:rsidP="00CC5B85">
      <w:pPr>
        <w:pStyle w:val="a3"/>
        <w:spacing w:beforeAutospacing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&amp;quot" w:hAnsi="&amp;quot" w:cs="Calibri"/>
          <w:color w:val="000000"/>
          <w:sz w:val="20"/>
          <w:szCs w:val="20"/>
        </w:rPr>
        <w:t>     4. </w:t>
      </w:r>
      <w:r>
        <w:rPr>
          <w:rFonts w:cs="Calibri" w:hint="eastAsia"/>
          <w:color w:val="000000"/>
          <w:sz w:val="20"/>
          <w:szCs w:val="20"/>
        </w:rPr>
        <w:t>用表</w:t>
      </w:r>
      <w:r>
        <w:rPr>
          <w:rFonts w:ascii="&amp;quot" w:hAnsi="&amp;quot" w:cs="Calibri"/>
          <w:color w:val="000000"/>
          <w:sz w:val="20"/>
          <w:szCs w:val="20"/>
        </w:rPr>
        <w:t>A </w:t>
      </w:r>
      <w:r>
        <w:rPr>
          <w:rFonts w:cs="Calibri" w:hint="eastAsia"/>
          <w:color w:val="000000"/>
          <w:sz w:val="20"/>
          <w:szCs w:val="20"/>
        </w:rPr>
        <w:t>和</w:t>
      </w:r>
      <w:r>
        <w:rPr>
          <w:rFonts w:ascii="&amp;quot" w:hAnsi="&amp;quot" w:cs="Calibri"/>
          <w:color w:val="000000"/>
          <w:sz w:val="20"/>
          <w:szCs w:val="20"/>
        </w:rPr>
        <w:t>P1 </w:t>
      </w:r>
      <w:r>
        <w:rPr>
          <w:rFonts w:cs="Calibri" w:hint="eastAsia"/>
          <w:color w:val="000000"/>
          <w:sz w:val="20"/>
          <w:szCs w:val="20"/>
        </w:rPr>
        <w:t>分区交换。</w:t>
      </w:r>
      <w:r>
        <w:rPr>
          <w:rFonts w:ascii="&amp;quot" w:hAnsi="&amp;quot" w:cs="Calibri"/>
          <w:color w:val="000000"/>
          <w:sz w:val="20"/>
          <w:szCs w:val="20"/>
        </w:rPr>
        <w:t> </w:t>
      </w:r>
      <w:r>
        <w:rPr>
          <w:rFonts w:cs="Calibri" w:hint="eastAsia"/>
          <w:color w:val="000000"/>
          <w:sz w:val="20"/>
          <w:szCs w:val="20"/>
        </w:rPr>
        <w:t>把表</w:t>
      </w:r>
      <w:r>
        <w:rPr>
          <w:rFonts w:ascii="&amp;quot" w:hAnsi="&amp;quot" w:cs="Calibri"/>
          <w:color w:val="000000"/>
          <w:sz w:val="20"/>
          <w:szCs w:val="20"/>
        </w:rPr>
        <w:t>A</w:t>
      </w:r>
      <w:r>
        <w:rPr>
          <w:rFonts w:cs="Calibri" w:hint="eastAsia"/>
          <w:color w:val="000000"/>
          <w:sz w:val="20"/>
          <w:szCs w:val="20"/>
        </w:rPr>
        <w:t>的数据放到</w:t>
      </w:r>
      <w:proofErr w:type="gramStart"/>
      <w:r>
        <w:rPr>
          <w:rFonts w:cs="Calibri" w:hint="eastAsia"/>
          <w:color w:val="000000"/>
          <w:sz w:val="20"/>
          <w:szCs w:val="20"/>
        </w:rPr>
        <w:t>到</w:t>
      </w:r>
      <w:proofErr w:type="gramEnd"/>
      <w:r>
        <w:rPr>
          <w:rFonts w:ascii="&amp;quot" w:hAnsi="&amp;quot" w:cs="Calibri"/>
          <w:color w:val="000000"/>
          <w:sz w:val="20"/>
          <w:szCs w:val="20"/>
        </w:rPr>
        <w:t>P1</w:t>
      </w:r>
      <w:r>
        <w:rPr>
          <w:rFonts w:cs="Calibri" w:hint="eastAsia"/>
          <w:color w:val="000000"/>
          <w:sz w:val="20"/>
          <w:szCs w:val="20"/>
        </w:rPr>
        <w:t>分区</w:t>
      </w:r>
    </w:p>
    <w:p w14:paraId="21639C9E" w14:textId="77777777" w:rsidR="00CC5B85" w:rsidRDefault="00CC5B85" w:rsidP="00CC5B85">
      <w:pPr>
        <w:pStyle w:val="a3"/>
        <w:spacing w:beforeAutospacing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&amp;quot" w:hAnsi="&amp;quot" w:cs="Calibri"/>
          <w:color w:val="000000"/>
          <w:sz w:val="20"/>
          <w:szCs w:val="20"/>
        </w:rPr>
        <w:t>     5. </w:t>
      </w:r>
      <w:r>
        <w:rPr>
          <w:rFonts w:cs="Calibri" w:hint="eastAsia"/>
          <w:color w:val="000000"/>
          <w:sz w:val="20"/>
          <w:szCs w:val="20"/>
        </w:rPr>
        <w:t>用表</w:t>
      </w:r>
      <w:r>
        <w:rPr>
          <w:rFonts w:ascii="&amp;quot" w:hAnsi="&amp;quot" w:cs="Calibri"/>
          <w:color w:val="000000"/>
          <w:sz w:val="20"/>
          <w:szCs w:val="20"/>
        </w:rPr>
        <w:t>B </w:t>
      </w:r>
      <w:r>
        <w:rPr>
          <w:rFonts w:cs="Calibri" w:hint="eastAsia"/>
          <w:color w:val="000000"/>
          <w:sz w:val="20"/>
          <w:szCs w:val="20"/>
        </w:rPr>
        <w:t>和</w:t>
      </w:r>
      <w:r>
        <w:rPr>
          <w:rFonts w:ascii="&amp;quot" w:hAnsi="&amp;quot" w:cs="Calibri"/>
          <w:color w:val="000000"/>
          <w:sz w:val="20"/>
          <w:szCs w:val="20"/>
        </w:rPr>
        <w:t>p2 </w:t>
      </w:r>
      <w:r>
        <w:rPr>
          <w:rFonts w:cs="Calibri" w:hint="eastAsia"/>
          <w:color w:val="000000"/>
          <w:sz w:val="20"/>
          <w:szCs w:val="20"/>
        </w:rPr>
        <w:t>分区交换。</w:t>
      </w:r>
      <w:r>
        <w:rPr>
          <w:rFonts w:ascii="&amp;quot" w:hAnsi="&amp;quot" w:cs="Calibri"/>
          <w:color w:val="000000"/>
          <w:sz w:val="20"/>
          <w:szCs w:val="20"/>
        </w:rPr>
        <w:t> </w:t>
      </w:r>
      <w:r>
        <w:rPr>
          <w:rFonts w:cs="Calibri" w:hint="eastAsia"/>
          <w:color w:val="000000"/>
          <w:sz w:val="20"/>
          <w:szCs w:val="20"/>
        </w:rPr>
        <w:t>把表</w:t>
      </w:r>
      <w:r>
        <w:rPr>
          <w:rFonts w:ascii="&amp;quot" w:hAnsi="&amp;quot" w:cs="Calibri"/>
          <w:color w:val="000000"/>
          <w:sz w:val="20"/>
          <w:szCs w:val="20"/>
        </w:rPr>
        <w:t>B</w:t>
      </w:r>
      <w:r>
        <w:rPr>
          <w:rFonts w:cs="Calibri" w:hint="eastAsia"/>
          <w:color w:val="000000"/>
          <w:sz w:val="20"/>
          <w:szCs w:val="20"/>
        </w:rPr>
        <w:t>的数据存放到</w:t>
      </w:r>
      <w:r>
        <w:rPr>
          <w:rFonts w:ascii="&amp;quot" w:hAnsi="&amp;quot" w:cs="Calibri"/>
          <w:color w:val="000000"/>
          <w:sz w:val="20"/>
          <w:szCs w:val="20"/>
        </w:rPr>
        <w:t>P2</w:t>
      </w:r>
      <w:r>
        <w:rPr>
          <w:rFonts w:cs="Calibri" w:hint="eastAsia"/>
          <w:color w:val="000000"/>
          <w:sz w:val="20"/>
          <w:szCs w:val="20"/>
        </w:rPr>
        <w:t>分区。</w:t>
      </w:r>
    </w:p>
    <w:p w14:paraId="057C25AE" w14:textId="77777777" w:rsidR="00CC5B85" w:rsidRDefault="00CC5B85" w:rsidP="00CC5B85">
      <w:pPr>
        <w:pStyle w:val="a3"/>
        <w:spacing w:beforeAutospacing="0" w:afterAutospacing="0"/>
        <w:rPr>
          <w:rFonts w:ascii="&amp;quot" w:hAnsi="&amp;quot" w:cs="Calibri"/>
          <w:sz w:val="20"/>
          <w:szCs w:val="20"/>
        </w:rPr>
      </w:pPr>
      <w:r>
        <w:rPr>
          <w:rFonts w:ascii="&amp;quot" w:hAnsi="&amp;quot" w:cs="Calibri"/>
          <w:b/>
          <w:bCs/>
          <w:sz w:val="20"/>
          <w:szCs w:val="20"/>
        </w:rPr>
        <w:t>D. DBMS_REDEFINITION</w:t>
      </w:r>
    </w:p>
    <w:p w14:paraId="06BE343E" w14:textId="77777777" w:rsidR="00CC5B85" w:rsidRDefault="00CC5B85" w:rsidP="00CC5B85">
      <w:pPr>
        <w:pStyle w:val="a3"/>
        <w:spacing w:beforeAutospacing="0" w:afterAutospacing="0"/>
        <w:rPr>
          <w:rFonts w:cs="Calibri"/>
          <w:sz w:val="20"/>
          <w:szCs w:val="20"/>
        </w:rPr>
      </w:pPr>
      <w:r>
        <w:rPr>
          <w:rFonts w:cs="Calibri" w:hint="eastAsia"/>
          <w:sz w:val="20"/>
          <w:szCs w:val="20"/>
        </w:rPr>
        <w:t>在线重定义能保证数据的一致性，在大部分时间内，表都可以正常进行DML操作。</w:t>
      </w:r>
      <w:r>
        <w:rPr>
          <w:rFonts w:cs="Calibri" w:hint="eastAsia"/>
          <w:color w:val="FF0000"/>
          <w:sz w:val="20"/>
          <w:szCs w:val="20"/>
        </w:rPr>
        <w:t>只在切换的瞬间锁表，具有很高的可用性</w:t>
      </w:r>
      <w:r>
        <w:rPr>
          <w:rFonts w:cs="Calibri" w:hint="eastAsia"/>
          <w:sz w:val="20"/>
          <w:szCs w:val="20"/>
        </w:rPr>
        <w:t>。这种方法具有很强的灵活性，对各种不同的需要都能满足。而且，可以在切换前进行相应的授权并建立各种约束，可以做到切换完成后不再需要任何额外的</w:t>
      </w:r>
      <w:r>
        <w:rPr>
          <w:rFonts w:cs="Calibri" w:hint="eastAsia"/>
          <w:b/>
          <w:bCs/>
          <w:sz w:val="20"/>
          <w:szCs w:val="20"/>
          <w:u w:val="single"/>
        </w:rPr>
        <w:t>管理</w:t>
      </w:r>
      <w:r>
        <w:rPr>
          <w:rFonts w:cs="Calibri" w:hint="eastAsia"/>
          <w:sz w:val="20"/>
          <w:szCs w:val="20"/>
        </w:rPr>
        <w:t>操作</w:t>
      </w:r>
    </w:p>
    <w:p w14:paraId="49E6F28F" w14:textId="77777777" w:rsidR="00CC5B85" w:rsidRDefault="00CC5B85" w:rsidP="00CC5B85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E1D683" w14:textId="77777777" w:rsidR="008207C7" w:rsidRPr="00CC5B85" w:rsidRDefault="008207C7"/>
    <w:sectPr w:rsidR="008207C7" w:rsidRPr="00CC5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38"/>
    <w:rsid w:val="008207C7"/>
    <w:rsid w:val="00CC5B85"/>
    <w:rsid w:val="00E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CD91F-88C8-4064-B167-6F487767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5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C5B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leshjmail/article/details/65245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2021-03-04T05:21:00Z</dcterms:created>
  <dcterms:modified xsi:type="dcterms:W3CDTF">2021-03-04T05:21:00Z</dcterms:modified>
</cp:coreProperties>
</file>