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876"/>
        <w:gridCol w:w="917"/>
        <w:gridCol w:w="633"/>
      </w:tblGrid>
      <w:tr>
        <w:tblPrEx>
          <w:shd w:val="clear"/>
          <w:tblCellMar>
            <w:top w:w="0" w:type="dxa"/>
            <w:left w:w="0" w:type="dxa"/>
            <w:bottom w:w="0" w:type="dxa"/>
            <w:right w:w="0" w:type="dxa"/>
          </w:tblCellMar>
        </w:tblPrEx>
        <w:tc>
          <w:tcPr>
            <w:tcW w:w="741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rPr>
              <w:t>Database Server Upgrade/Downgrade Compatibility Matrix (Doc ID 551141.1)</w:t>
            </w:r>
          </w:p>
        </w:tc>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\\o To Bottom" </w:instrText>
            </w:r>
            <w:r>
              <w:fldChar w:fldCharType="separate"/>
            </w:r>
            <w:r>
              <w:rPr>
                <w:rStyle w:val="7"/>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4"/>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800100" cy="390525"/>
            <wp:effectExtent l="0" t="0" r="7620" b="571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2247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69"/>
              <w:gridCol w:w="743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PURPOSE" </w:instrText>
                  </w:r>
                  <w:r>
                    <w:fldChar w:fldCharType="separate"/>
                  </w:r>
                  <w:r>
                    <w:rPr>
                      <w:rStyle w:val="7"/>
                      <w:rFonts w:hint="default" w:ascii="Tahoma" w:hAnsi="Tahoma" w:eastAsia="Tahoma" w:cs="Tahoma"/>
                      <w:color w:val="0000FF"/>
                      <w:sz w:val="20"/>
                      <w:szCs w:val="20"/>
                      <w:u w:val="single"/>
                    </w:rPr>
                    <w:t>Purpose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1"/>
              <w:gridCol w:w="7435"/>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SCOPE" </w:instrText>
                  </w:r>
                  <w:r>
                    <w:fldChar w:fldCharType="separate"/>
                  </w:r>
                  <w:r>
                    <w:rPr>
                      <w:rStyle w:val="7"/>
                      <w:rFonts w:hint="default" w:ascii="Tahoma" w:hAnsi="Tahoma" w:eastAsia="Tahoma" w:cs="Tahoma"/>
                      <w:color w:val="0000FF"/>
                      <w:sz w:val="20"/>
                      <w:szCs w:val="20"/>
                      <w:u w:val="single"/>
                    </w:rPr>
                    <w:t>Scope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0"/>
              <w:gridCol w:w="743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BODYTEXT" </w:instrText>
                  </w:r>
                  <w:r>
                    <w:fldChar w:fldCharType="separate"/>
                  </w:r>
                  <w:r>
                    <w:rPr>
                      <w:rStyle w:val="7"/>
                      <w:rFonts w:hint="default" w:ascii="Tahoma" w:hAnsi="Tahoma" w:eastAsia="Tahoma" w:cs="Tahoma"/>
                      <w:color w:val="0000FF"/>
                      <w:sz w:val="20"/>
                      <w:szCs w:val="20"/>
                      <w:u w:val="single"/>
                    </w:rPr>
                    <w:t>Details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aref_section31" </w:instrText>
                  </w:r>
                  <w:r>
                    <w:fldChar w:fldCharType="separate"/>
                  </w:r>
                  <w:r>
                    <w:rPr>
                      <w:rStyle w:val="7"/>
                      <w:rFonts w:hint="default" w:ascii="Tahoma" w:hAnsi="Tahoma" w:eastAsia="Tahoma" w:cs="Tahoma"/>
                      <w:color w:val="0000FF"/>
                      <w:sz w:val="20"/>
                      <w:szCs w:val="20"/>
                      <w:u w:val="single"/>
                    </w:rPr>
                    <w:t>Upgrade Compatibility Matrix for Upgrading to 12.2.x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aref_section32" </w:instrText>
                  </w:r>
                  <w:r>
                    <w:fldChar w:fldCharType="separate"/>
                  </w:r>
                  <w:r>
                    <w:rPr>
                      <w:rStyle w:val="7"/>
                      <w:rFonts w:hint="default" w:ascii="Tahoma" w:hAnsi="Tahoma" w:eastAsia="Tahoma" w:cs="Tahoma"/>
                      <w:color w:val="0000FF"/>
                      <w:sz w:val="20"/>
                      <w:szCs w:val="20"/>
                      <w:u w:val="single"/>
                    </w:rPr>
                    <w:t>Upgrade Compatibility Matrix for Upgrading to 12.1.x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aref_section33" </w:instrText>
                  </w:r>
                  <w:r>
                    <w:fldChar w:fldCharType="separate"/>
                  </w:r>
                  <w:r>
                    <w:rPr>
                      <w:rStyle w:val="7"/>
                      <w:rFonts w:hint="default" w:ascii="Tahoma" w:hAnsi="Tahoma" w:eastAsia="Tahoma" w:cs="Tahoma"/>
                      <w:color w:val="0000FF"/>
                      <w:sz w:val="20"/>
                      <w:szCs w:val="20"/>
                      <w:u w:val="single"/>
                    </w:rPr>
                    <w:t>Upgrade Compatibility Matrix for Upgrading to 11.2.x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aref_section34" </w:instrText>
                  </w:r>
                  <w:r>
                    <w:fldChar w:fldCharType="separate"/>
                  </w:r>
                  <w:r>
                    <w:rPr>
                      <w:rStyle w:val="7"/>
                      <w:rFonts w:hint="default" w:ascii="Tahoma" w:hAnsi="Tahoma" w:eastAsia="Tahoma" w:cs="Tahoma"/>
                      <w:color w:val="0000FF"/>
                      <w:sz w:val="20"/>
                      <w:szCs w:val="20"/>
                      <w:u w:val="single"/>
                    </w:rPr>
                    <w:t>Upgrade Compatibility Matrix for Upgrading to 11.1.x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"https://support.oracle.com/epmos/faces/DocumentDisplay?_afrLoop=525037553373539&amp;id=551141.1&amp;_adf.ctrl-state=mq6c2j97r_72 \\l aref_section35" </w:instrText>
                  </w:r>
                  <w:r>
                    <w:fldChar w:fldCharType="separate"/>
                  </w:r>
                  <w:r>
                    <w:rPr>
                      <w:rStyle w:val="7"/>
                      <w:rFonts w:hint="default" w:ascii="Tahoma" w:hAnsi="Tahoma" w:eastAsia="Tahoma" w:cs="Tahoma"/>
                      <w:color w:val="0000FF"/>
                      <w:sz w:val="20"/>
                      <w:szCs w:val="20"/>
                      <w:u w:val="single"/>
                    </w:rPr>
                    <w:t>Upgrade Compatibility Matrix for Upgrading to 10.2.x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aref_section36" </w:instrText>
                  </w:r>
                  <w:r>
                    <w:fldChar w:fldCharType="separate"/>
                  </w:r>
                  <w:r>
                    <w:rPr>
                      <w:rStyle w:val="7"/>
                      <w:rFonts w:hint="default" w:ascii="Tahoma" w:hAnsi="Tahoma" w:eastAsia="Tahoma" w:cs="Tahoma"/>
                      <w:color w:val="0000FF"/>
                      <w:sz w:val="20"/>
                      <w:szCs w:val="20"/>
                      <w:u w:val="single"/>
                    </w:rPr>
                    <w:t>Upgrade Compatibility Matrix for Upgrading to 10.1.x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aref_section37" </w:instrText>
                  </w:r>
                  <w:r>
                    <w:fldChar w:fldCharType="separate"/>
                  </w:r>
                  <w:r>
                    <w:rPr>
                      <w:rStyle w:val="7"/>
                      <w:rFonts w:hint="default" w:ascii="Tahoma" w:hAnsi="Tahoma" w:eastAsia="Tahoma" w:cs="Tahoma"/>
                      <w:color w:val="0000FF"/>
                      <w:sz w:val="20"/>
                      <w:szCs w:val="20"/>
                      <w:u w:val="single"/>
                    </w:rPr>
                    <w:t>Upgrade Compatibility Matrix for Upgrading to 9.2.x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6"/>
              <w:gridCol w:w="743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aref_section38" </w:instrText>
                  </w:r>
                  <w:r>
                    <w:fldChar w:fldCharType="separate"/>
                  </w:r>
                  <w:r>
                    <w:rPr>
                      <w:rStyle w:val="7"/>
                      <w:rFonts w:hint="default" w:ascii="Tahoma" w:hAnsi="Tahoma" w:eastAsia="Tahoma" w:cs="Tahoma"/>
                      <w:color w:val="0000FF"/>
                      <w:sz w:val="20"/>
                      <w:szCs w:val="20"/>
                      <w:u w:val="single"/>
                    </w:rPr>
                    <w:t>Downgrade Compatibility Matrix for Downgrading from 12.1.x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6"/>
              <w:gridCol w:w="743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aref_section39" </w:instrText>
                  </w:r>
                  <w:r>
                    <w:fldChar w:fldCharType="separate"/>
                  </w:r>
                  <w:r>
                    <w:rPr>
                      <w:rStyle w:val="7"/>
                      <w:rFonts w:hint="default" w:ascii="Tahoma" w:hAnsi="Tahoma" w:eastAsia="Tahoma" w:cs="Tahoma"/>
                      <w:color w:val="0000FF"/>
                      <w:sz w:val="20"/>
                      <w:szCs w:val="20"/>
                      <w:u w:val="single"/>
                    </w:rPr>
                    <w:t>Downgrade Compatibility Matrix for Downgrading from 11.2.x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6"/>
              <w:gridCol w:w="743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aref_section310" </w:instrText>
                  </w:r>
                  <w:r>
                    <w:fldChar w:fldCharType="separate"/>
                  </w:r>
                  <w:r>
                    <w:rPr>
                      <w:rStyle w:val="7"/>
                      <w:rFonts w:hint="default" w:ascii="Tahoma" w:hAnsi="Tahoma" w:eastAsia="Tahoma" w:cs="Tahoma"/>
                      <w:color w:val="0000FF"/>
                      <w:sz w:val="20"/>
                      <w:szCs w:val="20"/>
                      <w:u w:val="single"/>
                    </w:rPr>
                    <w:t>Downgrade Compatibility Matrix for Downgrading from 11.1.x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"https://support.oracle.com/epmos/faces/DocumentDisplay?_afrLoop=525037553373539&amp;id=551141.1&amp;_adf.ctrl-state=mq6c2j97r_72 \\l aref_section311" </w:instrText>
                  </w:r>
                  <w:r>
                    <w:fldChar w:fldCharType="separate"/>
                  </w:r>
                  <w:r>
                    <w:rPr>
                      <w:rStyle w:val="7"/>
                      <w:rFonts w:hint="default" w:ascii="Tahoma" w:hAnsi="Tahoma" w:eastAsia="Tahoma" w:cs="Tahoma"/>
                      <w:color w:val="0000FF"/>
                      <w:sz w:val="20"/>
                      <w:szCs w:val="20"/>
                      <w:u w:val="single"/>
                    </w:rPr>
                    <w:t>Downgrade Compatibility Matrix for Downgrading from 10.2.x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"https://support.oracle.com/epmos/faces/DocumentDisplay?_afrLoop=525037553373539&amp;id=551141.1&amp;_adf.ctrl-state=mq6c2j97r_72 \\l aref_section312" </w:instrText>
                  </w:r>
                  <w:r>
                    <w:fldChar w:fldCharType="separate"/>
                  </w:r>
                  <w:r>
                    <w:rPr>
                      <w:rStyle w:val="7"/>
                      <w:rFonts w:hint="default" w:ascii="Tahoma" w:hAnsi="Tahoma" w:eastAsia="Tahoma" w:cs="Tahoma"/>
                      <w:color w:val="0000FF"/>
                      <w:sz w:val="20"/>
                      <w:szCs w:val="20"/>
                      <w:u w:val="single"/>
                    </w:rPr>
                    <w:t>Downgrade Compatibility Matrix for Downgrading from 10.1.x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"https://support.oracle.com/epmos/faces/DocumentDisplay?_afrLoop=525037553373539&amp;id=551141.1&amp;_adf.ctrl-state=mq6c2j97r_72 \\l aref_section313" </w:instrText>
                  </w:r>
                  <w:r>
                    <w:fldChar w:fldCharType="separate"/>
                  </w:r>
                  <w:r>
                    <w:rPr>
                      <w:rStyle w:val="7"/>
                      <w:rFonts w:hint="default" w:ascii="Tahoma" w:hAnsi="Tahoma" w:eastAsia="Tahoma" w:cs="Tahoma"/>
                      <w:color w:val="0000FF"/>
                      <w:sz w:val="20"/>
                      <w:szCs w:val="20"/>
                      <w:u w:val="single"/>
                    </w:rPr>
                    <w:t>Downgrade Compatibility Matrix for Downgrading from 9.2.x</w:t>
                  </w:r>
                  <w:r>
                    <w:fldChar w:fldCharType="end"/>
                  </w:r>
                </w:p>
              </w:tc>
            </w:tr>
          </w:tbl>
          <w:p>
            <w:pPr>
              <w:pStyle w:val="4"/>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4"/>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 - Version 9.2.0.1 and later</w:t>
            </w:r>
          </w:p>
          <w:p>
            <w:pPr>
              <w:pStyle w:val="4"/>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PURPOSE</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note gives a summary of the compatibility matrix  for Oracle Database Server upgrade and downgrade.</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SCOPE</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information applies to Oracle Database Server 9.2.0 and higher, and is intended for DBAs and anyone responsible for database upgrades and downgrades.</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DETAILS</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u w:val="single"/>
              </w:rPr>
              <w:t>UPGRADE</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Upgrade Compatibility Matrix for Upgrading to 12.2.x</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Minimum Version of the database that can be directly upgraded to Oracle Database 12c Release 2 </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tbl>
            <w:tblPr>
              <w:tblW w:w="0" w:type="auto"/>
              <w:tblInd w:w="0" w:type="dxa"/>
              <w:shd w:val="clear"/>
              <w:tblLayout w:type="autofit"/>
              <w:tblCellMar>
                <w:top w:w="0" w:type="dxa"/>
                <w:left w:w="0" w:type="dxa"/>
                <w:bottom w:w="0" w:type="dxa"/>
                <w:right w:w="0" w:type="dxa"/>
              </w:tblCellMar>
            </w:tblPr>
            <w:tblGrid>
              <w:gridCol w:w="4029"/>
              <w:gridCol w:w="4277"/>
            </w:tblGrid>
            <w:tr>
              <w:tc>
                <w:tcPr>
                  <w:tcW w:w="10734" w:type="dxa"/>
                  <w:tcBorders>
                    <w:top w:val="nil"/>
                    <w:left w:val="nil"/>
                    <w:bottom w:val="nil"/>
                    <w:right w:val="nil"/>
                  </w:tcBorders>
                  <w:shd w:val="clear" w:color="auto" w:fill="F0F8F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rPr>
                  </w:pPr>
                  <w:r>
                    <w:rPr>
                      <w:rFonts w:hint="default" w:ascii="Tahoma" w:hAnsi="Tahoma" w:eastAsia="Tahoma" w:cs="Tahoma"/>
                      <w:color w:val="010101"/>
                      <w:sz w:val="20"/>
                      <w:szCs w:val="20"/>
                    </w:rPr>
                    <w:t>                            </w:t>
                  </w:r>
                  <w:r>
                    <w:rPr>
                      <w:rFonts w:hint="default" w:ascii="Tahoma" w:hAnsi="Tahoma" w:eastAsia="Tahoma" w:cs="Tahoma"/>
                      <w:b/>
                      <w:color w:val="010101"/>
                      <w:sz w:val="26"/>
                      <w:szCs w:val="26"/>
                    </w:rPr>
                    <w:t>  Source Database</w:t>
                  </w:r>
                </w:p>
              </w:tc>
              <w:tc>
                <w:tcPr>
                  <w:tcW w:w="11097" w:type="dxa"/>
                  <w:tcBorders>
                    <w:top w:val="nil"/>
                    <w:left w:val="nil"/>
                    <w:bottom w:val="nil"/>
                    <w:right w:val="nil"/>
                  </w:tcBorders>
                  <w:shd w:val="clear" w:color="auto" w:fill="F0F8F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rPr>
                  </w:pPr>
                  <w:r>
                    <w:rPr>
                      <w:rFonts w:hint="default" w:ascii="Tahoma" w:hAnsi="Tahoma" w:eastAsia="Tahoma" w:cs="Tahoma"/>
                      <w:color w:val="010101"/>
                      <w:sz w:val="20"/>
                      <w:szCs w:val="20"/>
                    </w:rPr>
                    <w:t>                      </w:t>
                  </w:r>
                  <w:r>
                    <w:rPr>
                      <w:rFonts w:hint="default" w:ascii="Tahoma" w:hAnsi="Tahoma" w:eastAsia="Tahoma" w:cs="Tahoma"/>
                      <w:b/>
                      <w:color w:val="010101"/>
                      <w:sz w:val="26"/>
                      <w:szCs w:val="26"/>
                    </w:rPr>
                    <w:t>  Destination Database</w:t>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4184"/>
              <w:gridCol w:w="4122"/>
            </w:tblGrid>
            <w:tr>
              <w:tblPrEx>
                <w:shd w:val="clear"/>
                <w:tblCellMar>
                  <w:top w:w="0" w:type="dxa"/>
                  <w:left w:w="0" w:type="dxa"/>
                  <w:bottom w:w="0" w:type="dxa"/>
                  <w:right w:w="0" w:type="dxa"/>
                </w:tblCellMar>
              </w:tblPrEx>
              <w:tc>
                <w:tcPr>
                  <w:tcW w:w="631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11.2.0.3 / 11.2.0.4</w:t>
                  </w:r>
                </w:p>
              </w:tc>
              <w:tc>
                <w:tcPr>
                  <w:tcW w:w="6455"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12.2.x</w:t>
                  </w:r>
                </w:p>
              </w:tc>
            </w:tr>
            <w:tr>
              <w:tblPrEx>
                <w:shd w:val="clear"/>
                <w:tblCellMar>
                  <w:top w:w="0" w:type="dxa"/>
                  <w:left w:w="0" w:type="dxa"/>
                  <w:bottom w:w="0" w:type="dxa"/>
                  <w:right w:w="0" w:type="dxa"/>
                </w:tblCellMar>
              </w:tblPrEx>
              <w:tc>
                <w:tcPr>
                  <w:tcW w:w="631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12.1.0.1 / 12.1.0.2</w:t>
                  </w:r>
                </w:p>
              </w:tc>
              <w:tc>
                <w:tcPr>
                  <w:tcW w:w="6455"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12.2.x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The following database version will require an indirect upgrade path.</w:t>
            </w:r>
          </w:p>
          <w:tbl>
            <w:tblPr>
              <w:tblW w:w="0" w:type="auto"/>
              <w:tblInd w:w="0" w:type="dxa"/>
              <w:shd w:val="clear"/>
              <w:tblLayout w:type="autofit"/>
              <w:tblCellMar>
                <w:top w:w="0" w:type="dxa"/>
                <w:left w:w="0" w:type="dxa"/>
                <w:bottom w:w="0" w:type="dxa"/>
                <w:right w:w="0" w:type="dxa"/>
              </w:tblCellMar>
            </w:tblPr>
            <w:tblGrid>
              <w:gridCol w:w="2483"/>
              <w:gridCol w:w="3316"/>
              <w:gridCol w:w="2507"/>
            </w:tblGrid>
            <w:tr>
              <w:tblPrEx>
                <w:shd w:val="clear"/>
                <w:tblCellMar>
                  <w:top w:w="0" w:type="dxa"/>
                  <w:left w:w="0" w:type="dxa"/>
                  <w:bottom w:w="0" w:type="dxa"/>
                  <w:right w:w="0" w:type="dxa"/>
                </w:tblCellMar>
              </w:tblPrEx>
              <w:tc>
                <w:tcPr>
                  <w:tcW w:w="6191" w:type="dxa"/>
                  <w:tcBorders>
                    <w:top w:val="nil"/>
                    <w:left w:val="nil"/>
                    <w:bottom w:val="nil"/>
                    <w:right w:val="nil"/>
                  </w:tcBorders>
                  <w:shd w:val="clear" w:color="auto" w:fill="F0F8F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6"/>
                      <w:szCs w:val="26"/>
                    </w:rPr>
                  </w:pPr>
                  <w:r>
                    <w:rPr>
                      <w:rFonts w:hint="default" w:ascii="Tahoma" w:hAnsi="Tahoma" w:eastAsia="Tahoma" w:cs="Tahoma"/>
                      <w:b/>
                      <w:color w:val="010101"/>
                      <w:sz w:val="26"/>
                      <w:szCs w:val="26"/>
                    </w:rPr>
                    <w:t>Source Database</w:t>
                  </w:r>
                </w:p>
              </w:tc>
              <w:tc>
                <w:tcPr>
                  <w:tcW w:w="8958" w:type="dxa"/>
                  <w:tcBorders>
                    <w:top w:val="nil"/>
                    <w:left w:val="nil"/>
                    <w:bottom w:val="nil"/>
                    <w:right w:val="nil"/>
                  </w:tcBorders>
                  <w:shd w:val="clear" w:color="auto" w:fill="F0F8F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6"/>
                      <w:szCs w:val="26"/>
                    </w:rPr>
                  </w:pPr>
                  <w:r>
                    <w:rPr>
                      <w:rFonts w:hint="default" w:ascii="Tahoma" w:hAnsi="Tahoma" w:eastAsia="Tahoma" w:cs="Tahoma"/>
                      <w:b/>
                      <w:color w:val="010101"/>
                      <w:sz w:val="26"/>
                      <w:szCs w:val="26"/>
                    </w:rPr>
                    <w:t> Upgrade Path</w:t>
                  </w:r>
                </w:p>
              </w:tc>
              <w:tc>
                <w:tcPr>
                  <w:tcW w:w="6826" w:type="dxa"/>
                  <w:tcBorders>
                    <w:top w:val="nil"/>
                    <w:left w:val="nil"/>
                    <w:bottom w:val="nil"/>
                    <w:right w:val="nil"/>
                  </w:tcBorders>
                  <w:shd w:val="clear" w:color="auto" w:fill="F0F8F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6"/>
                      <w:szCs w:val="26"/>
                    </w:rPr>
                  </w:pPr>
                  <w:r>
                    <w:rPr>
                      <w:rFonts w:hint="default" w:ascii="Tahoma" w:hAnsi="Tahoma" w:eastAsia="Tahoma" w:cs="Tahoma"/>
                      <w:b/>
                      <w:color w:val="010101"/>
                      <w:sz w:val="26"/>
                      <w:szCs w:val="26"/>
                    </w:rPr>
                    <w:t>Destination Database</w:t>
                  </w:r>
                </w:p>
              </w:tc>
            </w:tr>
            <w:tr>
              <w:tblPrEx>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11.2.0.2</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11.2.0.4/12.1.0.2 --&gt;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shd w:val="clear"/>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11.2.0.1</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11.2.0.4 --&gt;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11.1.0.7</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11.2.0.4/12.1.0.2 --&gt;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11.1.0.6</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11.2.0.4 --&gt;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shd w:val="clear"/>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10.2.0.5</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11.2.0.4/12.1.0.2 --&gt;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shd w:val="clear"/>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10.2.0.2 /10.2.0.3/10.2.0.4</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11.2.0.4 --&gt;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10.2.0.1</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10.2.0.5 --&gt;   11.2.0.4/12.1.0.2 --&gt;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shd w:val="clear"/>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10.1.0.5</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11.2.0.4 --&gt;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shd w:val="clear"/>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10.1.0.4(or lower)</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10.2.0.5 --&gt; 11.2.0.4/12.1.0.2 --&gt;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shd w:val="clear"/>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9.2.0.8</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11.2.0.4 --&gt;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r>
              <w:tblPrEx>
                <w:tblCellMar>
                  <w:top w:w="0" w:type="dxa"/>
                  <w:left w:w="0" w:type="dxa"/>
                  <w:bottom w:w="0" w:type="dxa"/>
                  <w:right w:w="0" w:type="dxa"/>
                </w:tblCellMar>
              </w:tblPrEx>
              <w:tc>
                <w:tcPr>
                  <w:tcW w:w="619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9.2.0.7(or lower)</w:t>
                  </w:r>
                </w:p>
              </w:tc>
              <w:tc>
                <w:tcPr>
                  <w:tcW w:w="89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--&gt;   9.2.0.8 --&gt; 11.2.0.4 --&gt;</w:t>
                  </w:r>
                </w:p>
              </w:tc>
              <w:tc>
                <w:tcPr>
                  <w:tcW w:w="6826"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12.2.x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Upgrade Compatibility Matrix for Upgrading to 12.1.x</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Minimum Version of the database that can be directly upgraded to Oracle Database 12c Release 1</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tbl>
            <w:tblPr>
              <w:tblW w:w="0" w:type="auto"/>
              <w:tblInd w:w="0" w:type="dxa"/>
              <w:shd w:val="clear"/>
              <w:tblLayout w:type="autofit"/>
              <w:tblCellMar>
                <w:top w:w="0" w:type="dxa"/>
                <w:left w:w="0" w:type="dxa"/>
                <w:bottom w:w="0" w:type="dxa"/>
                <w:right w:w="0" w:type="dxa"/>
              </w:tblCellMar>
            </w:tblPr>
            <w:tblGrid>
              <w:gridCol w:w="4163"/>
              <w:gridCol w:w="4143"/>
            </w:tblGrid>
            <w:tr>
              <w:tblPrEx>
                <w:tblCellMar>
                  <w:top w:w="0" w:type="dxa"/>
                  <w:left w:w="0" w:type="dxa"/>
                  <w:bottom w:w="0" w:type="dxa"/>
                  <w:right w:w="0" w:type="dxa"/>
                </w:tblCellMar>
              </w:tblPrEx>
              <w:tc>
                <w:tcPr>
                  <w:tcW w:w="1098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10857"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b/>
                      <w:color w:val="010101"/>
                      <w:sz w:val="20"/>
                      <w:szCs w:val="20"/>
                    </w:rPr>
                    <w:t>Destination Database</w:t>
                  </w:r>
                </w:p>
              </w:tc>
            </w:tr>
            <w:tr>
              <w:tblPrEx>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10.2.0.5</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r>
            <w:tr>
              <w:tblPrEx>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11.1.0.7</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r>
            <w:tr>
              <w:tblPrEx>
                <w:shd w:val="clear"/>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11.2.0.2 (or higher)</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following database version will require an indirect upgrade path.</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tbl>
            <w:tblPr>
              <w:tblW w:w="0" w:type="auto"/>
              <w:tblInd w:w="0" w:type="dxa"/>
              <w:shd w:val="clear"/>
              <w:tblLayout w:type="autofit"/>
              <w:tblCellMar>
                <w:top w:w="0" w:type="dxa"/>
                <w:left w:w="0" w:type="dxa"/>
                <w:bottom w:w="0" w:type="dxa"/>
                <w:right w:w="0" w:type="dxa"/>
              </w:tblCellMar>
            </w:tblPr>
            <w:tblGrid>
              <w:gridCol w:w="2676"/>
              <w:gridCol w:w="2815"/>
              <w:gridCol w:w="2815"/>
            </w:tblGrid>
            <w:tr>
              <w:tblPrEx>
                <w:shd w:val="clear"/>
                <w:tblCellMar>
                  <w:top w:w="0" w:type="dxa"/>
                  <w:left w:w="0" w:type="dxa"/>
                  <w:bottom w:w="0" w:type="dxa"/>
                  <w:right w:w="0" w:type="dxa"/>
                </w:tblCellMar>
              </w:tblPrEx>
              <w:tc>
                <w:tcPr>
                  <w:tcW w:w="738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743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Upgrade Path</w:t>
                  </w:r>
                </w:p>
              </w:tc>
              <w:tc>
                <w:tcPr>
                  <w:tcW w:w="7122"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Destination Database</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11.2.0.1</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11.2.0.2 or higher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11.1.0.6</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11.1.0.7 or 11.2.0.2 or higher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10.2.0.4 (or earlier)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10.2.0.5 or later direct upgrade version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10.1.0.5 (or earlier)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10.2.0.5 or later direct upgrade version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9.2.0.8 (or earlier)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9.2.0.8 --&gt; 11.2.0.2 or higher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Upgrade Compatibility Matrix for Upgrading to 11.2.x</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Minimum Version of the database that can be directly upgraded to Oracle 11g Release 2</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tbl>
            <w:tblPr>
              <w:tblW w:w="0" w:type="auto"/>
              <w:tblInd w:w="0" w:type="dxa"/>
              <w:shd w:val="clear"/>
              <w:tblLayout w:type="autofit"/>
              <w:tblCellMar>
                <w:top w:w="0" w:type="dxa"/>
                <w:left w:w="0" w:type="dxa"/>
                <w:bottom w:w="0" w:type="dxa"/>
                <w:right w:w="0" w:type="dxa"/>
              </w:tblCellMar>
            </w:tblPr>
            <w:tblGrid>
              <w:gridCol w:w="4250"/>
              <w:gridCol w:w="4056"/>
            </w:tblGrid>
            <w:tr>
              <w:tblPrEx>
                <w:shd w:val="clear"/>
              </w:tblPrEx>
              <w:tc>
                <w:tcPr>
                  <w:tcW w:w="1100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10842"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b/>
                      <w:color w:val="010101"/>
                      <w:sz w:val="20"/>
                      <w:szCs w:val="20"/>
                    </w:rPr>
                    <w:t>Destination Database</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9.2.0.8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10.1.0.5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10.2.0.2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11.1.0.6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following database version will require an indirect upgrade path.</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tbl>
            <w:tblPr>
              <w:tblW w:w="0" w:type="auto"/>
              <w:tblInd w:w="0" w:type="dxa"/>
              <w:shd w:val="clear"/>
              <w:tblLayout w:type="autofit"/>
              <w:tblCellMar>
                <w:top w:w="0" w:type="dxa"/>
                <w:left w:w="0" w:type="dxa"/>
                <w:bottom w:w="0" w:type="dxa"/>
                <w:right w:w="0" w:type="dxa"/>
              </w:tblCellMar>
            </w:tblPr>
            <w:tblGrid>
              <w:gridCol w:w="2749"/>
              <w:gridCol w:w="2676"/>
              <w:gridCol w:w="2881"/>
            </w:tblGrid>
            <w:tr>
              <w:tblPrEx>
                <w:tblCellMar>
                  <w:top w:w="0" w:type="dxa"/>
                  <w:left w:w="0" w:type="dxa"/>
                  <w:bottom w:w="0" w:type="dxa"/>
                  <w:right w:w="0" w:type="dxa"/>
                </w:tblCellMar>
              </w:tblPrEx>
              <w:tc>
                <w:tcPr>
                  <w:tcW w:w="738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743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Upgrade Path</w:t>
                  </w:r>
                </w:p>
              </w:tc>
              <w:tc>
                <w:tcPr>
                  <w:tcW w:w="7122"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Destination Database</w:t>
                  </w:r>
                </w:p>
              </w:tc>
            </w:tr>
            <w:tr>
              <w:tblPrEx>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7.3.3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7.3.4.0 =&gt; 9.2.0.8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8.0.5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8.0.6.x =&gt; 9.2.0.8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8.1.7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8.1.7.4 =&gt; 10.2.0.4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r>
            <w:tr>
              <w:tblPrEx>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9.0.1.3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9.0.1.4 =&gt; 10.2.0.4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9.2.0.7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9.2.0.8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jc w:val="center"/>
            </w:pPr>
            <w:r>
              <w:rPr>
                <w:rFonts w:hint="default" w:ascii="Calibri" w:hAnsi="Calibri" w:cs="Calibri"/>
                <w:sz w:val="22"/>
                <w:szCs w:val="22"/>
              </w:rPr>
              <w:br w:type="textWrapping"/>
            </w: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"http://docs.oracle.com/cd/E11882_01/server.112/e23633/preup.htm /l UPGRD12358" </w:instrText>
            </w:r>
            <w:r>
              <w:fldChar w:fldCharType="separate"/>
            </w:r>
            <w:r>
              <w:rPr>
                <w:rStyle w:val="7"/>
                <w:rFonts w:hint="default" w:ascii="Tahoma" w:hAnsi="Tahoma" w:eastAsia="Tahoma" w:cs="Tahoma"/>
                <w:color w:val="0000FF"/>
                <w:sz w:val="24"/>
                <w:szCs w:val="24"/>
                <w:u w:val="single"/>
              </w:rPr>
              <w:t>http://docs.oracle.com/cd/E11882_01/server.112/e23633/preup.htm#UPGRD12358</w:t>
            </w:r>
            <w:r>
              <w:fldChar w:fldCharType="end"/>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above link takes to Oracle Technology Network and requires OTN username and password)</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Upgrade Compatibility Matrix for Upgrading to 11.1.x</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Minimum Version of the database that can be directly upgraded to Oracle 11g Release 1</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tbl>
            <w:tblPr>
              <w:tblW w:w="0" w:type="auto"/>
              <w:tblInd w:w="0" w:type="dxa"/>
              <w:shd w:val="clear"/>
              <w:tblLayout w:type="autofit"/>
              <w:tblCellMar>
                <w:top w:w="0" w:type="dxa"/>
                <w:left w:w="0" w:type="dxa"/>
                <w:bottom w:w="0" w:type="dxa"/>
                <w:right w:w="0" w:type="dxa"/>
              </w:tblCellMar>
            </w:tblPr>
            <w:tblGrid>
              <w:gridCol w:w="4234"/>
              <w:gridCol w:w="4072"/>
            </w:tblGrid>
            <w:tr>
              <w:tblPrEx>
                <w:shd w:val="clear"/>
              </w:tblPrEx>
              <w:tc>
                <w:tcPr>
                  <w:tcW w:w="1100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10842"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b/>
                      <w:color w:val="010101"/>
                      <w:sz w:val="20"/>
                      <w:szCs w:val="20"/>
                    </w:rPr>
                    <w:t>Destination Database</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9.2.0.4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10.1.0.2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10.2.0.1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following database version will require an indirect upgrade path.</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tbl>
            <w:tblPr>
              <w:tblW w:w="0" w:type="auto"/>
              <w:tblInd w:w="0" w:type="dxa"/>
              <w:shd w:val="clear"/>
              <w:tblLayout w:type="autofit"/>
              <w:tblCellMar>
                <w:top w:w="0" w:type="dxa"/>
                <w:left w:w="0" w:type="dxa"/>
                <w:bottom w:w="0" w:type="dxa"/>
                <w:right w:w="0" w:type="dxa"/>
              </w:tblCellMar>
            </w:tblPr>
            <w:tblGrid>
              <w:gridCol w:w="2749"/>
              <w:gridCol w:w="2676"/>
              <w:gridCol w:w="2881"/>
            </w:tblGrid>
            <w:tr>
              <w:tblPrEx>
                <w:shd w:val="clear"/>
                <w:tblCellMar>
                  <w:top w:w="0" w:type="dxa"/>
                  <w:left w:w="0" w:type="dxa"/>
                  <w:bottom w:w="0" w:type="dxa"/>
                  <w:right w:w="0" w:type="dxa"/>
                </w:tblCellMar>
              </w:tblPrEx>
              <w:tc>
                <w:tcPr>
                  <w:tcW w:w="738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743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Upgrade Path</w:t>
                  </w:r>
                </w:p>
              </w:tc>
              <w:tc>
                <w:tcPr>
                  <w:tcW w:w="7122"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Destination Database</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7.3.3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7.3.4.0 =&gt; 9.2.0.8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8.0.5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8.0.6.x =&gt; 9.2.0.8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8.1.7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8.1.7.4 =&gt; 9.2.0.8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9.0.1.3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9.0.1.4 =&gt; 9.2.0.8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9.2.0.3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9.2.0.4.0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jc w:val="center"/>
            </w:pPr>
            <w:r>
              <w:rPr>
                <w:rFonts w:hint="default" w:ascii="Calibri" w:hAnsi="Calibri" w:cs="Calibri"/>
                <w:sz w:val="22"/>
                <w:szCs w:val="22"/>
              </w:rPr>
              <w:br w:type="textWrapping"/>
            </w: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"http://download.oracle.com/docs/cd/B28359_01/server.111/b28300/preup.htm /l CEGEIBHC" </w:instrText>
            </w:r>
            <w:r>
              <w:fldChar w:fldCharType="separate"/>
            </w:r>
            <w:r>
              <w:rPr>
                <w:rStyle w:val="7"/>
                <w:rFonts w:hint="default" w:ascii="Tahoma" w:hAnsi="Tahoma" w:eastAsia="Tahoma" w:cs="Tahoma"/>
                <w:color w:val="0000FF"/>
                <w:sz w:val="24"/>
                <w:szCs w:val="24"/>
                <w:u w:val="single"/>
              </w:rPr>
              <w:t>http://download.oracle.com/docs/cd/B28359_01/server.111/b28300/preup.htm#CEGEIBHC</w:t>
            </w:r>
            <w:r>
              <w:fldChar w:fldCharType="end"/>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above link takes to Oracle Technology Network and requires OTN username and password)</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br w:type="textWrapping"/>
            </w:r>
            <w:r>
              <w:rPr>
                <w:rFonts w:hint="default" w:ascii="Calibri" w:hAnsi="Calibri" w:cs="Calibri"/>
                <w:color w:val="5B9BD5"/>
                <w:sz w:val="24"/>
                <w:szCs w:val="24"/>
              </w:rPr>
              <w:t> </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Upgrade Compatibility Matrix for Upgrading to 10.2.x</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Minimum Version of the database that can be directly upgraded to Oracle 10.2.x</w:t>
            </w:r>
          </w:p>
          <w:tbl>
            <w:tblPr>
              <w:tblW w:w="0" w:type="auto"/>
              <w:tblInd w:w="0" w:type="dxa"/>
              <w:shd w:val="clear"/>
              <w:tblLayout w:type="autofit"/>
              <w:tblCellMar>
                <w:top w:w="0" w:type="dxa"/>
                <w:left w:w="0" w:type="dxa"/>
                <w:bottom w:w="0" w:type="dxa"/>
                <w:right w:w="0" w:type="dxa"/>
              </w:tblCellMar>
            </w:tblPr>
            <w:tblGrid>
              <w:gridCol w:w="4146"/>
              <w:gridCol w:w="4160"/>
            </w:tblGrid>
            <w:tr>
              <w:tblPrEx>
                <w:shd w:val="clear"/>
                <w:tblCellMar>
                  <w:top w:w="0" w:type="dxa"/>
                  <w:left w:w="0" w:type="dxa"/>
                  <w:bottom w:w="0" w:type="dxa"/>
                  <w:right w:w="0" w:type="dxa"/>
                </w:tblCellMar>
              </w:tblPrEx>
              <w:tc>
                <w:tcPr>
                  <w:tcW w:w="1098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10857"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Destination Database</w:t>
                  </w:r>
                </w:p>
              </w:tc>
            </w:tr>
            <w:tr>
              <w:tblPrEx>
                <w:shd w:val="clear"/>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8.1.7.4   (or higher)</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r>
            <w:tr>
              <w:tblPrEx>
                <w:shd w:val="clear"/>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9.0.1.4   (or higher)</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r>
            <w:tr>
              <w:tblPrEx>
                <w:shd w:val="clear"/>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9.2.0.4   (or higher)</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r>
            <w:tr>
              <w:tblPrEx>
                <w:shd w:val="clear"/>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10.1.0.2 (or higher)</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following database version will require an indirect upgrade path.</w:t>
            </w:r>
          </w:p>
          <w:tbl>
            <w:tblPr>
              <w:tblW w:w="0" w:type="auto"/>
              <w:tblInd w:w="0" w:type="dxa"/>
              <w:shd w:val="clear"/>
              <w:tblLayout w:type="autofit"/>
              <w:tblCellMar>
                <w:top w:w="0" w:type="dxa"/>
                <w:left w:w="0" w:type="dxa"/>
                <w:bottom w:w="0" w:type="dxa"/>
                <w:right w:w="0" w:type="dxa"/>
              </w:tblCellMar>
            </w:tblPr>
            <w:tblGrid>
              <w:gridCol w:w="2730"/>
              <w:gridCol w:w="2712"/>
              <w:gridCol w:w="2864"/>
            </w:tblGrid>
            <w:tr>
              <w:tblPrEx>
                <w:tblCellMar>
                  <w:top w:w="0" w:type="dxa"/>
                  <w:left w:w="0" w:type="dxa"/>
                  <w:bottom w:w="0" w:type="dxa"/>
                  <w:right w:w="0" w:type="dxa"/>
                </w:tblCellMar>
              </w:tblPrEx>
              <w:tc>
                <w:tcPr>
                  <w:tcW w:w="738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743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Upgrade Path</w:t>
                  </w:r>
                </w:p>
              </w:tc>
              <w:tc>
                <w:tcPr>
                  <w:tcW w:w="7122"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Destination Database</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7.3.3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7.3.4 =&gt; 8.1.7 =&gt;8.1.7.4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r>
            <w:tr>
              <w:tblPrEx>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7.3.4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=&gt;8.1.7 =&gt; 8.1.7.4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r>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8.0.n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=&gt;8.1.7 =&gt; 8.1.7.4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r>
            <w:tr>
              <w:tblPrEx>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8.1.n (or lower)</w:t>
                  </w:r>
                </w:p>
              </w:tc>
              <w:tc>
                <w:tcPr>
                  <w:tcW w:w="74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=&gt;8.1.7 =&gt; 8.1.7.4 =&gt;</w:t>
                  </w:r>
                </w:p>
              </w:tc>
              <w:tc>
                <w:tcPr>
                  <w:tcW w:w="71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r>
          </w:tbl>
          <w:p>
            <w:pPr>
              <w:pStyle w:val="4"/>
              <w:keepNext w:val="0"/>
              <w:keepLines w:val="0"/>
              <w:widowControl/>
              <w:suppressLineNumbers w:val="0"/>
              <w:spacing w:before="0" w:beforeAutospacing="0" w:after="0" w:afterAutospacing="0"/>
              <w:ind w:left="0" w:right="0"/>
              <w:jc w:val="center"/>
              <w:rPr>
                <w:rFonts w:hint="default" w:ascii="Tahoma" w:hAnsi="Tahoma" w:eastAsia="Tahoma" w:cs="Tahoma"/>
                <w:sz w:val="24"/>
                <w:szCs w:val="24"/>
              </w:rPr>
            </w:pP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"http://download.oracle.com/docs/cd/B19306_01/server.102/b14238/preup.htm /l CEGEIBHC" </w:instrText>
            </w:r>
            <w:r>
              <w:fldChar w:fldCharType="separate"/>
            </w:r>
            <w:r>
              <w:rPr>
                <w:rStyle w:val="7"/>
                <w:rFonts w:hint="default" w:ascii="Tahoma" w:hAnsi="Tahoma" w:eastAsia="Tahoma" w:cs="Tahoma"/>
                <w:color w:val="0000FF"/>
                <w:sz w:val="24"/>
                <w:szCs w:val="24"/>
                <w:u w:val="single"/>
              </w:rPr>
              <w:t>http://download.oracle.com/docs/cd/B19306_01/server.102/b14238/preup.htm#CEGEIBHC</w:t>
            </w:r>
            <w:r>
              <w:fldChar w:fldCharType="end"/>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Upgrade Compatibility Matrix for Upgrading to 10.1.x</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Minimum Version of the database that can be directly upgraded to Oracle 10.1.x</w:t>
            </w:r>
          </w:p>
          <w:tbl>
            <w:tblPr>
              <w:tblW w:w="0" w:type="auto"/>
              <w:tblInd w:w="0" w:type="dxa"/>
              <w:shd w:val="clear"/>
              <w:tblLayout w:type="autofit"/>
              <w:tblCellMar>
                <w:top w:w="0" w:type="dxa"/>
                <w:left w:w="0" w:type="dxa"/>
                <w:bottom w:w="0" w:type="dxa"/>
                <w:right w:w="0" w:type="dxa"/>
              </w:tblCellMar>
            </w:tblPr>
            <w:tblGrid>
              <w:gridCol w:w="4084"/>
              <w:gridCol w:w="4222"/>
            </w:tblGrid>
            <w:tr>
              <w:tblPrEx>
                <w:shd w:val="clear"/>
                <w:tblCellMar>
                  <w:top w:w="0" w:type="dxa"/>
                  <w:left w:w="0" w:type="dxa"/>
                  <w:bottom w:w="0" w:type="dxa"/>
                  <w:right w:w="0" w:type="dxa"/>
                </w:tblCellMar>
              </w:tblPrEx>
              <w:tc>
                <w:tcPr>
                  <w:tcW w:w="1100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10842"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Destination Database</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8.0.6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10.1.x</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8.1.7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10.1.x</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9.0.1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10.1.x</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9.2.0 (or higher)</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10.1.x</w:t>
                  </w:r>
                </w:p>
              </w:tc>
            </w:tr>
          </w:tbl>
          <w:p>
            <w:pPr>
              <w:pStyle w:val="4"/>
              <w:keepNext w:val="0"/>
              <w:keepLines w:val="0"/>
              <w:widowControl/>
              <w:suppressLineNumbers w:val="0"/>
              <w:spacing w:before="0" w:beforeAutospacing="0" w:after="0" w:afterAutospacing="0"/>
              <w:ind w:left="0" w:right="0"/>
              <w:jc w:val="center"/>
            </w:pPr>
            <w:r>
              <w:rPr>
                <w:rFonts w:hint="default" w:ascii="Calibri" w:hAnsi="Calibri" w:cs="Calibri"/>
                <w:sz w:val="22"/>
                <w:szCs w:val="22"/>
              </w:rPr>
              <w:br w:type="textWrapping"/>
            </w:r>
            <w:r>
              <w:rPr>
                <w:rFonts w:hint="default" w:ascii="Tahoma" w:hAnsi="Tahoma" w:eastAsia="Tahoma" w:cs="Tahoma"/>
                <w:sz w:val="24"/>
                <w:szCs w:val="24"/>
              </w:rPr>
              <w:t>The following database version will require an indirect upgrade path.</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tbl>
            <w:tblPr>
              <w:tblW w:w="0" w:type="auto"/>
              <w:tblInd w:w="0" w:type="dxa"/>
              <w:shd w:val="clear"/>
              <w:tblLayout w:type="autofit"/>
              <w:tblCellMar>
                <w:top w:w="0" w:type="dxa"/>
                <w:left w:w="0" w:type="dxa"/>
                <w:bottom w:w="0" w:type="dxa"/>
                <w:right w:w="0" w:type="dxa"/>
              </w:tblCellMar>
            </w:tblPr>
            <w:tblGrid>
              <w:gridCol w:w="2752"/>
              <w:gridCol w:w="2669"/>
              <w:gridCol w:w="2885"/>
            </w:tblGrid>
            <w:tr>
              <w:tc>
                <w:tcPr>
                  <w:tcW w:w="740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740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Upgrade Path</w:t>
                  </w:r>
                </w:p>
              </w:tc>
              <w:tc>
                <w:tcPr>
                  <w:tcW w:w="7137"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Destination Database</w:t>
                  </w:r>
                </w:p>
              </w:tc>
            </w:tr>
            <w:tr>
              <w:tblPrEx>
                <w:shd w:val="clear"/>
                <w:tblCellMar>
                  <w:top w:w="0" w:type="dxa"/>
                  <w:left w:w="0" w:type="dxa"/>
                  <w:bottom w:w="0" w:type="dxa"/>
                  <w:right w:w="0" w:type="dxa"/>
                </w:tblCellMar>
              </w:tblPrEx>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7.3.4 (or lower)</w:t>
                  </w:r>
                </w:p>
              </w:tc>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8.0.6 =&gt;</w:t>
                  </w:r>
                </w:p>
              </w:tc>
              <w:tc>
                <w:tcPr>
                  <w:tcW w:w="713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10.1.x</w:t>
                  </w:r>
                </w:p>
              </w:tc>
            </w:tr>
            <w:tr>
              <w:tblPrEx>
                <w:shd w:val="clear"/>
                <w:tblCellMar>
                  <w:top w:w="0" w:type="dxa"/>
                  <w:left w:w="0" w:type="dxa"/>
                  <w:bottom w:w="0" w:type="dxa"/>
                  <w:right w:w="0" w:type="dxa"/>
                </w:tblCellMar>
              </w:tblPrEx>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8.0.5 (or lower)</w:t>
                  </w:r>
                </w:p>
              </w:tc>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8.0.6 =&gt;</w:t>
                  </w:r>
                </w:p>
              </w:tc>
              <w:tc>
                <w:tcPr>
                  <w:tcW w:w="713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10.1.x</w:t>
                  </w:r>
                </w:p>
              </w:tc>
            </w:tr>
            <w:tr>
              <w:tblPrEx>
                <w:shd w:val="clear"/>
                <w:tblCellMar>
                  <w:top w:w="0" w:type="dxa"/>
                  <w:left w:w="0" w:type="dxa"/>
                  <w:bottom w:w="0" w:type="dxa"/>
                  <w:right w:w="0" w:type="dxa"/>
                </w:tblCellMar>
              </w:tblPrEx>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8.1.6 (or lower)</w:t>
                  </w:r>
                </w:p>
              </w:tc>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8.1.7 =&gt;</w:t>
                  </w:r>
                </w:p>
              </w:tc>
              <w:tc>
                <w:tcPr>
                  <w:tcW w:w="713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jc w:val="center"/>
              <w:rPr>
                <w:rFonts w:hint="default" w:ascii="Tahoma" w:hAnsi="Tahoma" w:eastAsia="Tahoma" w:cs="Tahoma"/>
                <w:sz w:val="24"/>
                <w:szCs w:val="24"/>
              </w:rPr>
            </w:pP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"http://download.oracle.com/docs/cd/B14117_01/server.101/b10763/preup.htm /l CEGEIBHC" </w:instrText>
            </w:r>
            <w:r>
              <w:fldChar w:fldCharType="separate"/>
            </w:r>
            <w:r>
              <w:rPr>
                <w:rStyle w:val="7"/>
                <w:rFonts w:hint="default" w:ascii="Tahoma" w:hAnsi="Tahoma" w:eastAsia="Tahoma" w:cs="Tahoma"/>
                <w:color w:val="0000FF"/>
                <w:sz w:val="24"/>
                <w:szCs w:val="24"/>
                <w:u w:val="single"/>
              </w:rPr>
              <w:t>http://download.oracle.com/docs/cd/B14117_01/server.101/b10763/preup.htm#CEGEIBHC</w:t>
            </w:r>
            <w:r>
              <w:fldChar w:fldCharType="end"/>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Upgrade Compatibility Matrix for Upgrading to 9.2.x</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Minimum Version of the database that can be directly upgraded to Oracle 9.2.x</w:t>
            </w:r>
          </w:p>
          <w:tbl>
            <w:tblPr>
              <w:tblW w:w="0" w:type="auto"/>
              <w:tblInd w:w="0" w:type="dxa"/>
              <w:shd w:val="clear"/>
              <w:tblLayout w:type="autofit"/>
              <w:tblCellMar>
                <w:top w:w="0" w:type="dxa"/>
                <w:left w:w="0" w:type="dxa"/>
                <w:bottom w:w="0" w:type="dxa"/>
                <w:right w:w="0" w:type="dxa"/>
              </w:tblCellMar>
            </w:tblPr>
            <w:tblGrid>
              <w:gridCol w:w="4080"/>
              <w:gridCol w:w="4226"/>
            </w:tblGrid>
            <w:tr>
              <w:tblPrEx>
                <w:shd w:val="clear"/>
              </w:tblPrEx>
              <w:tc>
                <w:tcPr>
                  <w:tcW w:w="1098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10857"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Destination Database</w:t>
                  </w:r>
                </w:p>
              </w:tc>
            </w:tr>
            <w:tr>
              <w:tblPrEx>
                <w:shd w:val="clear"/>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7.3.4 (or higher)</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9.2.x</w:t>
                  </w:r>
                </w:p>
              </w:tc>
            </w:tr>
            <w:tr>
              <w:tblPrEx>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8.0.6 (or higher)</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9.2.x</w:t>
                  </w:r>
                </w:p>
              </w:tc>
            </w:tr>
            <w:tr>
              <w:tblPrEx>
                <w:shd w:val="clear"/>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8.1.7 (or higher)</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9.2.x</w:t>
                  </w:r>
                </w:p>
              </w:tc>
            </w:tr>
            <w:tr>
              <w:tblPrEx>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9.0.1 (or higher)</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9.2.x</w:t>
                  </w:r>
                </w:p>
              </w:tc>
            </w:tr>
          </w:tbl>
          <w:p>
            <w:pPr>
              <w:pStyle w:val="4"/>
              <w:keepNext w:val="0"/>
              <w:keepLines w:val="0"/>
              <w:widowControl/>
              <w:suppressLineNumbers w:val="0"/>
              <w:spacing w:before="0" w:beforeAutospacing="0" w:after="0" w:afterAutospacing="0"/>
              <w:ind w:left="0" w:right="0"/>
              <w:jc w:val="center"/>
            </w:pPr>
            <w:r>
              <w:rPr>
                <w:rFonts w:hint="default" w:ascii="Calibri" w:hAnsi="Calibri" w:cs="Calibri"/>
                <w:sz w:val="22"/>
                <w:szCs w:val="22"/>
              </w:rPr>
              <w:br w:type="textWrapping"/>
            </w:r>
            <w:r>
              <w:rPr>
                <w:rFonts w:hint="default" w:ascii="Tahoma" w:hAnsi="Tahoma" w:eastAsia="Tahoma" w:cs="Tahoma"/>
                <w:sz w:val="24"/>
                <w:szCs w:val="24"/>
              </w:rPr>
              <w:t>The following database version will require an indirect upgrade path</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tbl>
            <w:tblPr>
              <w:tblW w:w="0" w:type="auto"/>
              <w:tblInd w:w="0" w:type="dxa"/>
              <w:shd w:val="clear"/>
              <w:tblLayout w:type="autofit"/>
              <w:tblCellMar>
                <w:top w:w="0" w:type="dxa"/>
                <w:left w:w="0" w:type="dxa"/>
                <w:bottom w:w="0" w:type="dxa"/>
                <w:right w:w="0" w:type="dxa"/>
              </w:tblCellMar>
            </w:tblPr>
            <w:tblGrid>
              <w:gridCol w:w="2752"/>
              <w:gridCol w:w="2669"/>
              <w:gridCol w:w="2885"/>
            </w:tblGrid>
            <w:tr>
              <w:tblPrEx>
                <w:tblCellMar>
                  <w:top w:w="0" w:type="dxa"/>
                  <w:left w:w="0" w:type="dxa"/>
                  <w:bottom w:w="0" w:type="dxa"/>
                  <w:right w:w="0" w:type="dxa"/>
                </w:tblCellMar>
              </w:tblPrEx>
              <w:tc>
                <w:tcPr>
                  <w:tcW w:w="740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740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Upgrade Path</w:t>
                  </w:r>
                </w:p>
              </w:tc>
              <w:tc>
                <w:tcPr>
                  <w:tcW w:w="7137"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Destination Database</w:t>
                  </w:r>
                </w:p>
              </w:tc>
            </w:tr>
            <w:tr>
              <w:tblPrEx>
                <w:tblCellMar>
                  <w:top w:w="0" w:type="dxa"/>
                  <w:left w:w="0" w:type="dxa"/>
                  <w:bottom w:w="0" w:type="dxa"/>
                  <w:right w:w="0" w:type="dxa"/>
                </w:tblCellMar>
              </w:tblPrEx>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7.3.3 (or lower)</w:t>
                  </w:r>
                </w:p>
              </w:tc>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7.3.4 =&gt;</w:t>
                  </w:r>
                </w:p>
              </w:tc>
              <w:tc>
                <w:tcPr>
                  <w:tcW w:w="713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9.2.x</w:t>
                  </w:r>
                </w:p>
              </w:tc>
            </w:tr>
            <w:tr>
              <w:tblPrEx>
                <w:tblCellMar>
                  <w:top w:w="0" w:type="dxa"/>
                  <w:left w:w="0" w:type="dxa"/>
                  <w:bottom w:w="0" w:type="dxa"/>
                  <w:right w:w="0" w:type="dxa"/>
                </w:tblCellMar>
              </w:tblPrEx>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8.0.5 (or lower)</w:t>
                  </w:r>
                </w:p>
              </w:tc>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8.0.6 =&gt;</w:t>
                  </w:r>
                </w:p>
              </w:tc>
              <w:tc>
                <w:tcPr>
                  <w:tcW w:w="713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9.2.x</w:t>
                  </w:r>
                </w:p>
              </w:tc>
            </w:tr>
            <w:tr>
              <w:tblPrEx>
                <w:tblCellMar>
                  <w:top w:w="0" w:type="dxa"/>
                  <w:left w:w="0" w:type="dxa"/>
                  <w:bottom w:w="0" w:type="dxa"/>
                  <w:right w:w="0" w:type="dxa"/>
                </w:tblCellMar>
              </w:tblPrEx>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8.1.6 (or lower)</w:t>
                  </w:r>
                </w:p>
              </w:tc>
              <w:tc>
                <w:tcPr>
                  <w:tcW w:w="74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=&gt; 8.1.7 =&gt;</w:t>
                  </w:r>
                </w:p>
              </w:tc>
              <w:tc>
                <w:tcPr>
                  <w:tcW w:w="713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9.2.x</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jc w:val="center"/>
              <w:rPr>
                <w:rFonts w:hint="default" w:ascii="Tahoma" w:hAnsi="Tahoma" w:eastAsia="Tahoma" w:cs="Tahoma"/>
                <w:sz w:val="24"/>
                <w:szCs w:val="24"/>
              </w:rPr>
            </w:pP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"http://download.oracle.com/docs/cd/B10501_01/server.920/a96530/migprep.htm /l 1006863" </w:instrText>
            </w:r>
            <w:r>
              <w:fldChar w:fldCharType="separate"/>
            </w:r>
            <w:r>
              <w:rPr>
                <w:rStyle w:val="7"/>
                <w:rFonts w:hint="default" w:ascii="Tahoma" w:hAnsi="Tahoma" w:eastAsia="Tahoma" w:cs="Tahoma"/>
                <w:color w:val="0000FF"/>
                <w:sz w:val="24"/>
                <w:szCs w:val="24"/>
                <w:u w:val="single"/>
              </w:rPr>
              <w:t>http://download.oracle.com/docs/cd/B10501_01/server.920/a96530/migprep.htm#1006863</w:t>
            </w:r>
            <w:r>
              <w:fldChar w:fldCharType="end"/>
            </w:r>
          </w:p>
          <w:p>
            <w:pPr>
              <w:pStyle w:val="4"/>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jc w:val="center"/>
            </w:pPr>
            <w:r>
              <w:rPr>
                <w:rFonts w:hint="default" w:ascii="Calibri" w:hAnsi="Calibri" w:cs="Calibri"/>
                <w:sz w:val="22"/>
                <w:szCs w:val="22"/>
              </w:rPr>
              <w:br w:type="textWrapping"/>
            </w:r>
            <w:r>
              <w:rPr>
                <w:rFonts w:hint="default" w:ascii="Tahoma" w:hAnsi="Tahoma" w:eastAsia="Tahoma" w:cs="Tahoma"/>
                <w:b/>
                <w:sz w:val="24"/>
                <w:szCs w:val="24"/>
                <w:u w:val="single"/>
              </w:rPr>
              <w:t>DOWNGRADE</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Downgrade Compatibility Matrix for Downgrading from 12.1.x</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u w:val="single"/>
              </w:rPr>
              <w:t> </w:t>
            </w:r>
          </w:p>
          <w:tbl>
            <w:tblPr>
              <w:tblW w:w="0" w:type="auto"/>
              <w:tblInd w:w="0" w:type="dxa"/>
              <w:shd w:val="clear"/>
              <w:tblLayout w:type="autofit"/>
              <w:tblCellMar>
                <w:top w:w="0" w:type="dxa"/>
                <w:left w:w="0" w:type="dxa"/>
                <w:bottom w:w="0" w:type="dxa"/>
                <w:right w:w="0" w:type="dxa"/>
              </w:tblCellMar>
            </w:tblPr>
            <w:tblGrid>
              <w:gridCol w:w="2419"/>
              <w:gridCol w:w="2262"/>
            </w:tblGrid>
            <w:tr>
              <w:tblPrEx>
                <w:tblCellMar>
                  <w:top w:w="0" w:type="dxa"/>
                  <w:left w:w="0" w:type="dxa"/>
                  <w:bottom w:w="0" w:type="dxa"/>
                  <w:right w:w="0" w:type="dxa"/>
                </w:tblCellMar>
              </w:tblPrEx>
              <w:tc>
                <w:tcPr>
                  <w:tcW w:w="241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2257"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b/>
                      <w:color w:val="010101"/>
                      <w:sz w:val="20"/>
                      <w:szCs w:val="20"/>
                    </w:rPr>
                    <w:t>Downgrade Possible to</w:t>
                  </w:r>
                </w:p>
              </w:tc>
            </w:tr>
            <w:tr>
              <w:tblPrEx>
                <w:tblCellMar>
                  <w:top w:w="0" w:type="dxa"/>
                  <w:left w:w="0" w:type="dxa"/>
                  <w:bottom w:w="0" w:type="dxa"/>
                  <w:right w:w="0" w:type="dxa"/>
                </w:tblCellMar>
              </w:tblPrEx>
              <w:tc>
                <w:tcPr>
                  <w:tcW w:w="239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c>
                <w:tcPr>
                  <w:tcW w:w="226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11.1.0.7.0</w:t>
                  </w:r>
                </w:p>
              </w:tc>
            </w:tr>
            <w:tr>
              <w:tblPrEx>
                <w:shd w:val="clear"/>
                <w:tblCellMar>
                  <w:top w:w="0" w:type="dxa"/>
                  <w:left w:w="0" w:type="dxa"/>
                  <w:bottom w:w="0" w:type="dxa"/>
                  <w:right w:w="0" w:type="dxa"/>
                </w:tblCellMar>
              </w:tblPrEx>
              <w:tc>
                <w:tcPr>
                  <w:tcW w:w="239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12.1.x</w:t>
                  </w:r>
                </w:p>
              </w:tc>
              <w:tc>
                <w:tcPr>
                  <w:tcW w:w="226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11.2.0.2.0 (or higher)</w:t>
                  </w:r>
                </w:p>
              </w:tc>
            </w:tr>
          </w:tbl>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For more information, refer to the following link :</w:t>
            </w:r>
          </w:p>
          <w:p>
            <w:pPr>
              <w:pStyle w:val="4"/>
              <w:keepNext w:val="0"/>
              <w:keepLines w:val="0"/>
              <w:widowControl/>
              <w:suppressLineNumbers w:val="0"/>
              <w:spacing w:before="0" w:beforeAutospacing="0" w:after="0" w:afterAutospacing="0"/>
              <w:ind w:left="0" w:right="0"/>
            </w:pPr>
            <w:r>
              <w:rPr>
                <w:rFonts w:hint="default" w:ascii="Tahoma" w:hAnsi="Tahoma" w:eastAsia="Tahoma" w:cs="Tahoma"/>
                <w:sz w:val="24"/>
                <w:szCs w:val="24"/>
              </w:rPr>
              <w:t>                                                                   </w:t>
            </w:r>
            <w:r>
              <w:rPr>
                <w:rFonts w:hint="default" w:ascii="Calibri" w:hAnsi="Calibri" w:cs="Calibri"/>
                <w:sz w:val="22"/>
                <w:szCs w:val="22"/>
              </w:rPr>
              <w:t xml:space="preserve"> </w:t>
            </w:r>
            <w:r>
              <w:fldChar w:fldCharType="begin"/>
            </w:r>
            <w:r>
              <w:instrText xml:space="preserve"> HYPERLINK "http://docs.oracle.com/cd/E16655_01/server.121/e17642/downgrade.htm /l i1010267" </w:instrText>
            </w:r>
            <w:r>
              <w:fldChar w:fldCharType="separate"/>
            </w:r>
            <w:r>
              <w:rPr>
                <w:rStyle w:val="7"/>
                <w:rFonts w:hint="default" w:ascii="Tahoma" w:hAnsi="Tahoma" w:eastAsia="Tahoma" w:cs="Tahoma"/>
                <w:color w:val="0000FF"/>
                <w:sz w:val="24"/>
                <w:szCs w:val="24"/>
                <w:u w:val="single"/>
              </w:rPr>
              <w:t>http://docs.oracle.com/cd/E16655_01/server.121/e17642/downgrade.htm#i1010267</w:t>
            </w:r>
            <w:r>
              <w:fldChar w:fldCharType="end"/>
            </w:r>
          </w:p>
          <w:p>
            <w:pPr>
              <w:pStyle w:val="4"/>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Note:</w:t>
            </w:r>
          </w:p>
          <w:p>
            <w:pPr>
              <w:pStyle w:val="4"/>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You cannot downgrade back to release 10.2.0.5 because the minimum compatibility setting for Oracle Database 12c is 11.0.</w:t>
            </w:r>
          </w:p>
          <w:p>
            <w:pPr>
              <w:pStyle w:val="4"/>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You cannot downgrade a database that was upgraded from Oracle Database Express Edition.</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Downgrade Compatibility Matrix for Downgrading from 11.2.x</w:t>
            </w:r>
          </w:p>
          <w:tbl>
            <w:tblPr>
              <w:tblW w:w="0" w:type="auto"/>
              <w:tblInd w:w="0" w:type="dxa"/>
              <w:shd w:val="clear"/>
              <w:tblLayout w:type="autofit"/>
              <w:tblCellMar>
                <w:top w:w="0" w:type="dxa"/>
                <w:left w:w="0" w:type="dxa"/>
                <w:bottom w:w="0" w:type="dxa"/>
                <w:right w:w="0" w:type="dxa"/>
              </w:tblCellMar>
            </w:tblPr>
            <w:tblGrid>
              <w:gridCol w:w="2419"/>
              <w:gridCol w:w="2262"/>
            </w:tblGrid>
            <w:tr>
              <w:tblPrEx>
                <w:shd w:val="clear"/>
              </w:tblPrEx>
              <w:tc>
                <w:tcPr>
                  <w:tcW w:w="241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2257"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b/>
                      <w:color w:val="010101"/>
                      <w:sz w:val="20"/>
                      <w:szCs w:val="20"/>
                    </w:rPr>
                    <w:t>Downgrade Possible to</w:t>
                  </w:r>
                </w:p>
              </w:tc>
            </w:tr>
            <w:tr>
              <w:tblPrEx>
                <w:tblCellMar>
                  <w:top w:w="0" w:type="dxa"/>
                  <w:left w:w="0" w:type="dxa"/>
                  <w:bottom w:w="0" w:type="dxa"/>
                  <w:right w:w="0" w:type="dxa"/>
                </w:tblCellMar>
              </w:tblPrEx>
              <w:tc>
                <w:tcPr>
                  <w:tcW w:w="239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c>
                <w:tcPr>
                  <w:tcW w:w="226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10.1.0.5.0 (or higher)</w:t>
                  </w:r>
                </w:p>
              </w:tc>
            </w:tr>
            <w:tr>
              <w:tblPrEx>
                <w:shd w:val="clear"/>
                <w:tblCellMar>
                  <w:top w:w="0" w:type="dxa"/>
                  <w:left w:w="0" w:type="dxa"/>
                  <w:bottom w:w="0" w:type="dxa"/>
                  <w:right w:w="0" w:type="dxa"/>
                </w:tblCellMar>
              </w:tblPrEx>
              <w:tc>
                <w:tcPr>
                  <w:tcW w:w="239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c>
                <w:tcPr>
                  <w:tcW w:w="226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10.2.0.2.0 (or higher)</w:t>
                  </w:r>
                </w:p>
              </w:tc>
            </w:tr>
            <w:tr>
              <w:tblPrEx>
                <w:shd w:val="clear"/>
                <w:tblCellMar>
                  <w:top w:w="0" w:type="dxa"/>
                  <w:left w:w="0" w:type="dxa"/>
                  <w:bottom w:w="0" w:type="dxa"/>
                  <w:right w:w="0" w:type="dxa"/>
                </w:tblCellMar>
              </w:tblPrEx>
              <w:tc>
                <w:tcPr>
                  <w:tcW w:w="239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11.2.x</w:t>
                  </w:r>
                </w:p>
              </w:tc>
              <w:tc>
                <w:tcPr>
                  <w:tcW w:w="226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11.1.0.6.0 (or higher)</w:t>
                  </w:r>
                </w:p>
              </w:tc>
            </w:tr>
          </w:tbl>
          <w:p>
            <w:pPr>
              <w:pStyle w:val="4"/>
              <w:keepNext w:val="0"/>
              <w:keepLines w:val="0"/>
              <w:widowControl/>
              <w:suppressLineNumbers w:val="0"/>
              <w:spacing w:before="0" w:beforeAutospacing="0" w:after="0" w:afterAutospacing="0"/>
              <w:ind w:left="0" w:right="0"/>
              <w:jc w:val="center"/>
              <w:rPr>
                <w:rFonts w:hint="default" w:ascii="Tahoma" w:hAnsi="Tahoma" w:eastAsia="Tahoma" w:cs="Tahoma"/>
                <w:sz w:val="24"/>
                <w:szCs w:val="24"/>
              </w:rPr>
            </w:pP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"http://docs.oracle.com/cd/E11882_01/server.112/e23633/downgrade.htm /l UPGRD00710" </w:instrText>
            </w:r>
            <w:r>
              <w:fldChar w:fldCharType="separate"/>
            </w:r>
            <w:r>
              <w:rPr>
                <w:rStyle w:val="7"/>
                <w:rFonts w:hint="default" w:ascii="Tahoma" w:hAnsi="Tahoma" w:eastAsia="Tahoma" w:cs="Tahoma"/>
                <w:color w:val="0000FF"/>
                <w:sz w:val="24"/>
                <w:szCs w:val="24"/>
                <w:u w:val="single"/>
              </w:rPr>
              <w:t>http://docs.oracle.com/cd/E11882_01/server.112/e23633/downgrade.htm#UPGRD00710</w:t>
            </w:r>
            <w:r>
              <w:fldChar w:fldCharType="end"/>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Downgrade Compatibility Matrix for Downgrading from 11.1.x</w:t>
            </w:r>
          </w:p>
          <w:tbl>
            <w:tblPr>
              <w:tblW w:w="0" w:type="auto"/>
              <w:tblInd w:w="0" w:type="dxa"/>
              <w:shd w:val="clear"/>
              <w:tblLayout w:type="autofit"/>
              <w:tblCellMar>
                <w:top w:w="0" w:type="dxa"/>
                <w:left w:w="0" w:type="dxa"/>
                <w:bottom w:w="0" w:type="dxa"/>
                <w:right w:w="0" w:type="dxa"/>
              </w:tblCellMar>
            </w:tblPr>
            <w:tblGrid>
              <w:gridCol w:w="2419"/>
              <w:gridCol w:w="2262"/>
            </w:tblGrid>
            <w:tr>
              <w:tblPrEx>
                <w:shd w:val="clear"/>
                <w:tblCellMar>
                  <w:top w:w="0" w:type="dxa"/>
                  <w:left w:w="0" w:type="dxa"/>
                  <w:bottom w:w="0" w:type="dxa"/>
                  <w:right w:w="0" w:type="dxa"/>
                </w:tblCellMar>
              </w:tblPrEx>
              <w:tc>
                <w:tcPr>
                  <w:tcW w:w="241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2257"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b/>
                      <w:color w:val="010101"/>
                      <w:sz w:val="20"/>
                      <w:szCs w:val="20"/>
                    </w:rPr>
                    <w:t>Downgrade Possible to</w:t>
                  </w:r>
                </w:p>
              </w:tc>
            </w:tr>
            <w:tr>
              <w:tblPrEx>
                <w:tblCellMar>
                  <w:top w:w="0" w:type="dxa"/>
                  <w:left w:w="0" w:type="dxa"/>
                  <w:bottom w:w="0" w:type="dxa"/>
                  <w:right w:w="0" w:type="dxa"/>
                </w:tblCellMar>
              </w:tblPrEx>
              <w:tc>
                <w:tcPr>
                  <w:tcW w:w="239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c>
                <w:tcPr>
                  <w:tcW w:w="226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10.1.0.5.0 (or higher)</w:t>
                  </w:r>
                </w:p>
              </w:tc>
            </w:tr>
            <w:tr>
              <w:tblPrEx>
                <w:tblCellMar>
                  <w:top w:w="0" w:type="dxa"/>
                  <w:left w:w="0" w:type="dxa"/>
                  <w:bottom w:w="0" w:type="dxa"/>
                  <w:right w:w="0" w:type="dxa"/>
                </w:tblCellMar>
              </w:tblPrEx>
              <w:tc>
                <w:tcPr>
                  <w:tcW w:w="239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11.1.x</w:t>
                  </w:r>
                </w:p>
              </w:tc>
              <w:tc>
                <w:tcPr>
                  <w:tcW w:w="226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10.2.0.3.0 (or higher)</w:t>
                  </w:r>
                </w:p>
              </w:tc>
            </w:tr>
          </w:tbl>
          <w:p>
            <w:pPr>
              <w:pStyle w:val="4"/>
              <w:keepNext w:val="0"/>
              <w:keepLines w:val="0"/>
              <w:widowControl/>
              <w:suppressLineNumbers w:val="0"/>
              <w:spacing w:before="0" w:beforeAutospacing="0" w:after="0" w:afterAutospacing="0"/>
              <w:ind w:left="0" w:right="0"/>
              <w:jc w:val="center"/>
              <w:rPr>
                <w:rFonts w:hint="default" w:ascii="Tahoma" w:hAnsi="Tahoma" w:eastAsia="Tahoma" w:cs="Tahoma"/>
                <w:sz w:val="24"/>
                <w:szCs w:val="24"/>
              </w:rPr>
            </w:pP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"http://download.oracle.com/docs/cd/B28359_01/server.111/b28300/downgrade.htm /l i1010243" </w:instrText>
            </w:r>
            <w:r>
              <w:fldChar w:fldCharType="separate"/>
            </w:r>
            <w:r>
              <w:rPr>
                <w:rStyle w:val="7"/>
                <w:rFonts w:hint="default" w:ascii="Tahoma" w:hAnsi="Tahoma" w:eastAsia="Tahoma" w:cs="Tahoma"/>
                <w:color w:val="0000FF"/>
                <w:sz w:val="24"/>
                <w:szCs w:val="24"/>
                <w:u w:val="single"/>
              </w:rPr>
              <w:t>http://download.oracle.com/docs/cd/B28359_01/server.111/b28300/downgrade.htm#i1010243</w:t>
            </w:r>
            <w:r>
              <w:fldChar w:fldCharType="end"/>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br w:type="textWrapping"/>
            </w:r>
            <w:r>
              <w:rPr>
                <w:rFonts w:hint="default" w:ascii="Calibri" w:hAnsi="Calibri" w:cs="Calibri"/>
                <w:color w:val="5B9BD5"/>
                <w:sz w:val="24"/>
                <w:szCs w:val="24"/>
              </w:rPr>
              <w:t> </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Downgrade Compatibility Matrix for Downgrading from 10.2.x</w:t>
            </w:r>
          </w:p>
          <w:tbl>
            <w:tblPr>
              <w:tblW w:w="0" w:type="auto"/>
              <w:tblInd w:w="0" w:type="dxa"/>
              <w:shd w:val="clear"/>
              <w:tblLayout w:type="autofit"/>
              <w:tblCellMar>
                <w:top w:w="0" w:type="dxa"/>
                <w:left w:w="0" w:type="dxa"/>
                <w:bottom w:w="0" w:type="dxa"/>
                <w:right w:w="0" w:type="dxa"/>
              </w:tblCellMar>
            </w:tblPr>
            <w:tblGrid>
              <w:gridCol w:w="4100"/>
              <w:gridCol w:w="4206"/>
            </w:tblGrid>
            <w:tr>
              <w:tblPrEx>
                <w:tblCellMar>
                  <w:top w:w="0" w:type="dxa"/>
                  <w:left w:w="0" w:type="dxa"/>
                  <w:bottom w:w="0" w:type="dxa"/>
                  <w:right w:w="0" w:type="dxa"/>
                </w:tblCellMar>
              </w:tblPrEx>
              <w:tc>
                <w:tcPr>
                  <w:tcW w:w="1097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 </w:t>
                  </w:r>
                </w:p>
              </w:tc>
              <w:tc>
                <w:tcPr>
                  <w:tcW w:w="10872"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Downgrade Possible to</w:t>
                  </w:r>
                </w:p>
              </w:tc>
            </w:tr>
            <w:tr>
              <w:tblPrEx>
                <w:shd w:val="clear"/>
                <w:tblCellMar>
                  <w:top w:w="0" w:type="dxa"/>
                  <w:left w:w="0" w:type="dxa"/>
                  <w:bottom w:w="0" w:type="dxa"/>
                  <w:right w:w="0" w:type="dxa"/>
                </w:tblCellMar>
              </w:tblPrEx>
              <w:tc>
                <w:tcPr>
                  <w:tcW w:w="1097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c>
                <w:tcPr>
                  <w:tcW w:w="1087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9.2.0.6.0 (or higher)</w:t>
                  </w:r>
                </w:p>
              </w:tc>
            </w:tr>
            <w:tr>
              <w:tblPrEx>
                <w:tblCellMar>
                  <w:top w:w="0" w:type="dxa"/>
                  <w:left w:w="0" w:type="dxa"/>
                  <w:bottom w:w="0" w:type="dxa"/>
                  <w:right w:w="0" w:type="dxa"/>
                </w:tblCellMar>
              </w:tblPrEx>
              <w:tc>
                <w:tcPr>
                  <w:tcW w:w="1097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10.2.x</w:t>
                  </w:r>
                </w:p>
              </w:tc>
              <w:tc>
                <w:tcPr>
                  <w:tcW w:w="1087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10.1.0.4.0 (or higher)</w:t>
                  </w:r>
                </w:p>
              </w:tc>
            </w:tr>
          </w:tbl>
          <w:p>
            <w:pPr>
              <w:pStyle w:val="4"/>
              <w:keepNext w:val="0"/>
              <w:keepLines w:val="0"/>
              <w:widowControl/>
              <w:suppressLineNumbers w:val="0"/>
              <w:spacing w:before="0" w:beforeAutospacing="0" w:after="0" w:afterAutospacing="0"/>
              <w:ind w:left="0" w:right="0"/>
              <w:jc w:val="center"/>
              <w:rPr>
                <w:rFonts w:hint="default" w:ascii="Tahoma" w:hAnsi="Tahoma" w:eastAsia="Tahoma" w:cs="Tahoma"/>
                <w:sz w:val="24"/>
                <w:szCs w:val="24"/>
              </w:rPr>
            </w:pP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"http://download.oracle.com/docs/cd/B19306_01/server.102/b14238/downgrade.htm /l i1010243" </w:instrText>
            </w:r>
            <w:r>
              <w:fldChar w:fldCharType="separate"/>
            </w:r>
            <w:r>
              <w:rPr>
                <w:rStyle w:val="7"/>
                <w:rFonts w:hint="default" w:ascii="Tahoma" w:hAnsi="Tahoma" w:eastAsia="Tahoma" w:cs="Tahoma"/>
                <w:color w:val="0000FF"/>
                <w:sz w:val="24"/>
                <w:szCs w:val="24"/>
                <w:u w:val="single"/>
              </w:rPr>
              <w:t>http://download.oracle.com/docs/cd/B19306_01/server.102/b14238/downgrade.htm#i1010243</w:t>
            </w:r>
            <w:r>
              <w:fldChar w:fldCharType="end"/>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br w:type="textWrapping"/>
            </w:r>
            <w:r>
              <w:rPr>
                <w:rFonts w:hint="default" w:ascii="Calibri" w:hAnsi="Calibri" w:cs="Calibri"/>
                <w:color w:val="5B9BD5"/>
                <w:sz w:val="24"/>
                <w:szCs w:val="24"/>
              </w:rPr>
              <w:t> </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Downgrade Compatibility Matrix for Downgrading from 10.1.x</w:t>
            </w:r>
          </w:p>
          <w:tbl>
            <w:tblPr>
              <w:tblW w:w="0" w:type="auto"/>
              <w:tblInd w:w="0" w:type="dxa"/>
              <w:shd w:val="clear"/>
              <w:tblLayout w:type="autofit"/>
              <w:tblCellMar>
                <w:top w:w="0" w:type="dxa"/>
                <w:left w:w="0" w:type="dxa"/>
                <w:bottom w:w="0" w:type="dxa"/>
                <w:right w:w="0" w:type="dxa"/>
              </w:tblCellMar>
            </w:tblPr>
            <w:tblGrid>
              <w:gridCol w:w="4085"/>
              <w:gridCol w:w="4221"/>
            </w:tblGrid>
            <w:tr>
              <w:tblPrEx>
                <w:shd w:val="clear"/>
                <w:tblCellMar>
                  <w:top w:w="0" w:type="dxa"/>
                  <w:left w:w="0" w:type="dxa"/>
                  <w:bottom w:w="0" w:type="dxa"/>
                  <w:right w:w="0" w:type="dxa"/>
                </w:tblCellMar>
              </w:tblPrEx>
              <w:tc>
                <w:tcPr>
                  <w:tcW w:w="11004"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10842"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Downgrade Possible to</w:t>
                  </w:r>
                </w:p>
              </w:tc>
            </w:tr>
            <w:tr>
              <w:tblPrEx>
                <w:shd w:val="clear"/>
                <w:tblCellMar>
                  <w:top w:w="0" w:type="dxa"/>
                  <w:left w:w="0" w:type="dxa"/>
                  <w:bottom w:w="0" w:type="dxa"/>
                  <w:right w:w="0" w:type="dxa"/>
                </w:tblCellMar>
              </w:tblPrEx>
              <w:tc>
                <w:tcPr>
                  <w:tcW w:w="1100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10.1.x</w:t>
                  </w:r>
                </w:p>
              </w:tc>
              <w:tc>
                <w:tcPr>
                  <w:tcW w:w="1084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9.2.0.4.0 (or higher)</w:t>
                  </w:r>
                </w:p>
              </w:tc>
            </w:tr>
          </w:tbl>
          <w:p>
            <w:pPr>
              <w:pStyle w:val="4"/>
              <w:keepNext w:val="0"/>
              <w:keepLines w:val="0"/>
              <w:widowControl/>
              <w:suppressLineNumbers w:val="0"/>
              <w:spacing w:before="0" w:beforeAutospacing="0" w:after="0" w:afterAutospacing="0"/>
              <w:ind w:left="0" w:right="0"/>
              <w:jc w:val="center"/>
              <w:rPr>
                <w:rFonts w:hint="default" w:ascii="Tahoma" w:hAnsi="Tahoma" w:eastAsia="Tahoma" w:cs="Tahoma"/>
                <w:sz w:val="24"/>
                <w:szCs w:val="24"/>
              </w:rPr>
            </w:pP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"http://download.oracle.com/docs/cd/B14117_01/server.101/b10763/downgrade.htm /l i1010243" </w:instrText>
            </w:r>
            <w:r>
              <w:fldChar w:fldCharType="separate"/>
            </w:r>
            <w:r>
              <w:rPr>
                <w:rStyle w:val="7"/>
                <w:rFonts w:hint="default" w:ascii="Tahoma" w:hAnsi="Tahoma" w:eastAsia="Tahoma" w:cs="Tahoma"/>
                <w:color w:val="0000FF"/>
                <w:sz w:val="24"/>
                <w:szCs w:val="24"/>
                <w:u w:val="single"/>
              </w:rPr>
              <w:t>http://download.oracle.com/docs/cd/B14117_01/server.101/b10763/downgrade.htm#i1010243</w:t>
            </w:r>
            <w:r>
              <w:fldChar w:fldCharType="end"/>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u w:val="single"/>
              </w:rPr>
              <w:t>Downgrade Compatibility Matrix for Downgrading from 9.2.x</w:t>
            </w:r>
          </w:p>
          <w:tbl>
            <w:tblPr>
              <w:tblW w:w="0" w:type="auto"/>
              <w:tblInd w:w="0" w:type="dxa"/>
              <w:shd w:val="clear"/>
              <w:tblLayout w:type="autofit"/>
              <w:tblCellMar>
                <w:top w:w="0" w:type="dxa"/>
                <w:left w:w="0" w:type="dxa"/>
                <w:bottom w:w="0" w:type="dxa"/>
                <w:right w:w="0" w:type="dxa"/>
              </w:tblCellMar>
            </w:tblPr>
            <w:tblGrid>
              <w:gridCol w:w="4080"/>
              <w:gridCol w:w="4226"/>
            </w:tblGrid>
            <w:tr>
              <w:tblPrEx>
                <w:tblCellMar>
                  <w:top w:w="0" w:type="dxa"/>
                  <w:left w:w="0" w:type="dxa"/>
                  <w:bottom w:w="0" w:type="dxa"/>
                  <w:right w:w="0" w:type="dxa"/>
                </w:tblCellMar>
              </w:tblPrEx>
              <w:tc>
                <w:tcPr>
                  <w:tcW w:w="10989"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Source Database</w:t>
                  </w:r>
                </w:p>
              </w:tc>
              <w:tc>
                <w:tcPr>
                  <w:tcW w:w="10857" w:type="dxa"/>
                  <w:tcBorders>
                    <w:top w:val="nil"/>
                    <w:left w:val="nil"/>
                    <w:bottom w:val="nil"/>
                    <w:right w:val="nil"/>
                  </w:tcBorders>
                  <w:shd w:val="clear" w:color="auto" w:fill="DEE6EF"/>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Downgrade Possible to</w:t>
                  </w:r>
                </w:p>
              </w:tc>
            </w:tr>
            <w:tr>
              <w:tblPrEx>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9.2.x</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9.0.1.3.0 (or higher)</w:t>
                  </w:r>
                </w:p>
              </w:tc>
            </w:tr>
            <w:tr>
              <w:tblPrEx>
                <w:shd w:val="clear"/>
                <w:tblCellMar>
                  <w:top w:w="0" w:type="dxa"/>
                  <w:left w:w="0" w:type="dxa"/>
                  <w:bottom w:w="0" w:type="dxa"/>
                  <w:right w:w="0" w:type="dxa"/>
                </w:tblCellMar>
              </w:tblPrEx>
              <w:tc>
                <w:tcPr>
                  <w:tcW w:w="1098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9.2.x</w:t>
                  </w:r>
                </w:p>
              </w:tc>
              <w:tc>
                <w:tcPr>
                  <w:tcW w:w="1085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8.1.7.3.0 (or higher)</w:t>
                  </w:r>
                </w:p>
              </w:tc>
            </w:tr>
          </w:tbl>
          <w:p>
            <w:pPr>
              <w:pStyle w:val="4"/>
              <w:keepNext w:val="0"/>
              <w:keepLines w:val="0"/>
              <w:widowControl/>
              <w:suppressLineNumbers w:val="0"/>
              <w:spacing w:before="0" w:beforeAutospacing="0" w:after="0" w:afterAutospacing="0"/>
              <w:ind w:left="0" w:right="0"/>
              <w:jc w:val="center"/>
              <w:rPr>
                <w:rFonts w:hint="default" w:ascii="Tahoma" w:hAnsi="Tahoma" w:eastAsia="Tahoma" w:cs="Tahoma"/>
                <w:sz w:val="24"/>
                <w:szCs w:val="24"/>
              </w:rPr>
            </w:pPr>
            <w:r>
              <w:rPr>
                <w:rFonts w:hint="default" w:ascii="Tahoma" w:hAnsi="Tahoma" w:eastAsia="Tahoma" w:cs="Tahoma"/>
                <w:sz w:val="24"/>
                <w:szCs w:val="24"/>
              </w:rPr>
              <w:t>For more information, refer to the following link :</w:t>
            </w:r>
          </w:p>
          <w:p>
            <w:pPr>
              <w:pStyle w:val="4"/>
              <w:keepNext w:val="0"/>
              <w:keepLines w:val="0"/>
              <w:widowControl/>
              <w:suppressLineNumbers w:val="0"/>
              <w:spacing w:before="0" w:beforeAutospacing="0" w:after="0" w:afterAutospacing="0"/>
              <w:ind w:left="0" w:right="0"/>
              <w:jc w:val="center"/>
            </w:pPr>
            <w:r>
              <w:fldChar w:fldCharType="begin"/>
            </w:r>
            <w:r>
              <w:instrText xml:space="preserve"> HYPERLINK "http://download.oracle.com/docs/cd/B10501_01/server.920/a96530/downgrad.htm /l 1008177 " </w:instrText>
            </w:r>
            <w:r>
              <w:fldChar w:fldCharType="separate"/>
            </w:r>
            <w:r>
              <w:rPr>
                <w:rStyle w:val="7"/>
                <w:rFonts w:hint="default" w:ascii="Tahoma" w:hAnsi="Tahoma" w:eastAsia="Tahoma" w:cs="Tahoma"/>
                <w:color w:val="0000FF"/>
                <w:sz w:val="24"/>
                <w:szCs w:val="24"/>
                <w:u w:val="single"/>
              </w:rPr>
              <w:t>http://download.oracle.com/docs/cd/B10501_01/server.920/a96530/downgrad.htm#1008177</w:t>
            </w:r>
            <w:r>
              <w:fldChar w:fldCharType="end"/>
            </w:r>
          </w:p>
          <w:p>
            <w:pPr>
              <w:pStyle w:val="4"/>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4"/>
                <w:szCs w:val="24"/>
              </w:rPr>
              <w:t>NOTE</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1 : If you have applied a patchset since upgrading then it will not be possible to downgrade.</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For example: If you upgraded from 9.2.0.6 to 10.2.0.1 and then applied the 10.2.0.3 patchset, then you cannot downgrade from 10.2.0.3 to 9.2.0.6.  (You can only downgrade from 10.2.0.3 to 9.2.0.6 if you upgraded from 9.2.0.6 to 10.2.0.3)</w:t>
            </w:r>
          </w:p>
          <w:p>
            <w:pPr>
              <w:pStyle w:val="4"/>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4"/>
                <w:szCs w:val="24"/>
              </w:rPr>
              <w:t>2 : You can only downgrade to a version if you previously upgraded from that version.</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For example: You can downgrade an 11.1.0.6 database to 10.2.0.3 only if you upgraded the database from 10.2.3.  If you created a new 11.1.0.6 database, then you cannot downgrade the database to 10.2.0.3.  Also, if you upgraded directly from 9.2.0.8 to 11.1.0.6, then you cannot downgrade to 10.2.0.3 since you did not upgrade from 10.2.0.3.</w:t>
            </w:r>
          </w:p>
          <w:p>
            <w:pPr>
              <w:pStyle w:val="4"/>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4"/>
                <w:szCs w:val="24"/>
              </w:rPr>
              <w:t>3 : You cannot downgrade if the database parameter COMPATIBLE was ever set higher than the version you upgraded from.</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For example: If you upgraded from 10.2.0.3 to 11.1.0.6, then after the upgrade set COMPATIBLE to 11.1.0.6, then no downgrade is possible.  Also, if you upgraded directly from 9.2.0.8 to 11.1.0.6, then after upgrade set COMPATIBLE to 10.2.0.1, then no downgrade is possible.</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4 : You cannot upgrade database binaries from one major release to another.</w:t>
            </w:r>
          </w:p>
          <w:p>
            <w:pPr>
              <w:pStyle w:val="4"/>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For example : You cannot upgrade the binaries from 10.1.0.2.0 to 10.2.0.1.0. Major releases must be installed in a separate oracle home. You cannot install 10.2.0.x on any other major release to upgrade the oracle home.</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E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525037553373539%26id=551141.1%26_adf.ctrl-state=mq6c2j97r_72%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2021-01-27T02:26:42Z</dcterms:created>
  <dc:creator>xians</dc:creator>
  <cp:lastModifiedBy>Chris</cp:lastModifiedBy>
  <dcterms:modified xsi:type="dcterms:W3CDTF">2021-01-27T02:26:58Z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