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11740" w:type="dxa"/>
            <w:tcBorders>
              <w:top w:val="nil"/>
              <w:left w:val="nil"/>
              <w:bottom w:val="nil"/>
              <w:right w:val="nil"/>
            </w:tcBorders>
            <w:shd w:val="clear"/>
            <w:tcMar>
              <w:top w:w="40" w:type="dxa"/>
              <w:left w:w="60" w:type="dxa"/>
              <w:bottom w:w="40" w:type="dxa"/>
              <w:right w:w="60" w:type="dxa"/>
            </w:tcMar>
            <w:vAlign w:val="top"/>
          </w:tcPr>
          <w:tbl>
            <w:tblPr>
              <w:tblW w:w="0" w:type="auto"/>
              <w:tblInd w:w="0" w:type="dxa"/>
              <w:shd w:val="clear"/>
              <w:tblLayout w:type="autofit"/>
              <w:tblCellMar>
                <w:top w:w="0" w:type="dxa"/>
                <w:left w:w="0" w:type="dxa"/>
                <w:bottom w:w="0" w:type="dxa"/>
                <w:right w:w="0" w:type="dxa"/>
              </w:tblCellMar>
            </w:tblPr>
            <w:tblGrid>
              <w:gridCol w:w="8306"/>
            </w:tblGrid>
            <w:tr>
              <w:tblPrEx>
                <w:shd w:val="clear"/>
              </w:tblPrEx>
              <w:tc>
                <w:tcPr>
                  <w:tcW w:w="11625" w:type="dxa"/>
                  <w:tcBorders>
                    <w:top w:val="nil"/>
                    <w:left w:val="nil"/>
                    <w:bottom w:val="nil"/>
                    <w:right w:val="nil"/>
                  </w:tcBorders>
                  <w:shd w:val="clear"/>
                  <w:tcMar>
                    <w:top w:w="40" w:type="dxa"/>
                    <w:left w:w="60" w:type="dxa"/>
                    <w:bottom w:w="40" w:type="dxa"/>
                    <w:right w:w="60" w:type="dxa"/>
                  </w:tcMar>
                  <w:vAlign w:val="top"/>
                </w:tcPr>
                <w:tbl>
                  <w:tblPr>
                    <w:tblW w:w="0" w:type="auto"/>
                    <w:tblInd w:w="0" w:type="dxa"/>
                    <w:shd w:val="clear"/>
                    <w:tblLayout w:type="autofit"/>
                    <w:tblCellMar>
                      <w:top w:w="0" w:type="dxa"/>
                      <w:left w:w="0" w:type="dxa"/>
                      <w:bottom w:w="0" w:type="dxa"/>
                      <w:right w:w="0" w:type="dxa"/>
                    </w:tblCellMar>
                  </w:tblPr>
                  <w:tblGrid>
                    <w:gridCol w:w="6489"/>
                    <w:gridCol w:w="1135"/>
                    <w:gridCol w:w="562"/>
                  </w:tblGrid>
                  <w:tr>
                    <w:tblPrEx>
                      <w:shd w:val="clear"/>
                      <w:tblCellMar>
                        <w:top w:w="0" w:type="dxa"/>
                        <w:left w:w="0" w:type="dxa"/>
                        <w:bottom w:w="0" w:type="dxa"/>
                        <w:right w:w="0" w:type="dxa"/>
                      </w:tblCellMar>
                    </w:tblPrEx>
                    <w:tc>
                      <w:tcPr>
                        <w:tcW w:w="8880"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rPr>
                          <w:t>Do Patchset Updates (PSU's) Change the Oracle Release Version/Fifth Digit? (Doc ID 861152.1)</w:t>
                        </w:r>
                      </w:p>
                    </w:tc>
                    <w:tc>
                      <w:tcPr>
                        <w:tcW w:w="1292"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"https://support.oracle.com/epmos/faces/DocumentDisplay?_afrLoop=351945880680621&amp;id=861152.1&amp;_adf.ctrl-state=89vkle9by_208" </w:instrText>
                        </w:r>
                        <w:r>
                          <w:rPr>
                            <w:rFonts w:hint="default" w:ascii="Calibri" w:hAnsi="Calibri" w:cs="Calibri"/>
                            <w:sz w:val="22"/>
                            <w:szCs w:val="22"/>
                          </w:rPr>
                          <w:fldChar w:fldCharType="separate"/>
                        </w:r>
                        <w:r>
                          <w:rPr>
                            <w:rStyle w:val="6"/>
                            <w:rFonts w:hint="default" w:ascii="Calibri" w:hAnsi="Calibri" w:cs="Calibri"/>
                            <w:sz w:val="22"/>
                            <w:szCs w:val="22"/>
                          </w:rPr>
                          <w:t>To Bottom</w:t>
                        </w:r>
                        <w:r>
                          <w:rPr>
                            <w:rFonts w:hint="default" w:ascii="Calibri" w:hAnsi="Calibri" w:cs="Calibri"/>
                            <w:sz w:val="22"/>
                            <w:szCs w:val="22"/>
                          </w:rPr>
                          <w:fldChar w:fldCharType="end"/>
                        </w:r>
                      </w:p>
                    </w:tc>
                    <w:tc>
                      <w:tcPr>
                        <w:tcW w:w="593"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pPr>
                  <w:r>
                    <w:drawing>
                      <wp:inline distT="0" distB="0" distL="114300" distR="114300">
                        <wp:extent cx="123825" cy="571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186"/>
                  </w:tblGrid>
                  <w:tr>
                    <w:tblPrEx>
                      <w:shd w:val="clear"/>
                      <w:tblCellMar>
                        <w:top w:w="0" w:type="dxa"/>
                        <w:left w:w="0" w:type="dxa"/>
                        <w:bottom w:w="0" w:type="dxa"/>
                        <w:right w:w="0" w:type="dxa"/>
                      </w:tblCellMar>
                    </w:tblPrEx>
                    <w:tc>
                      <w:tcPr>
                        <w:tcW w:w="11462"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In this Document</w:t>
                        </w:r>
                        <w:r>
                          <w:rPr>
                            <w:rFonts w:hint="default" w:ascii="Calibri" w:hAnsi="Calibri" w:cs="Calibri"/>
                            <w:b/>
                            <w:color w:val="000000"/>
                            <w:sz w:val="22"/>
                            <w:szCs w:val="22"/>
                          </w:rPr>
                          <w:br w:type="textWrapping"/>
                        </w:r>
                        <w:r>
                          <w:rPr>
                            <w:rFonts w:hint="default" w:ascii="Calibri" w:hAnsi="Calibri" w:cs="Calibri"/>
                            <w:color w:val="000000"/>
                            <w:sz w:val="22"/>
                            <w:szCs w:val="22"/>
                          </w:rPr>
                          <w:t> </w:t>
                        </w: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799"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"https://support.oracle.com/epmos/faces/DocumentDisplay?_afrLoop=351945880680621&amp;id=861152.1&amp;_adf.ctrl-state=89vkle9by_208" \l "GOAL" </w:instrText>
                              </w:r>
                              <w:r>
                                <w:rPr>
                                  <w:rFonts w:hint="default" w:ascii="Calibri" w:hAnsi="Calibri" w:cs="Calibri"/>
                                  <w:sz w:val="22"/>
                                  <w:szCs w:val="22"/>
                                </w:rPr>
                                <w:fldChar w:fldCharType="separate"/>
                              </w:r>
                              <w:r>
                                <w:rPr>
                                  <w:rStyle w:val="6"/>
                                  <w:rFonts w:hint="default" w:ascii="Calibri" w:hAnsi="Calibri" w:cs="Calibri"/>
                                  <w:sz w:val="22"/>
                                  <w:szCs w:val="22"/>
                                </w:rPr>
                                <w:t>Goal</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978"/>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978"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"https://support.oracle.com/epmos/faces/DocumentDisplay?_afrLoop=351945880680621&amp;id=861152.1&amp;_adf.ctrl-state=89vkle9by_208" \l "FIX" </w:instrText>
                              </w:r>
                              <w:r>
                                <w:rPr>
                                  <w:rFonts w:hint="default" w:ascii="Calibri" w:hAnsi="Calibri" w:cs="Calibri"/>
                                  <w:sz w:val="22"/>
                                  <w:szCs w:val="22"/>
                                </w:rPr>
                                <w:fldChar w:fldCharType="separate"/>
                              </w:r>
                              <w:r>
                                <w:rPr>
                                  <w:rStyle w:val="6"/>
                                  <w:rFonts w:hint="default" w:ascii="Calibri" w:hAnsi="Calibri" w:cs="Calibri"/>
                                  <w:sz w:val="22"/>
                                  <w:szCs w:val="22"/>
                                </w:rPr>
                                <w:t>Solution</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2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235" w:type="dxa"/>
                              <w:tcBorders>
                                <w:top w:val="nil"/>
                                <w:left w:val="nil"/>
                                <w:bottom w:val="nil"/>
                                <w:right w:val="nil"/>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"https://support.oracle.com/epmos/faces/DocumentDisplay?_afrLoop=351945880680621&amp;id=861152.1&amp;_adf.ctrl-state=89vkle9by_208" \l "REF" </w:instrText>
                              </w:r>
                              <w:r>
                                <w:rPr>
                                  <w:rFonts w:hint="default" w:ascii="Calibri" w:hAnsi="Calibri" w:cs="Calibri"/>
                                  <w:sz w:val="22"/>
                                  <w:szCs w:val="22"/>
                                </w:rPr>
                                <w:fldChar w:fldCharType="separate"/>
                              </w:r>
                              <w:r>
                                <w:rPr>
                                  <w:rStyle w:val="6"/>
                                  <w:rFonts w:hint="default" w:ascii="Calibri" w:hAnsi="Calibri" w:cs="Calibri"/>
                                  <w:sz w:val="22"/>
                                  <w:szCs w:val="22"/>
                                </w:rPr>
                                <w:t>References</w:t>
                              </w:r>
                              <w:r>
                                <w:rPr>
                                  <w:rFonts w:hint="default" w:ascii="Calibri" w:hAnsi="Calibri" w:cs="Calibri"/>
                                  <w:sz w:val="22"/>
                                  <w:szCs w:val="22"/>
                                </w:rPr>
                                <w:fldChar w:fldCharType="end"/>
                              </w:r>
                            </w:p>
                          </w:tc>
                        </w:tr>
                      </w:tbl>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Applies to:</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Oracle Database - Enterprise Edition - Version 10.2.0.4 to 12.1.0.2 [Release 10.2 to 12.1]</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Information in this document applies to any platform.</w:t>
                        </w:r>
                        <w:r>
                          <w:rPr>
                            <w:rFonts w:hint="default" w:ascii="Calibri" w:hAnsi="Calibri" w:cs="Calibri"/>
                            <w:color w:val="000000"/>
                            <w:sz w:val="22"/>
                            <w:szCs w:val="22"/>
                          </w:rPr>
                          <w:br w:type="textWrapping"/>
                        </w:r>
                        <w:r>
                          <w:rPr>
                            <w:rFonts w:hint="default" w:ascii="Calibri" w:hAnsi="Calibri" w:cs="Calibri"/>
                            <w:color w:val="000000"/>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Goal</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This article helps to find whether  PSU released for Oracle Database Server 10gR2  ( 10.2.0.x  ) and 11gR1 (11.1.0.x) ,11g R2  (11.2.0.x )  and 12c R1 (12.1.0.1) change the database version.</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Solution</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Do Patchset Updates (PSU's) Change the Oracle Release Version/Fifth Digit?</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Answer: NO.</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The PSU  i.e 10.2.0.4.x or higher , 11.1.0.7.x  and 11.2.0.1.x or higher and 12.1.0.x released for Oracle Database Server version 10.2.0.4.x or higher  , 11.1..0.7.0 ,11.2.0.1 or higher and 12.1.0.x   respectively does NOT change the database version . That means PSU  10.2.0.4.x /10.2.0.5.x, 11.1.0.7.x, 11.2.0.1.x /11.2.0.2.x/11.2.0.3.x/11.2.0.4.x and 12.1.0.1. x  ( where x is the fifth digit ) does NOT change the 5th digit of the Oracle Database Server version.</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After applying the PSU "opatch lsinventory" still shows the version as 10.2.0.4.0/10.2.0.5.0 for Oracle 10g R2, 11.1.0.7 for Oracle 11g R1 , 11.2.0.1 /11.2.0.2/11.2.0.3/11.2.0.4 for Oracle 11g R2 and 12.1.0.1 for Oracle 12c R1</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PSU's also will not change the version of oracle binaries (like sqlplus, exp/imp etc.)</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Note : It is also applicable for the Oracle Enterprise Manager Grid Control and EM Agent</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Although Patch Set Updates are referenced by their 5-place version number, with the 10.2 , 11.1 and 11.2  PSUs the product banners and Oracle Universal Installer (OUI) information are not updated with the new version number. For the 10.2 ,11.1 ,11.2 and 12.1 PSUs, use the OPatch inventory information to determine the PSU version currently installed.</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example:</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&gt; opatch lsinventory</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And compare it to the version table listed in</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"https://support.oracle.com/epmos/faces/DocumentDisplay?parent=DOCUMENT&amp;sourceId=861152.1&amp;id=854428.1" </w:instrText>
                        </w:r>
                        <w:r>
                          <w:rPr>
                            <w:rFonts w:hint="default" w:ascii="Calibri" w:hAnsi="Calibri" w:cs="Calibri"/>
                            <w:sz w:val="22"/>
                            <w:szCs w:val="22"/>
                          </w:rPr>
                          <w:fldChar w:fldCharType="separate"/>
                        </w:r>
                        <w:r>
                          <w:rPr>
                            <w:rStyle w:val="6"/>
                            <w:rFonts w:hint="default" w:ascii="Calibri" w:hAnsi="Calibri" w:cs="Calibri"/>
                            <w:color w:val="000000"/>
                            <w:sz w:val="22"/>
                            <w:szCs w:val="22"/>
                          </w:rPr>
                          <w:t>Note 854428.1</w:t>
                        </w:r>
                        <w:r>
                          <w:rPr>
                            <w:rFonts w:hint="default" w:ascii="Calibri" w:hAnsi="Calibri" w:cs="Calibri"/>
                            <w:sz w:val="22"/>
                            <w:szCs w:val="22"/>
                          </w:rPr>
                          <w:fldChar w:fldCharType="end"/>
                        </w:r>
                        <w:r>
                          <w:rPr>
                            <w:rFonts w:hint="default" w:ascii="Calibri" w:hAnsi="Calibri" w:cs="Calibri"/>
                            <w:color w:val="000000"/>
                            <w:sz w:val="22"/>
                            <w:szCs w:val="22"/>
                          </w:rPr>
                          <w:t> Patch Set Updates for Oracle Products</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Section 7, "Determining the Patch Set Update Version"</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1. Make sure your opatch version is at or above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rPr>
                          <w:t>10.2.0.5.1 for version 10.2 ORACLE_HOMEs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rPr>
                          <w:t>11.1.0.12.9 for version 11.1 ORACLE_HOMEs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rPr>
                          <w:t>11.2.0.3.15 for version 11.2 ORACLE_HOMEs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rPr>
                          <w:t>12.2.0.1.8 for version 12.1 ORACLE_HOMEs</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 opatch version</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Invoking OPatch 10.2.0.4.8</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OPatch Version: 10.2.0.4.8</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2. Verify if PSU is installed in the ORACLE_HOME</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 opatch lsinventory -bugs_fixed | egrep 'PSU|PATCH SET UPDATE'</w:t>
                        </w:r>
                        <w:r>
                          <w:rPr>
                            <w:rFonts w:hint="default" w:ascii="Calibri" w:hAnsi="Calibri" w:cs="Calibri"/>
                            <w:b/>
                            <w:color w:val="000000"/>
                            <w:sz w:val="22"/>
                            <w:szCs w:val="22"/>
                          </w:rPr>
                          <w:br w:type="textWrapping"/>
                        </w:r>
                        <w:r>
                          <w:rPr>
                            <w:rFonts w:hint="default" w:ascii="Calibri" w:hAnsi="Calibri" w:cs="Calibri"/>
                            <w:b/>
                            <w:color w:val="000000"/>
                            <w:sz w:val="22"/>
                            <w:szCs w:val="22"/>
                          </w:rPr>
                          <w:br w:type="textWrapping"/>
                        </w:r>
                        <w:r>
                          <w:rPr>
                            <w:rFonts w:hint="default" w:ascii="Calibri" w:hAnsi="Calibri" w:cs="Calibri"/>
                            <w:b/>
                            <w:color w:val="000000"/>
                            <w:sz w:val="22"/>
                            <w:szCs w:val="22"/>
                          </w:rPr>
                          <w:t xml:space="preserve"> ...</w:t>
                        </w:r>
                        <w:r>
                          <w:rPr>
                            <w:rFonts w:hint="default" w:ascii="Calibri" w:hAnsi="Calibri" w:cs="Calibri"/>
                            <w:b/>
                            <w:color w:val="000000"/>
                            <w:sz w:val="22"/>
                            <w:szCs w:val="22"/>
                          </w:rPr>
                          <w:br w:type="textWrapping"/>
                        </w:r>
                        <w:r>
                          <w:rPr>
                            <w:rFonts w:hint="default" w:ascii="Calibri" w:hAnsi="Calibri" w:cs="Calibri"/>
                            <w:b/>
                            <w:color w:val="000000"/>
                            <w:sz w:val="22"/>
                            <w:szCs w:val="22"/>
                          </w:rPr>
                          <w:t>12827740 13343461 Wed Feb 22 07:11:36 GMT 2012 DATABASE PSU 11.1.0.7.9 (INCLUDES CPUOCT2011)</w:t>
                        </w:r>
                        <w:r>
                          <w:rPr>
                            <w:rFonts w:hint="default" w:ascii="Calibri" w:hAnsi="Calibri" w:cs="Calibri"/>
                            <w:b/>
                            <w:color w:val="000000"/>
                            <w:sz w:val="22"/>
                            <w:szCs w:val="22"/>
                          </w:rPr>
                          <w:br w:type="textWrapping"/>
                        </w:r>
                        <w:r>
                          <w:rPr>
                            <w:rFonts w:hint="default" w:ascii="Calibri" w:hAnsi="Calibri" w:cs="Calibri"/>
                            <w:b/>
                            <w:color w:val="000000"/>
                            <w:sz w:val="22"/>
                            <w:szCs w:val="22"/>
                          </w:rPr>
                          <w:t xml:space="preserve"> 13343461 13343461 Wed Feb 22 07:11:36 GMT 2012 DATABASE PATCH SET UPDATE 11.1.0.7.10 (INCLUDES</w:t>
                        </w:r>
                        <w:r>
                          <w:rPr>
                            <w:rFonts w:hint="default" w:ascii="Calibri" w:hAnsi="Calibri" w:cs="Calibri"/>
                            <w:b/>
                            <w:color w:val="000000"/>
                            <w:sz w:val="22"/>
                            <w:szCs w:val="22"/>
                          </w:rPr>
                          <w:br w:type="textWrapping"/>
                        </w:r>
                        <w:r>
                          <w:rPr>
                            <w:rFonts w:hint="default" w:ascii="Calibri" w:hAnsi="Calibri" w:cs="Calibri"/>
                            <w:b/>
                            <w:color w:val="000000"/>
                            <w:sz w:val="22"/>
                            <w:szCs w:val="22"/>
                          </w:rPr>
                          <w:br w:type="textWrapping"/>
                        </w:r>
                        <w:r>
                          <w:rPr>
                            <w:rFonts w:hint="default" w:ascii="Calibri" w:hAnsi="Calibri" w:cs="Calibri"/>
                            <w:b/>
                            <w:color w:val="000000"/>
                            <w:sz w:val="22"/>
                            <w:szCs w:val="22"/>
                          </w:rPr>
                          <w:br w:type="textWrapping"/>
                        </w:r>
                        <w:r>
                          <w:rPr>
                            <w:rFonts w:hint="default" w:ascii="Calibri" w:hAnsi="Calibri" w:cs="Calibri"/>
                            <w:color w:val="000000"/>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3. Verify the PSU Post Install steps were run in the DB</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select substr(action_time,1,30) action_time,</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substr(id,1,10) id,</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substr(action,1,10) action,</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substr(version,1,8) version,</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substr(BUNDLE_SERIES,1,6) bundle,</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substr(comments,1,20) comments</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from registry$history;</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ACTION_TIME                  ID ACTION VERSION  BUNDLE COMMENTS</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 -- ------ -------- ------ --------------</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23-AUG-10 07.28.02.856762 AM 4  APPLY  10.2.0.4 PSU    PSU 10.2.0.4.3</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23-AUG-10 07.31.48.001892 AM 1  APPLY  10.2.0.4 PSU    PSU 10.2.0.4.4</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For Oracle database server 12c R1 and later</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select PATCH_ID,ACTION,STATUS,ACTION_TIME,DESCRIPTION from registry$sqlpatch;</w:t>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For Windows</w:t>
                        </w:r>
                        <w:r>
                          <w:rPr>
                            <w:rFonts w:hint="default" w:ascii="Calibri" w:hAnsi="Calibri" w:cs="Calibri"/>
                            <w:sz w:val="22"/>
                            <w:szCs w:val="22"/>
                          </w:rPr>
                          <w:t xml:space="preserve"> : You get the output as mentioned below</w:t>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Example output :</w:t>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ACTION_TIME                    ID ACTION VERSION  BUNDLE COMMENTS</w:t>
                        </w:r>
                        <w:r>
                          <w:rPr>
                            <w:rFonts w:hint="default" w:ascii="Calibri" w:hAnsi="Calibri" w:cs="Calibri"/>
                            <w:sz w:val="22"/>
                            <w:szCs w:val="22"/>
                          </w:rPr>
                          <w:br w:type="textWrapping"/>
                        </w:r>
                        <w:r>
                          <w:rPr>
                            <w:rFonts w:hint="default" w:ascii="Calibri" w:hAnsi="Calibri" w:cs="Calibri"/>
                            <w:sz w:val="22"/>
                            <w:szCs w:val="22"/>
                          </w:rPr>
                          <w:t xml:space="preserve"> ----------------------------   -- ------ -------- ------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30-JUL-12 10.28.44.656000 PM               20   APPLY     11.2.0.2    WINBUN      Patch 20</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For Oracle database server 12c R1 and later</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SQL&gt; select PATCH_ID,ACTION,STATUS,ACTION_TIME,DESCRIPTION from registry$sqlpatch;</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PATCH_ID  ACTION    STATUS       ACTION_TIME                    DESCRIPTION</w:t>
                        </w:r>
                        <w:r>
                          <w:rPr>
                            <w:rFonts w:hint="default" w:ascii="Calibri" w:hAnsi="Calibri" w:cs="Calibri"/>
                            <w:sz w:val="22"/>
                            <w:szCs w:val="22"/>
                          </w:rPr>
                          <w:br w:type="textWrapping"/>
                        </w:r>
                        <w:r>
                          <w:rPr>
                            <w:rFonts w:hint="default" w:ascii="Calibri" w:hAnsi="Calibri" w:cs="Calibri"/>
                            <w:sz w:val="22"/>
                            <w:szCs w:val="22"/>
                          </w:rPr>
                          <w:t xml:space="preserve"> ---------- --------- -------      ------------              -----------------------</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19542943 APPLY   SUCCESS   30-OCT-14 11.31.36.948000 PM         bundle:PSU</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Note: The registry$history will not contain the row showing the PSU Post Install step was executed unless catbundle.sql is executed.  This means if the Post Install steps were skipped because the db was upgraded or created after installing the PSU, this row will not exist</w:t>
                        </w:r>
                      </w:p>
                    </w:tc>
                  </w:tr>
                </w:tbl>
                <w:p>
                  <w:pPr>
                    <w:spacing w:before="0" w:beforeAutospacing="0" w:after="0" w:afterAutospacing="0"/>
                    <w:ind w:left="0" w:right="0"/>
                    <w:textAlignment w:val="top"/>
                  </w:pPr>
                </w:p>
              </w:tc>
            </w:tr>
          </w:tbl>
          <w:p>
            <w:pPr>
              <w:textAlignment w:val="top"/>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ED52C0"/>
    <w:multiLevelType w:val="multilevel"/>
    <w:tmpl w:val="BFED52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497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support.oracle.com/epmos/faces/DocumentDisplay?_afrLoop=351945880680621%26id=861152.1%26_adf.ctrl-state=89vkle9by_208"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2021-01-27T02:06:24Z</dcterms:created>
  <dc:creator>xians</dc:creator>
  <cp:lastModifiedBy>Chris</cp:lastModifiedBy>
  <dcterms:modified xsi:type="dcterms:W3CDTF">2021-01-27T02:06:31Z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