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shd w:val="clear"/>
        <w:tblLayout w:type="autofit"/>
        <w:tblCellMar>
          <w:top w:w="0" w:type="dxa"/>
          <w:left w:w="0" w:type="dxa"/>
          <w:bottom w:w="0" w:type="dxa"/>
          <w:right w:w="0" w:type="dxa"/>
        </w:tblCellMar>
      </w:tblPr>
      <w:tblGrid>
        <w:gridCol w:w="6911"/>
        <w:gridCol w:w="945"/>
        <w:gridCol w:w="570"/>
      </w:tblGrid>
      <w:tr>
        <w:tblPrEx>
          <w:shd w:val="clear"/>
          <w:tblCellMar>
            <w:top w:w="0" w:type="dxa"/>
            <w:left w:w="0" w:type="dxa"/>
            <w:bottom w:w="0" w:type="dxa"/>
            <w:right w:w="0" w:type="dxa"/>
          </w:tblCellMar>
        </w:tblPrEx>
        <w:tc>
          <w:tcPr>
            <w:tcW w:w="1764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ascii="Calibri" w:hAnsi="Calibri" w:cs="Calibri"/>
                <w:color w:val="000000"/>
                <w:sz w:val="22"/>
                <w:szCs w:val="22"/>
              </w:rPr>
            </w:pPr>
            <w:r>
              <w:rPr>
                <w:rFonts w:hint="default" w:ascii="Calibri" w:hAnsi="Calibri" w:cs="Calibri"/>
                <w:b/>
                <w:color w:val="000000"/>
                <w:sz w:val="22"/>
                <w:szCs w:val="22"/>
              </w:rPr>
              <w:t>Migrating Databases using Instance Caging to a CDB (文档 ID 1567141.1)</w:t>
            </w:r>
          </w:p>
        </w:tc>
        <w:tc>
          <w:tcPr>
            <w:tcW w:w="203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"https://support.oracle.com/epmos/faces/DocumentDisplay?id=1567141.1&amp;_adf.ctrl-state=sd40kk4r4_72&amp;_afrLoop=250274384187571" </w:instrText>
            </w:r>
            <w:r>
              <w:rPr>
                <w:rFonts w:hint="default" w:ascii="Calibri" w:hAnsi="Calibri" w:cs="Calibri"/>
                <w:sz w:val="22"/>
                <w:szCs w:val="22"/>
              </w:rPr>
              <w:fldChar w:fldCharType="separate"/>
            </w:r>
            <w:r>
              <w:rPr>
                <w:rStyle w:val="7"/>
                <w:rFonts w:hint="default" w:ascii="Calibri" w:hAnsi="Calibri" w:cs="Calibri"/>
                <w:sz w:val="22"/>
                <w:szCs w:val="22"/>
              </w:rPr>
              <w:t>转到底部</w:t>
            </w:r>
            <w:r>
              <w:rPr>
                <w:rFonts w:hint="default" w:ascii="Calibri" w:hAnsi="Calibri" w:cs="Calibri"/>
                <w:sz w:val="22"/>
                <w:szCs w:val="22"/>
              </w:rPr>
              <w:fldChar w:fldCharType="end"/>
            </w:r>
          </w:p>
        </w:tc>
        <w:tc>
          <w:tcPr>
            <w:tcW w:w="709"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pPr>
            <w:r>
              <w:drawing>
                <wp:inline distT="0" distB="0" distL="114300" distR="114300">
                  <wp:extent cx="238125" cy="123825"/>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a:stretch>
                            <a:fillRect/>
                          </a:stretch>
                        </pic:blipFill>
                        <pic:spPr>
                          <a:xfrm>
                            <a:off x="0" y="0"/>
                            <a:ext cx="238125" cy="123825"/>
                          </a:xfrm>
                          <a:prstGeom prst="rect">
                            <a:avLst/>
                          </a:prstGeom>
                          <a:noFill/>
                          <a:ln w="9525">
                            <a:noFill/>
                          </a:ln>
                        </pic:spPr>
                      </pic:pic>
                    </a:graphicData>
                  </a:graphic>
                </wp:inline>
              </w:drawing>
            </w:r>
          </w:p>
        </w:tc>
      </w:tr>
    </w:tbl>
    <w:p>
      <w:pPr>
        <w:pStyle w:val="4"/>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4"/>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123825" cy="5715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123825" cy="57150"/>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426"/>
      </w:tblGrid>
      <w:tr>
        <w:tblPrEx>
          <w:shd w:val="clear"/>
          <w:tblCellMar>
            <w:top w:w="0" w:type="dxa"/>
            <w:left w:w="0" w:type="dxa"/>
            <w:bottom w:w="0" w:type="dxa"/>
            <w:right w:w="0" w:type="dxa"/>
          </w:tblCellMar>
        </w:tblPrEx>
        <w:tc>
          <w:tcPr>
            <w:tcW w:w="1101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b/>
                <w:color w:val="000000"/>
                <w:sz w:val="22"/>
                <w:szCs w:val="22"/>
              </w:rPr>
              <w:t>In this Document</w:t>
            </w:r>
            <w:r>
              <w:rPr>
                <w:rFonts w:hint="default" w:ascii="Calibri" w:hAnsi="Calibri" w:cs="Calibri"/>
                <w:b/>
                <w:color w:val="000000"/>
                <w:sz w:val="22"/>
                <w:szCs w:val="22"/>
              </w:rPr>
              <w:br w:type="textWrapping"/>
            </w:r>
            <w:r>
              <w:rPr>
                <w:rFonts w:hint="default" w:ascii="Calibri" w:hAnsi="Calibri" w:cs="Calibri"/>
                <w:color w:val="000000"/>
                <w:sz w:val="22"/>
                <w:szCs w:val="22"/>
              </w:rPr>
              <w:t> </w:t>
            </w:r>
          </w:p>
          <w:tbl>
            <w:tblPr>
              <w:tblW w:w="0" w:type="auto"/>
              <w:tblInd w:w="0" w:type="dxa"/>
              <w:shd w:val="clear"/>
              <w:tblLayout w:type="autofit"/>
              <w:tblCellMar>
                <w:top w:w="0" w:type="dxa"/>
                <w:left w:w="0" w:type="dxa"/>
                <w:bottom w:w="0" w:type="dxa"/>
                <w:right w:w="0" w:type="dxa"/>
              </w:tblCellMar>
            </w:tblPr>
            <w:tblGrid>
              <w:gridCol w:w="961"/>
              <w:gridCol w:w="972"/>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c>
                <w:tcPr>
                  <w:tcW w:w="972"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"https://support.oracle.com/epmos/faces/DocumentDisplay?id=1567141.1&amp;_adf.ctrl-state=sd40kk4r4_72&amp;_afrLoop=250274384187571" \l "REF_PURPOSE" </w:instrText>
                  </w:r>
                  <w:r>
                    <w:rPr>
                      <w:rFonts w:hint="default" w:ascii="Calibri" w:hAnsi="Calibri" w:cs="Calibri"/>
                      <w:sz w:val="22"/>
                      <w:szCs w:val="22"/>
                    </w:rPr>
                    <w:fldChar w:fldCharType="separate"/>
                  </w:r>
                  <w:r>
                    <w:rPr>
                      <w:rStyle w:val="7"/>
                      <w:rFonts w:hint="default" w:ascii="Calibri" w:hAnsi="Calibri" w:cs="Calibri"/>
                      <w:sz w:val="22"/>
                      <w:szCs w:val="22"/>
                    </w:rPr>
                    <w:t>Purpose</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850"/>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c>
                <w:tcPr>
                  <w:tcW w:w="850"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"https://support.oracle.com/epmos/faces/DocumentDisplay?id=1567141.1&amp;_adf.ctrl-state=sd40kk4r4_72&amp;_afrLoop=250274384187571" \l "REF_TEXT" </w:instrText>
                  </w:r>
                  <w:r>
                    <w:rPr>
                      <w:rFonts w:hint="default" w:ascii="Calibri" w:hAnsi="Calibri" w:cs="Calibri"/>
                      <w:sz w:val="22"/>
                      <w:szCs w:val="22"/>
                    </w:rPr>
                    <w:fldChar w:fldCharType="separate"/>
                  </w:r>
                  <w:r>
                    <w:rPr>
                      <w:rStyle w:val="7"/>
                      <w:rFonts w:hint="default" w:ascii="Calibri" w:hAnsi="Calibri" w:cs="Calibri"/>
                      <w:sz w:val="22"/>
                      <w:szCs w:val="22"/>
                    </w:rPr>
                    <w:t>Details</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3494"/>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3494"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"https://support.oracle.com/epmos/faces/DocumentDisplay?id=1567141.1&amp;_adf.ctrl-state=sd40kk4r4_72&amp;_afrLoop=250274384187571" \l "aref_section21" </w:instrText>
                  </w:r>
                  <w:r>
                    <w:rPr>
                      <w:rFonts w:hint="default" w:ascii="Calibri" w:hAnsi="Calibri" w:cs="Calibri"/>
                      <w:sz w:val="22"/>
                      <w:szCs w:val="22"/>
                    </w:rPr>
                    <w:fldChar w:fldCharType="separate"/>
                  </w:r>
                  <w:r>
                    <w:rPr>
                      <w:rStyle w:val="7"/>
                      <w:rFonts w:hint="default" w:ascii="Calibri" w:hAnsi="Calibri" w:cs="Calibri"/>
                      <w:sz w:val="22"/>
                      <w:szCs w:val="22"/>
                    </w:rPr>
                    <w:t>Monitoring and Tuning the CDB Plan</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2277"/>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2277"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"https://support.oracle.com/epmos/faces/DocumentDisplay?id=1567141.1&amp;_adf.ctrl-state=sd40kk4r4_72&amp;_afrLoop=250274384187571" \l "aref_section22" </w:instrText>
                  </w:r>
                  <w:r>
                    <w:rPr>
                      <w:rFonts w:hint="default" w:ascii="Calibri" w:hAnsi="Calibri" w:cs="Calibri"/>
                      <w:sz w:val="22"/>
                      <w:szCs w:val="22"/>
                    </w:rPr>
                    <w:fldChar w:fldCharType="separate"/>
                  </w:r>
                  <w:r>
                    <w:rPr>
                      <w:rStyle w:val="7"/>
                      <w:rFonts w:hint="default" w:ascii="Calibri" w:hAnsi="Calibri" w:cs="Calibri"/>
                      <w:sz w:val="22"/>
                      <w:szCs w:val="22"/>
                    </w:rPr>
                    <w:t>Additional Information</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123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c>
                <w:tcPr>
                  <w:tcW w:w="1235" w:type="dxa"/>
                  <w:tcBorders>
                    <w:top w:val="nil"/>
                    <w:left w:val="nil"/>
                    <w:bottom w:val="nil"/>
                    <w:right w:val="nil"/>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"https://support.oracle.com/epmos/faces/DocumentDisplay?id=1567141.1&amp;_adf.ctrl-state=sd40kk4r4_72&amp;_afrLoop=250274384187571" \l "REF" </w:instrText>
                  </w:r>
                  <w:r>
                    <w:rPr>
                      <w:rFonts w:hint="default" w:ascii="Calibri" w:hAnsi="Calibri" w:cs="Calibri"/>
                      <w:sz w:val="22"/>
                      <w:szCs w:val="22"/>
                    </w:rPr>
                    <w:fldChar w:fldCharType="separate"/>
                  </w:r>
                  <w:r>
                    <w:rPr>
                      <w:rStyle w:val="7"/>
                      <w:rFonts w:hint="default" w:ascii="Calibri" w:hAnsi="Calibri" w:cs="Calibri"/>
                      <w:sz w:val="22"/>
                      <w:szCs w:val="22"/>
                    </w:rPr>
                    <w:t>References</w:t>
                  </w:r>
                  <w:r>
                    <w:rPr>
                      <w:rFonts w:hint="default" w:ascii="Calibri" w:hAnsi="Calibri" w:cs="Calibri"/>
                      <w:sz w:val="22"/>
                      <w:szCs w:val="22"/>
                    </w:rPr>
                    <w:fldChar w:fldCharType="end"/>
                  </w:r>
                </w:p>
              </w:tc>
            </w:tr>
          </w:tbl>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rPr>
              <w:t>Purpose</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Pre-12c, many customers consolidated multiple database instances on a server and used Instance Caging to manage each database instance's CPU usage.  With 12c, a database instance can be converted into a pluggable database (PDB) and consolidated within a CDB.  The CDB Resource Plan can then be used to manage each PDB's CPU usage.  This document shows how to convert the Instance Caging configuration to a CDB resource plan.</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rPr>
              <w:t>Details</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color w:val="000000"/>
                <w:sz w:val="22"/>
                <w:szCs w:val="22"/>
              </w:rPr>
              <w:t xml:space="preserve">Instance Caging limits the number of CPUs that a database can use at any time.  The number of CPUs is specified by the cpu_count parameter and Instance Caging is enabled by turning on a resource manager plan.  Instance Caging is described in detail in MOS </w:t>
            </w: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"https://support.oracle.com/epmos/faces/DocumentDisplay?parent=DOCUMENT&amp;sourceId=1567141.1&amp;id=1362445.1" </w:instrText>
            </w:r>
            <w:r>
              <w:rPr>
                <w:rFonts w:hint="default" w:ascii="Calibri" w:hAnsi="Calibri" w:cs="Calibri"/>
                <w:sz w:val="22"/>
                <w:szCs w:val="22"/>
              </w:rPr>
              <w:fldChar w:fldCharType="separate"/>
            </w:r>
            <w:r>
              <w:rPr>
                <w:rStyle w:val="7"/>
                <w:rFonts w:hint="default" w:ascii="Calibri" w:hAnsi="Calibri" w:cs="Calibri"/>
                <w:color w:val="000000"/>
                <w:sz w:val="22"/>
                <w:szCs w:val="22"/>
              </w:rPr>
              <w:t>Document 1362445.1</w:t>
            </w:r>
            <w:r>
              <w:rPr>
                <w:rFonts w:hint="default" w:ascii="Calibri" w:hAnsi="Calibri" w:cs="Calibri"/>
                <w:sz w:val="22"/>
                <w:szCs w:val="22"/>
              </w:rPr>
              <w:fldChar w:fldCharType="end"/>
            </w:r>
            <w:r>
              <w:rPr>
                <w:rFonts w:hint="default" w:ascii="Calibri" w:hAnsi="Calibri" w:cs="Calibri"/>
                <w:color w:val="000000"/>
                <w:sz w:val="22"/>
                <w:szCs w:val="22"/>
              </w:rPr>
              <w:t>.</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Suppose that databases BLUE, RED, and YELLOW share a server with 24 CPUs.  Instance Caging is configured as follows.  Note that since the sum of the cpu_count parameters exceeds the number of CPUs, the server is over-subscribed and some CPU contention between the databases is expected.</w:t>
            </w:r>
          </w:p>
          <w:tbl>
            <w:tblPr>
              <w:tblW w:w="0" w:type="auto"/>
              <w:tblInd w:w="0" w:type="dxa"/>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autofit"/>
              <w:tblCellMar>
                <w:top w:w="0" w:type="dxa"/>
                <w:left w:w="0" w:type="dxa"/>
                <w:bottom w:w="0" w:type="dxa"/>
                <w:right w:w="0" w:type="dxa"/>
              </w:tblCellMar>
            </w:tblPr>
            <w:tblGrid>
              <w:gridCol w:w="997"/>
              <w:gridCol w:w="1081"/>
            </w:tblGrid>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97"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b/>
                      <w:sz w:val="22"/>
                      <w:szCs w:val="22"/>
                    </w:rPr>
                    <w:t>Database Name</w:t>
                  </w:r>
                </w:p>
              </w:tc>
              <w:tc>
                <w:tcPr>
                  <w:tcW w:w="87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b/>
                      <w:sz w:val="22"/>
                      <w:szCs w:val="22"/>
                    </w:rPr>
                    <w:t>cpu_count</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96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BLUE</w:t>
                  </w:r>
                </w:p>
              </w:tc>
              <w:tc>
                <w:tcPr>
                  <w:tcW w:w="807"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16</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6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RED</w:t>
                  </w:r>
                </w:p>
              </w:tc>
              <w:tc>
                <w:tcPr>
                  <w:tcW w:w="807"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8</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969"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YELLOW</w:t>
                  </w:r>
                </w:p>
              </w:tc>
              <w:tc>
                <w:tcPr>
                  <w:tcW w:w="807"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8</w:t>
                  </w:r>
                </w:p>
              </w:tc>
            </w:tr>
          </w:tbl>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To create the equivalent CDB Resource Plan, set each PDB's SHARE to its cpu_count value.  Set each PDB's utilization limit to cpu_count / num_cpus.</w:t>
            </w:r>
          </w:p>
          <w:tbl>
            <w:tblPr>
              <w:tblW w:w="0" w:type="auto"/>
              <w:tblInd w:w="0" w:type="dxa"/>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Layout w:type="autofit"/>
              <w:tblCellMar>
                <w:top w:w="0" w:type="dxa"/>
                <w:left w:w="0" w:type="dxa"/>
                <w:bottom w:w="0" w:type="dxa"/>
                <w:right w:w="0" w:type="dxa"/>
              </w:tblCellMar>
            </w:tblPr>
            <w:tblGrid>
              <w:gridCol w:w="2584"/>
              <w:gridCol w:w="2584"/>
              <w:gridCol w:w="2342"/>
            </w:tblGrid>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2584"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b/>
                      <w:sz w:val="22"/>
                      <w:szCs w:val="22"/>
                    </w:rPr>
                    <w:t>PDB Name</w:t>
                  </w:r>
                </w:p>
              </w:tc>
              <w:tc>
                <w:tcPr>
                  <w:tcW w:w="2584"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b/>
                      <w:sz w:val="22"/>
                      <w:szCs w:val="22"/>
                    </w:rPr>
                    <w:t>shares</w:t>
                  </w:r>
                </w:p>
              </w:tc>
              <w:tc>
                <w:tcPr>
                  <w:tcW w:w="2342"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jc w:val="center"/>
                    <w:rPr>
                      <w:rFonts w:hint="default" w:ascii="Calibri" w:hAnsi="Calibri" w:cs="Calibri"/>
                      <w:sz w:val="22"/>
                      <w:szCs w:val="22"/>
                    </w:rPr>
                  </w:pPr>
                  <w:r>
                    <w:rPr>
                      <w:rFonts w:hint="default" w:ascii="Calibri" w:hAnsi="Calibri" w:cs="Calibri"/>
                      <w:b/>
                      <w:sz w:val="22"/>
                      <w:szCs w:val="22"/>
                    </w:rPr>
                    <w:t>utilization_limit</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2584"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BLUE</w:t>
                  </w:r>
                </w:p>
              </w:tc>
              <w:tc>
                <w:tcPr>
                  <w:tcW w:w="2584"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16</w:t>
                  </w:r>
                </w:p>
              </w:tc>
              <w:tc>
                <w:tcPr>
                  <w:tcW w:w="2302"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66%</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2584"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RED</w:t>
                  </w:r>
                </w:p>
              </w:tc>
              <w:tc>
                <w:tcPr>
                  <w:tcW w:w="2584"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8</w:t>
                  </w:r>
                </w:p>
              </w:tc>
              <w:tc>
                <w:tcPr>
                  <w:tcW w:w="2302"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33%</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tblCellMar>
                  <w:top w:w="0" w:type="dxa"/>
                  <w:left w:w="0" w:type="dxa"/>
                  <w:bottom w:w="0" w:type="dxa"/>
                  <w:right w:w="0" w:type="dxa"/>
                </w:tblCellMar>
              </w:tblPrEx>
              <w:tc>
                <w:tcPr>
                  <w:tcW w:w="2584"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YELLOW</w:t>
                  </w:r>
                </w:p>
              </w:tc>
              <w:tc>
                <w:tcPr>
                  <w:tcW w:w="2584"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8</w:t>
                  </w:r>
                </w:p>
              </w:tc>
              <w:tc>
                <w:tcPr>
                  <w:tcW w:w="2302" w:type="dxa"/>
                  <w:tcBorders>
                    <w:top w:val="single" w:color="A3A3A3" w:sz="8" w:space="0"/>
                    <w:left w:val="single" w:color="A3A3A3" w:sz="8" w:space="0"/>
                    <w:bottom w:val="single" w:color="A3A3A3" w:sz="8" w:space="0"/>
                    <w:right w:val="single" w:color="A3A3A3" w:sz="8" w:space="0"/>
                  </w:tcBorders>
                  <w:shd w:val="clear"/>
                  <w:tcMar>
                    <w:top w:w="40" w:type="dxa"/>
                    <w:left w:w="60" w:type="dxa"/>
                    <w:bottom w:w="40" w:type="dxa"/>
                    <w:right w:w="6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33%</w:t>
                  </w:r>
                </w:p>
              </w:tc>
            </w:tr>
          </w:tbl>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The SHAREs specify the relative amount of CPU each PDB can use.  The UTILIZATION_LIMIT is a hard limit for the PDB.  If you want to take full advantage of the CPU resources and allow a PDB to use all the CPU when the other PDBs are inactive, then you can remove the UTILIZATION_LIMIT setting.</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This conversion approach works whether the PDBs are originally allocated on the same server or different servers.  If they are on different servers with different CPU types, you may choose to slightly increase the shares for the PDBs on the more powerful servers.</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The following script implements this example. It should be run in the ROOT container.</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begin</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dbms_resource_manager.create_pending_area;</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dbms_resource_manager.create_cdb_plan(plan =&gt; 'mycdb_plan');</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dbms_resource_manager.create_cdb_plan_directive(plan =&gt; 'mycdb_plan', pluggable_database =&gt; 'blue', shares =&gt; 16, utilization_limit =&gt; 66);</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dbms_resource_manager.create_cdb_plan_directive(plan =&gt; 'mycdb_plan', pluggable_database =&gt; 'red', shares =&gt; 8, utilization_limit =&gt; 33);</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dbms_resource_manager.create_cdb_plan_directive(plan =&gt; 'mycdb_plan', pluggable_database =&gt; 'yellow', shares =&gt; 8, utilization_limit =&gt; 33);</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dbms_resource_manager.submit_pending_area;</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end;</w:t>
            </w:r>
            <w:r>
              <w:rPr>
                <w:rFonts w:hint="default" w:ascii="Calibri" w:hAnsi="Calibri" w:cs="Calibri"/>
                <w:color w:val="000000"/>
                <w:sz w:val="22"/>
                <w:szCs w:val="22"/>
              </w:rPr>
              <w:br w:type="textWrapping"/>
            </w:r>
            <w:r>
              <w:rPr>
                <w:rFonts w:hint="default" w:ascii="Calibri" w:hAnsi="Calibri" w:cs="Calibri"/>
                <w:color w:val="000000"/>
                <w:sz w:val="22"/>
                <w:szCs w:val="22"/>
              </w:rPr>
              <w:t xml:space="preserve"> /</w:t>
            </w:r>
            <w:r>
              <w:rPr>
                <w:rFonts w:hint="default" w:ascii="Calibri" w:hAnsi="Calibri" w:cs="Calibri"/>
                <w:color w:val="000000"/>
                <w:sz w:val="22"/>
                <w:szCs w:val="22"/>
              </w:rPr>
              <w:br w:type="textWrapping"/>
            </w:r>
            <w:r>
              <w:rPr>
                <w:rFonts w:hint="default" w:ascii="Calibri" w:hAnsi="Calibri" w:cs="Calibri"/>
                <w:color w:val="000000"/>
                <w:sz w:val="22"/>
                <w:szCs w:val="22"/>
              </w:rPr>
              <w:br w:type="textWrapping"/>
            </w:r>
            <w:r>
              <w:rPr>
                <w:rFonts w:hint="default" w:ascii="Calibri" w:hAnsi="Calibri" w:cs="Calibri"/>
                <w:color w:val="000000"/>
                <w:sz w:val="22"/>
                <w:szCs w:val="22"/>
              </w:rPr>
              <w:t xml:space="preserve"> alter system set resource_manager_plan = mycdb_plan;</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Note that CPU_COUNT does not need to be configured for the CDB.  It should only be set if multiple CDBs are sharing the same server.</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4"/>
                <w:szCs w:val="24"/>
              </w:rPr>
            </w:pPr>
            <w:r>
              <w:rPr>
                <w:rFonts w:hint="default" w:ascii="Calibri" w:hAnsi="Calibri" w:cs="Calibri"/>
                <w:color w:val="000000"/>
                <w:sz w:val="24"/>
                <w:szCs w:val="24"/>
              </w:rPr>
              <w:t>Monitoring and Tuning the CDB Plan</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Once a CDB resource plan is deployed, you should monitor the CPU usage and throttling for each PDB and tune the CDB resource plan as needed.  The following query shows the average number of sessions that are running and waiting for CPU for each PDB:</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select to_char(begin_time, 'HH24:MI'), name, sum(avg_running_sessions) avg_running_sessions, sum(avg_waiting_sessions) avg_waiting_sessions from v$rsrcmgrmetric_history m, v$pdbs p where m.con_id = p.con_id group by begin_time, m.con_id, name order by begin_time;</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AVG_RUNNING_SESSIONS tells you how the CPU is being distributed between the PDBs.  AVG_WAITING_SESSIONS tells you which PDBs are being throttled.  If a PDB's AVG_WAITING_SESSIONS is high, you can improve its performance by increasing its SHARES and/or UTILIZATION_LIMIT. </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4"/>
                <w:szCs w:val="24"/>
              </w:rPr>
            </w:pPr>
            <w:r>
              <w:rPr>
                <w:rFonts w:hint="default" w:ascii="Calibri" w:hAnsi="Calibri" w:cs="Calibri"/>
                <w:color w:val="000000"/>
                <w:sz w:val="24"/>
                <w:szCs w:val="24"/>
              </w:rPr>
              <w:t>Additional Information</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color w:val="000000"/>
                <w:sz w:val="22"/>
                <w:szCs w:val="22"/>
              </w:rPr>
              <w:t xml:space="preserve">For more information on Resource Manager, refer to MOS </w:t>
            </w: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"https://support.oracle.com/epmos/faces/DocumentDisplay?parent=DOCUMENT&amp;sourceId=1567141.1&amp;id=1339769.1" </w:instrText>
            </w:r>
            <w:r>
              <w:rPr>
                <w:rFonts w:hint="default" w:ascii="Calibri" w:hAnsi="Calibri" w:cs="Calibri"/>
                <w:sz w:val="22"/>
                <w:szCs w:val="22"/>
              </w:rPr>
              <w:fldChar w:fldCharType="separate"/>
            </w:r>
            <w:r>
              <w:rPr>
                <w:rStyle w:val="7"/>
                <w:rFonts w:hint="default" w:ascii="Calibri" w:hAnsi="Calibri" w:cs="Calibri"/>
                <w:color w:val="000000"/>
                <w:sz w:val="22"/>
                <w:szCs w:val="22"/>
              </w:rPr>
              <w:t>Document 1339769.1</w:t>
            </w:r>
            <w:r>
              <w:rPr>
                <w:rFonts w:hint="default" w:ascii="Calibri" w:hAnsi="Calibri" w:cs="Calibri"/>
                <w:sz w:val="22"/>
                <w:szCs w:val="22"/>
              </w:rPr>
              <w:fldChar w:fldCharType="end"/>
            </w:r>
            <w:r>
              <w:rPr>
                <w:rFonts w:hint="default" w:ascii="Calibri" w:hAnsi="Calibri" w:cs="Calibri"/>
                <w:color w:val="000000"/>
                <w:sz w:val="22"/>
                <w:szCs w:val="22"/>
              </w:rPr>
              <w:t>. </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rPr>
              <w:t> </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rPr>
              <w:t>References</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"https://support.oracle.com/epmos/faces/DocumentDisplay?parent=DOCUMENT&amp;sourceId=1567141.1&amp;id=1339769.1" </w:instrText>
            </w:r>
            <w:r>
              <w:rPr>
                <w:rFonts w:hint="default" w:ascii="Calibri" w:hAnsi="Calibri" w:cs="Calibri"/>
                <w:sz w:val="22"/>
                <w:szCs w:val="22"/>
              </w:rPr>
              <w:fldChar w:fldCharType="separate"/>
            </w:r>
            <w:r>
              <w:rPr>
                <w:rStyle w:val="7"/>
                <w:rFonts w:hint="default" w:ascii="Calibri" w:hAnsi="Calibri" w:cs="Calibri"/>
                <w:color w:val="000000"/>
                <w:sz w:val="22"/>
                <w:szCs w:val="22"/>
              </w:rPr>
              <w:t>NOTE:1339769.1</w:t>
            </w:r>
            <w:r>
              <w:rPr>
                <w:rFonts w:hint="default" w:ascii="Calibri" w:hAnsi="Calibri" w:cs="Calibri"/>
                <w:sz w:val="22"/>
                <w:szCs w:val="22"/>
              </w:rPr>
              <w:fldChar w:fldCharType="end"/>
            </w:r>
            <w:r>
              <w:rPr>
                <w:rFonts w:hint="default" w:ascii="Calibri" w:hAnsi="Calibri" w:cs="Calibri"/>
                <w:color w:val="000000"/>
                <w:sz w:val="22"/>
                <w:szCs w:val="22"/>
              </w:rPr>
              <w:t xml:space="preserve"> - Master Note for Oracle Database Resource Manager</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1D2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hyperlink" Target="https://support.oracle.com/epmos/faces/DocumentDisplay?id=1567141.1%26_adf.ctrl-state=sd40kk4r4_72%26_afrLoop=250274384187571"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2021-01-27T08:20:15Z</dcterms:created>
  <dc:creator>xians</dc:creator>
  <cp:lastModifiedBy>Chris</cp:lastModifiedBy>
  <dcterms:modified xsi:type="dcterms:W3CDTF">2021-01-27T08:20:23Z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