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cf4616816bf49a6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联想集团（0992.HK）深度研究报告</w:t>
      </w:r>
    </w:p>
    <w:p>
      <w:pPr>
        <w:pStyle w:val="Subtitle"/>
      </w:pPr>
      <w:r>
        <w:t xml:space="preserve">研究基准日 2026-09-03  ·  买入  ·  12个月目标市值约4,280亿港元 / 约34.5港元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项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值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研究基准日 T0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2026-09-03（Wind `get_stock_price_indicators` 实取时点；同日 iFind 收盘核对）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现价 / 总股本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30.600 港元 / 12,404,659,302 股（约 124.05 亿股）[Wind]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总市值 / 流通市值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3,795.83 亿港元（现价×总股本=30.600×124.0466 亿=3,795.83 亿；与 Wind「总市值2」一致）[Wind]；iFind 同日总市值 3,795.83 亿港元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PE_TTM / PB / PS_TTM / 股息率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60.66x / 6.71x（基本面字段；价格指标 PB 返回 0 无效） / 0.531x / 1.38% [Wind]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正常化 PE（强制）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FY26 经调整权益持有人应占溢利 20.49 亿美元 → 市值约 484 亿美元（USD/HKD=7.842）→ 约 23.6x；经调整 TTM≈27.4 亿美元 → 约 17.7x；FY27E 中性 39 亿美元 → 约 12.4x 远期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投资结论标签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 个月目标市值（中枢）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约 4,280 亿港元（对应约 34.5 港元/股，基本股本假设）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2028E 目标市值（乐观/中性/悲观）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10,160 / 6,040 / 2,590 亿港元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概率加权 2028E 市值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约 6,210 亿港元（p=25%/50%/25%）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至 2028 末中性 IRR（相对 T0 市值）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约 22% CAGR（要求回报阈值 12%；中性显著高于阈值 → 买入）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财年切点声明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切点 A：日历 2028 年末估值锚定 FY2028/29（FY29）全年经调整净利润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执行摘要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生意本质：</w:t>
      </w:r>
      <w:r>
        <w:rPr>
          <w:rFonts w:ascii="Calibri" w:hAnsi="Calibri" w:eastAsia="SimSun"/>
        </w:rPr>
        <w:t xml:space="preserve"> 联想是全球第一大 PC 品牌商 + 快速扩张的 AI/x86 服务器与基础设施供应商 + 高利润率企业方案服务商；钱主要来自 IDG 设备出货、ISG 服务器/存储交付与 SSG 运维/方案；利润池正从「薄利 PC」转向「AI 服务器规模利润 + SSG 经常性高 OPM」。[年报FY26][Q1-FY27]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三句可证伪投资逻辑：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1. </w:t>
      </w:r>
      <w:r>
        <w:rPr>
          <w:rFonts w:ascii="Calibri" w:hAnsi="Calibri" w:eastAsia="SimSun"/>
          <w:b/>
        </w:rPr>
        <w:t xml:space="preserve">ISG 利润率跃迁不是一次性：</w:t>
      </w:r>
      <w:r>
        <w:rPr>
          <w:rFonts w:ascii="Calibri" w:hAnsi="Calibri" w:eastAsia="SimSun"/>
        </w:rPr>
        <w:t xml:space="preserve"> FY27Q1 ISG OPM 9.1%、OP 7.77 亿美元，相对 FY26 全年 OP 仅 0.73 亿美元与 Q4 OPM 3.6% 是结构性抬升；若后续两季 OPM 回落到 &lt;4%，则「机制切换」证伪，中性市值需下调 20%+。[Q1-FY27][年报FY26][公众号-ISG机制]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2. </w:t>
      </w:r>
      <w:r>
        <w:rPr>
          <w:rFonts w:ascii="Calibri" w:hAnsi="Calibri" w:eastAsia="SimSun"/>
          <w:b/>
        </w:rPr>
        <w:t xml:space="preserve">Pipeline 有转化但不等于收入：</w:t>
      </w:r>
      <w:r>
        <w:rPr>
          <w:rFonts w:ascii="Calibri" w:hAnsi="Calibri" w:eastAsia="SimSun"/>
        </w:rPr>
        <w:t xml:space="preserve"> AI 服务器 pipeline 从 FY26 末 210 亿 → FY27Q1 末 </w:t>
      </w:r>
      <w:r>
        <w:rPr>
          <w:rFonts w:ascii="Calibri" w:hAnsi="Calibri" w:eastAsia="SimSun"/>
          <w:b/>
        </w:rPr>
        <w:t xml:space="preserve">540 亿美元</w:t>
      </w:r>
      <w:r>
        <w:rPr>
          <w:rFonts w:ascii="Calibri" w:hAnsi="Calibri" w:eastAsia="SimSun"/>
        </w:rPr>
        <w:t xml:space="preserve">（+157% QoQ）；中性假设未来 12 个月转化约 30–35%、取消/延期约 15–20%。若 12 个月实现收入 &lt;100 亿美元且库存继续暴增无现金回笼，则重估逻辑瓦解。[Q1-FY27][Web-HyperFRAME]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3. </w:t>
      </w:r>
      <w:r>
        <w:rPr>
          <w:rFonts w:ascii="Calibri" w:hAnsi="Calibri" w:eastAsia="SimSun"/>
          <w:b/>
        </w:rPr>
        <w:t xml:space="preserve">PC 份额与 ASP 对冲量缩：</w:t>
      </w:r>
      <w:r>
        <w:rPr>
          <w:rFonts w:ascii="Calibri" w:hAnsi="Calibri" w:eastAsia="SimSun"/>
        </w:rPr>
        <w:t xml:space="preserve"> IDC Q2'26 全球 PC 出货 -4.9%，联想份额 </w:t>
      </w:r>
      <w:r>
        <w:rPr>
          <w:rFonts w:ascii="Calibri" w:hAnsi="Calibri" w:eastAsia="SimSun"/>
          <w:b/>
        </w:rPr>
        <w:t xml:space="preserve">24.4%</w:t>
      </w:r>
      <w:r>
        <w:rPr>
          <w:rFonts w:ascii="Calibri" w:hAnsi="Calibri" w:eastAsia="SimSun"/>
        </w:rPr>
        <w:t xml:space="preserve"> 仍第一；公司披露 AI PC 份额 25.1%。中性假设量平/微降、ASP+AI 溢价支撑 IDG 收入双位数，OPM 维持 ~7%。若份额跌破 22% 且 GM 连续两季下滑 &gt;100bp，则压舱石失效。[Web-IDC][Q1-FY27]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三句主要风险：</w:t>
      </w:r>
      <w:r>
        <w:rPr>
          <w:rFonts w:ascii="Calibri" w:hAnsi="Calibri" w:eastAsia="SimSun"/>
        </w:rPr>
        <w:t xml:space="preserve">（1）AI 服务器 GPU/HBM/液冷交付瓶颈与客户取消导致 pipeline 空转；（2）存储涨价吞噬 IDG 毛利且出货量继续收缩；（3）Alat 可转债/认股权证稀释（潜在合计约 15–20% 量级）与公允价值波动扭曲报表叙事。[Web-HKEX][Q1-FY27][年报FY26]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预期差一句话：</w:t>
      </w:r>
      <w:r>
        <w:rPr>
          <w:rFonts w:ascii="Calibri" w:hAnsi="Calibri" w:eastAsia="SimSun"/>
        </w:rPr>
        <w:t xml:space="preserve"> 市场在 FY27Q1 后已部分定价「AI 期权」，但共识仍高估太平洋式激进利润路径、低估营运资本吞噬与稀释；价格隐含的正常化远期 PE（~12–14x FY27E）相对 Dell ISG 兑现路径仍有 </w:t>
      </w:r>
      <w:r>
        <w:rPr>
          <w:rFonts w:ascii="Calibri" w:hAnsi="Calibri" w:eastAsia="SimSun"/>
          <w:b/>
        </w:rPr>
        <w:t xml:space="preserve">机制溢价未完全闭合</w:t>
      </w:r>
      <w:r>
        <w:rPr>
          <w:rFonts w:ascii="Calibri" w:hAnsi="Calibri" w:eastAsia="SimSun"/>
        </w:rPr>
        <w:t xml:space="preserve"> 的空间，核心变量是 </w:t>
      </w:r>
      <w:r>
        <w:rPr>
          <w:rFonts w:ascii="Calibri" w:hAnsi="Calibri" w:eastAsia="SimSun"/>
          <w:b/>
        </w:rPr>
        <w:t xml:space="preserve">ISG OPM 能否在 FY27 全年站稳 6%+</w:t>
      </w:r>
      <w:r>
        <w:rPr>
          <w:rFonts w:ascii="Calibri" w:hAnsi="Calibri" w:eastAsia="SimSun"/>
        </w:rPr>
        <w:t xml:space="preserve"> 而非 pipeline 绝对值。[券商-国盛/国投/太平洋-202608][valuation-pricing-framework]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估值结论一句话：</w:t>
      </w:r>
      <w:r>
        <w:rPr>
          <w:rFonts w:ascii="Calibri" w:hAnsi="Calibri" w:eastAsia="SimSun"/>
        </w:rPr>
        <w:t xml:space="preserve"> 主方法采用 </w:t>
      </w:r>
      <w:r>
        <w:rPr>
          <w:rFonts w:ascii="Calibri" w:hAnsi="Calibri" w:eastAsia="SimSun"/>
          <w:b/>
        </w:rPr>
        <w:t xml:space="preserve">M1：FY29 经调整净利 × 退出 PE</w:t>
      </w:r>
      <w:r>
        <w:rPr>
          <w:rFonts w:ascii="Calibri" w:hAnsi="Calibri" w:eastAsia="SimSun"/>
        </w:rPr>
        <w:t xml:space="preserve">；中性 </w:t>
      </w:r>
      <w:r>
        <w:rPr>
          <w:rFonts w:ascii="Calibri" w:hAnsi="Calibri" w:eastAsia="SimSun"/>
          <w:b/>
        </w:rPr>
        <w:t xml:space="preserve">55 亿美元 × 14x ≈ 770 亿美元 ≈ 6,040 亿港元</w:t>
      </w:r>
      <w:r>
        <w:rPr>
          <w:rFonts w:ascii="Calibri" w:hAnsi="Calibri" w:eastAsia="SimSun"/>
        </w:rPr>
        <w:t xml:space="preserve">（约 48.7 港元），相对 T0 年化约 </w:t>
      </w:r>
      <w:r>
        <w:rPr>
          <w:rFonts w:ascii="Calibri" w:hAnsi="Calibri" w:eastAsia="SimSun"/>
          <w:b/>
        </w:rPr>
        <w:t xml:space="preserve">22%</w:t>
      </w:r>
      <w:r>
        <w:rPr>
          <w:rFonts w:ascii="Calibri" w:hAnsi="Calibri" w:eastAsia="SimSun"/>
        </w:rPr>
        <w:t xml:space="preserve"> → </w:t>
      </w:r>
      <w:r>
        <w:rPr>
          <w:rFonts w:ascii="Calibri" w:hAnsi="Calibri" w:eastAsia="SimSun"/>
          <w:b/>
        </w:rPr>
        <w:t xml:space="preserve">买入</w:t>
      </w:r>
      <w:r>
        <w:rPr>
          <w:rFonts w:ascii="Calibri" w:hAnsi="Calibri" w:eastAsia="SimSun"/>
        </w:rPr>
        <w:t xml:space="preserve">。</w:t>
      </w:r>
    </w:p>
    <w:p>
      <w:pPr>
        <w:spacing w:after="80"/>
      </w:pPr>
    </w:p>
    <w:p>
      <w:pPr>
        <w:pStyle w:val="Heading1"/>
      </w:pPr>
      <w:r>
        <w:t xml:space="preserve">第 1 章｜业务与壁垒</w:t>
      </w:r>
    </w:p>
    <w:p>
      <w:pPr>
        <w:pStyle w:val="Heading2"/>
      </w:pPr>
      <w:r>
        <w:t xml:space="preserve">1.1 商业模式表（IDG / ISG / SSG）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维度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IDG（智能设备）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ISG（基础设施方案）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SSG（方案服务）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做什么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PC/平板/手机/配件；AI PC、高端 Think/Yoga、摩托罗拉手机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x86/AI 服务器、存储、边缘、HPC、液冷机柜、软件定义基础设施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运维、项目与解决方案、TruScale IaaS、AI 服务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客户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商用企业、消费、教育、政企；全球渠道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超大规模云、新型云（neocloud）、企业/主权 AI、垂直行业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与设备/服务器绑定的企业客户 + 独立方案客户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收入确认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设备交付时点为主；部分延保递延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服务器/机柜交付与验收；大项目可能分期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服务履约/订阅；运维与托管偏经常性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关键成本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CPU/GPU/DRAM/NAND、面板、代工组装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GPU/HBM、主板、液冷、机柜、ODM、物流安装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人力交付、外包、软件许可、云资源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定价权来源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品牌+份额规模采购+渠道；存储紧缺期可部分转嫁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规格认证、交付能力、液冷/整柜集成；CSP 议价强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粘性与切换成本；AI 方案溢价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现金流特征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负营运资本历史（应付支撑）；现库存上升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高价值存货与应收，增长期吞噬现金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递延收益/合同负债友好；高 OPM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如何改单位经济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PC ASP↑、NPU 规格分化；毛利是否系统性扩张仍待验证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GPU 物料占比极高，毛利率结构异于传统服务器；规模可摊薄固定成本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服务三位数增长，抬高方案占比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FY26 锚点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 589.4 亿美元（+17%），OP 42.2 亿，OPM ~7.2%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 191.9 亿（+32%），OP 0.73 亿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 100.3 亿（破 100 亿），OP 22.4 亿，OPM ~22%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FY27Q1 锚点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171.1 亿（+27%），OP 12.1 亿，OPM 7.1%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85.1 亿（+98%），OP 7.77 亿，OPM 9.1%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28.8 亿（+28%），OP 7.0 亿，OPM 24.2%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来源：[年报FY26 分部附注][Q1-FY27]；框架：business_model_decoder_skill + china-unit-economics。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单位经济要点：</w:t>
      </w:r>
      <w:r>
        <w:rPr>
          <w:rFonts w:ascii="Calibri" w:hAnsi="Calibri" w:eastAsia="SimSun"/>
        </w:rPr>
        <w:t xml:space="preserve"> AI 服务器单台/单柜 BOM 中 GPU 可占绝大部分，OEM 毛利率通常低于传统服务器，但机柜级集成、液冷（Neptune）与企业级存储（Infinidat）可抬升附加值；FY27Q1 集团毛利率升至 </w:t>
      </w:r>
      <w:r>
        <w:rPr>
          <w:rFonts w:ascii="Calibri" w:hAnsi="Calibri" w:eastAsia="SimSun"/>
          <w:b/>
        </w:rPr>
        <w:t xml:space="preserve">16.5%</w:t>
      </w:r>
      <w:r>
        <w:rPr>
          <w:rFonts w:ascii="Calibri" w:hAnsi="Calibri" w:eastAsia="SimSun"/>
        </w:rPr>
        <w:t xml:space="preserve">（+1.8ppt）说明结构升级阶段性战胜成本压力。[Q1-FY27][公众号-重估]</w:t>
      </w:r>
    </w:p>
    <w:p>
      <w:pPr>
        <w:pStyle w:val="Heading2"/>
      </w:pPr>
      <w:r>
        <w:t xml:space="preserve">1.2 护城河 0–5 打分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维度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分数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证据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可再生性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全球供应链与交付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Gartner 供应链排名前五；多地制造；中东 Alat 合作扩展产能叙事 [年报FY26][公众号-4100亿]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品牌与渠道（商用/消费）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全球 PC #1；连续扩大与第二名差距 [Q1-FY27][Web-IDC]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PC 份额与规模采购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Q2'26 份额 24.4%；存储紧缺中头部议价优势 [Web-IDC][公众号-CFO]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服务器客户关系与认证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x86 全球 #2；AI pipeline 扩容；仍落后 Dell 积压订单规模 [Q1-FY27][Web-Dell]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中高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方案服务粘性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SSG OPM 24.2%；非硬件关联占比 62.4% [Q1-FY27]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软件/服务附着力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TruScale、Qira/天禧仍处渗透早期 [年报FY26]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地缘多元化产能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全球基地 + 中东合作；出口管制仍是变量 [年报FY26][Web]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专利与规格（液冷等）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Neptune 液冷、GB300 平台叙事 [年报FY26][Q1-FY27]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综合护城河：适中偏宽。</w:t>
      </w:r>
      <w:r>
        <w:rPr>
          <w:rFonts w:ascii="Calibri" w:hAnsi="Calibri" w:eastAsia="SimSun"/>
        </w:rPr>
        <w:t xml:space="preserve"> 客户为什么不换 Dell/浪潮/超微：</w:t>
      </w:r>
      <w:r>
        <w:rPr>
          <w:rFonts w:ascii="Calibri" w:hAnsi="Calibri" w:eastAsia="SimSun"/>
          <w:b/>
        </w:rPr>
        <w:t xml:space="preserve">PC 侧</w:t>
      </w:r>
      <w:r>
        <w:rPr>
          <w:rFonts w:ascii="Calibri" w:hAnsi="Calibri" w:eastAsia="SimSun"/>
        </w:rPr>
        <w:t xml:space="preserve">因渠道库存与商用关系切换成本高；</w:t>
      </w:r>
      <w:r>
        <w:rPr>
          <w:rFonts w:ascii="Calibri" w:hAnsi="Calibri" w:eastAsia="SimSun"/>
          <w:b/>
        </w:rPr>
        <w:t xml:space="preserve">服务器侧</w:t>
      </w:r>
      <w:r>
        <w:rPr>
          <w:rFonts w:ascii="Calibri" w:hAnsi="Calibri" w:eastAsia="SimSun"/>
        </w:rPr>
        <w:t xml:space="preserve">因认证、交付窗口与液冷/整柜方案；</w:t>
      </w:r>
      <w:r>
        <w:rPr>
          <w:rFonts w:ascii="Calibri" w:hAnsi="Calibri" w:eastAsia="SimSun"/>
          <w:b/>
        </w:rPr>
        <w:t xml:space="preserve">中国政企</w:t>
      </w:r>
      <w:r>
        <w:rPr>
          <w:rFonts w:ascii="Calibri" w:hAnsi="Calibri" w:eastAsia="SimSun"/>
        </w:rPr>
        <w:t xml:space="preserve">则面临华为/浪潮替代——海外与中国需分市场评估。框架：moat_strength_review_skill。</w:t>
      </w:r>
    </w:p>
    <w:p>
      <w:pPr>
        <w:pStyle w:val="Heading2"/>
      </w:pPr>
      <w:r>
        <w:t xml:space="preserve">1.3 可替代与颠覆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威胁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时间尺度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财务冲击路径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监测指标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超微/ODM 柜级方案分流 CSP 订单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0–18 个月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ISG 增速与 OPM 承压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ISG 收入 QoQ、CSP 占比（若披露）、对标 SMCI 出货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中国市场华为/浪潮替代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持续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中国区服务器份额与毛利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中国区收入、政策采购名单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PC 周期二次下行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2–6 季度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IDG 收入与库存减值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IDC 出货、存货天数、GM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云巨头自研服务器挤压品牌机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中长期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服务器 ASP/份额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ODM Direct 份额（IDC）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专业 IT 服务商截流 SSG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中期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SSG 增速回落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非硬件关联占比、OPM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第 2 章｜经营战略与执行</w:t>
      </w:r>
    </w:p>
    <w:p>
      <w:pPr>
        <w:pStyle w:val="Heading2"/>
      </w:pPr>
      <w:r>
        <w:t xml:space="preserve">2.1 战略叙事 vs Capex / 费用现实</w:t>
      </w: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公开叙事：</w:t>
      </w:r>
      <w:r>
        <w:rPr>
          <w:rFonts w:ascii="Calibri" w:hAnsi="Calibri" w:eastAsia="SimSun"/>
          <w:b/>
        </w:rPr>
        <w:t xml:space="preserve">Hybrid AI = Personal AI + Enterprise AI</w:t>
      </w:r>
      <w:r>
        <w:rPr>
          <w:rFonts w:ascii="Calibri" w:hAnsi="Calibri" w:eastAsia="SimSun"/>
        </w:rPr>
        <w:t xml:space="preserve">；3S 升级；目标营收冲击 1000 亿美元、净利率 3–5 年向 5%+ 迈进（管理层/投资者日口径，卖方转述）。[年报FY26][券商-太平洋-20260818][公众号-戴尔式估值]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检验项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FY26 事实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言行一致性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研发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约 24.9 亿美元量级，约占收 ~3%（年报费用结构）[年报FY26]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与「创新投入」部分一致，强度低于纯软件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Capex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PPE 购置 6.54 亿 + 在建 6.08 亿 + 无形 5.97 亿等；投资活动现金净流出显著 [年报FY26 现金流]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扩张真实发生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存货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FY26 末 117.2 亿 → FY27Q1 末 157.4 亿（+40 亿单季）[年报FY26][Q1-FY27]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备货与 AI 服务器扩张一致，现金风险上升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分红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全年每股 42.2 港仙（+8%）；FY26 已付股息约 6.13 亿美元 [年报FY26]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回报股东与扩张并行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净现金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FY26 末净现金 2.42 亿；FY27Q1 末净债务 1.79 亿 [年报FY26][Q1-FY27]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扩张期杠杆回升，需盯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言行评分：部分一致偏一致。</w:t>
      </w:r>
      <w:r>
        <w:rPr>
          <w:rFonts w:ascii="Calibri" w:hAnsi="Calibri" w:eastAsia="SimSun"/>
        </w:rPr>
        <w:t xml:space="preserve"> 战略不是空话（ISG 扭亏、AI 收入占比 33%→35%），但营运资本与稀释工具显示「增长优先于报表洁净度」。</w:t>
      </w:r>
    </w:p>
    <w:p>
      <w:pPr>
        <w:pStyle w:val="Heading2"/>
      </w:pPr>
      <w:r>
        <w:t xml:space="preserve">2.2 AI PC 与 AI 服务器订单兑现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AI PC：</w:t>
      </w:r>
      <w:r>
        <w:rPr>
          <w:rFonts w:ascii="Calibri" w:hAnsi="Calibri" w:eastAsia="SimSun"/>
        </w:rPr>
        <w:t xml:space="preserve"> 公司定义覆盖 NPU 赋能设备；FY27Q1 AI PC 份额 </w:t>
      </w:r>
      <w:r>
        <w:rPr>
          <w:rFonts w:ascii="Calibri" w:hAnsi="Calibri" w:eastAsia="SimSun"/>
          <w:b/>
        </w:rPr>
        <w:t xml:space="preserve">25.1%</w:t>
      </w:r>
      <w:r>
        <w:rPr>
          <w:rFonts w:ascii="Calibri" w:hAnsi="Calibri" w:eastAsia="SimSun"/>
        </w:rPr>
        <w:t xml:space="preserve">，全球 PC 份额 </w:t>
      </w:r>
      <w:r>
        <w:rPr>
          <w:rFonts w:ascii="Calibri" w:hAnsi="Calibri" w:eastAsia="SimSun"/>
          <w:b/>
        </w:rPr>
        <w:t xml:space="preserve">24.2%</w:t>
      </w:r>
      <w:r>
        <w:rPr>
          <w:rFonts w:ascii="Calibri" w:hAnsi="Calibri" w:eastAsia="SimSun"/>
        </w:rPr>
        <w:t xml:space="preserve">。量：行业 Q2'26 出货下滑；价：存储涨价推动 ASP 上行。中性假设 AI PC 贡献收入弹性大于出货弹性；</w:t>
      </w:r>
      <w:r>
        <w:rPr>
          <w:rFonts w:ascii="Calibri" w:hAnsi="Calibri" w:eastAsia="SimSun"/>
          <w:b/>
        </w:rPr>
        <w:t xml:space="preserve">若错则</w:t>
      </w:r>
      <w:r>
        <w:rPr>
          <w:rFonts w:ascii="Calibri" w:hAnsi="Calibri" w:eastAsia="SimSun"/>
        </w:rPr>
        <w:t xml:space="preserve">仅是换机标签，IDG OPM 无法维持 7%。[Q1-FY27][Web-IDC]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AI 服务器 pipeline：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FY26 末：</w:t>
      </w:r>
      <w:r>
        <w:rPr>
          <w:rFonts w:ascii="Calibri" w:hAnsi="Calibri" w:eastAsia="SimSun"/>
          <w:b/>
        </w:rPr>
        <w:t xml:space="preserve">210 亿美元</w:t>
      </w:r>
      <w:r>
        <w:rPr>
          <w:rFonts w:ascii="Calibri" w:hAnsi="Calibri" w:eastAsia="SimSun"/>
        </w:rPr>
        <w:t xml:space="preserve"> [年报FY26]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FY27Q1 末：</w:t>
      </w:r>
      <w:r>
        <w:rPr>
          <w:rFonts w:ascii="Calibri" w:hAnsi="Calibri" w:eastAsia="SimSun"/>
          <w:b/>
        </w:rPr>
        <w:t xml:space="preserve">540 亿美元</w:t>
      </w:r>
      <w:r>
        <w:rPr>
          <w:rFonts w:ascii="Calibri" w:hAnsi="Calibri" w:eastAsia="SimSun"/>
        </w:rPr>
        <w:t xml:space="preserve">（+157% QoQ）[Q1-FY27]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口径警告：第三方研究强调 </w:t>
      </w:r>
      <w:r>
        <w:rPr>
          <w:rFonts w:ascii="Calibri" w:hAnsi="Calibri" w:eastAsia="SimSun"/>
          <w:b/>
        </w:rPr>
        <w:t xml:space="preserve">pipeline ≠ backlog ≠ 收入</w:t>
      </w:r>
      <w:r>
        <w:rPr>
          <w:rFonts w:ascii="Calibri" w:hAnsi="Calibri" w:eastAsia="SimSun"/>
        </w:rPr>
        <w:t xml:space="preserve">；Dell 同期披露 AI backlog 约 </w:t>
      </w:r>
      <w:r>
        <w:rPr>
          <w:rFonts w:ascii="Calibri" w:hAnsi="Calibri" w:eastAsia="SimSun"/>
          <w:b/>
        </w:rPr>
        <w:t xml:space="preserve">950 亿美元</w:t>
      </w:r>
      <w:r>
        <w:rPr>
          <w:rFonts w:ascii="Calibri" w:hAnsi="Calibri" w:eastAsia="SimSun"/>
        </w:rPr>
        <w:t xml:space="preserve">（口径更偏已确认积压）[Web-HyperFRAME][Web-Dell/CRN]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转化公式（中性显式假设）：</w:t>
      </w:r>
      <w:r>
        <w:rPr>
          <w:rFonts w:ascii="Calibri" w:hAnsi="Calibri" w:eastAsia="SimSun"/>
        </w:rPr>
        <w:t xml:space="preserve"> 当年AI服务器收入 ≈ 期初pipeline × 转化率 × 交付因子 × (1−取消率) + 年内新签当年交付 中性：期初取 210→540 的过程均值偏期末；</w:t>
      </w:r>
      <w:r>
        <w:rPr>
          <w:rFonts w:ascii="Calibri" w:hAnsi="Calibri" w:eastAsia="SimSun"/>
          <w:b/>
        </w:rPr>
        <w:t xml:space="preserve">转化率 32%、取消率 18%、交付因子 0.85</w:t>
      </w:r>
      <w:r>
        <w:rPr>
          <w:rFonts w:ascii="Calibri" w:hAnsi="Calibri" w:eastAsia="SimSun"/>
        </w:rPr>
        <w:t xml:space="preserve"> → FY27 AI 服务器收入约 </w:t>
      </w:r>
      <w:r>
        <w:rPr>
          <w:rFonts w:ascii="Calibri" w:hAnsi="Calibri" w:eastAsia="SimSun"/>
          <w:b/>
        </w:rPr>
        <w:t xml:space="preserve">120–150 亿美元</w:t>
      </w:r>
      <w:r>
        <w:rPr>
          <w:rFonts w:ascii="Calibri" w:hAnsi="Calibri" w:eastAsia="SimSun"/>
        </w:rPr>
        <w:t xml:space="preserve">量级（情景区间，非公司指引）。</w:t>
      </w:r>
      <w:r>
        <w:rPr>
          <w:rFonts w:ascii="Calibri" w:hAnsi="Calibri" w:eastAsia="SimSun"/>
          <w:b/>
        </w:rPr>
        <w:t xml:space="preserve">禁止</w:t>
      </w:r>
      <w:r>
        <w:rPr>
          <w:rFonts w:ascii="Calibri" w:hAnsi="Calibri" w:eastAsia="SimSun"/>
        </w:rPr>
        <w:t xml:space="preserve">把 540 亿线性当作两年收入。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时滞：</w:t>
      </w:r>
      <w:r>
        <w:rPr>
          <w:rFonts w:ascii="Calibri" w:hAnsi="Calibri" w:eastAsia="SimSun"/>
        </w:rPr>
        <w:t xml:space="preserve"> 订单→收入通常 1–3 个季度；收入→现金另受存货/应收拖累（Q1 OCF 仅 3.82 亿，同比下降）。[Q1-FY27]</w:t>
      </w:r>
    </w:p>
    <w:p>
      <w:pPr>
        <w:pStyle w:val="Heading2"/>
      </w:pPr>
      <w:r>
        <w:t xml:space="preserve">2.3 管理层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杨元庆</w:t>
      </w:r>
      <w:r>
        <w:rPr>
          <w:rFonts w:ascii="Calibri" w:hAnsi="Calibri" w:eastAsia="SimSun"/>
        </w:rPr>
        <w:t xml:space="preserve">：深度绑定 CEO/主席；公开强调 AI 非泡沫、ISG 可持续。[公众号-戴尔式估值][iFind新闻]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CFO 郑孝明</w:t>
      </w:r>
      <w:r>
        <w:rPr>
          <w:rFonts w:ascii="Calibri" w:hAnsi="Calibri" w:eastAsia="SimSun"/>
        </w:rPr>
        <w:t xml:space="preserve">：主张估值从 PC-only 切到多业务，合理 PE 叙事 16–17x；称不担心订单可持续性（多年期 AI 基建）。[公众号-深访CFO][iFind新闻]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资本配置：</w:t>
      </w:r>
      <w:r>
        <w:rPr>
          <w:rFonts w:ascii="Calibri" w:hAnsi="Calibri" w:eastAsia="SimSun"/>
        </w:rPr>
        <w:t xml:space="preserve"> Alat </w:t>
      </w:r>
      <w:r>
        <w:rPr>
          <w:rFonts w:ascii="Calibri" w:hAnsi="Calibri" w:eastAsia="SimSun"/>
          <w:b/>
        </w:rPr>
        <w:t xml:space="preserve">20 亿美元</w:t>
      </w:r>
      <w:r>
        <w:rPr>
          <w:rFonts w:ascii="Calibri" w:hAnsi="Calibri" w:eastAsia="SimSun"/>
        </w:rPr>
        <w:t xml:space="preserve">零票息可转债 + </w:t>
      </w:r>
      <w:r>
        <w:rPr>
          <w:rFonts w:ascii="Calibri" w:hAnsi="Calibri" w:eastAsia="SimSun"/>
          <w:b/>
        </w:rPr>
        <w:t xml:space="preserve">11.5 亿份</w:t>
      </w:r>
      <w:r>
        <w:rPr>
          <w:rFonts w:ascii="Calibri" w:hAnsi="Calibri" w:eastAsia="SimSun"/>
        </w:rPr>
        <w:t xml:space="preserve">认股权证；换股潜在约 </w:t>
      </w:r>
      <w:r>
        <w:rPr>
          <w:rFonts w:ascii="Calibri" w:hAnsi="Calibri" w:eastAsia="SimSun"/>
          <w:b/>
        </w:rPr>
        <w:t xml:space="preserve">15.6 亿股</w:t>
      </w:r>
      <w:r>
        <w:rPr>
          <w:rFonts w:ascii="Calibri" w:hAnsi="Calibri" w:eastAsia="SimSun"/>
        </w:rPr>
        <w:t xml:space="preserve">（约 11%+），权证另计；股价上涨导致 FY27Q1 权证 FV 亏损 </w:t>
      </w:r>
      <w:r>
        <w:rPr>
          <w:rFonts w:ascii="Calibri" w:hAnsi="Calibri" w:eastAsia="SimSun"/>
          <w:b/>
        </w:rPr>
        <w:t xml:space="preserve">16.9 亿美元</w:t>
      </w:r>
      <w:r>
        <w:rPr>
          <w:rFonts w:ascii="Calibri" w:hAnsi="Calibri" w:eastAsia="SimSun"/>
        </w:rPr>
        <w:t xml:space="preserve">——会计噪音，但是稀释真实期权。[Web-HKEX/IR][Q1-FY27]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评分：7.5/10</w:t>
      </w:r>
      <w:r>
        <w:rPr>
          <w:rFonts w:ascii="Calibri" w:hAnsi="Calibri" w:eastAsia="SimSun"/>
        </w:rPr>
        <w:t xml:space="preserve">（执行强、报表复杂、稀释需折价）。框架：management_quality_check_skill。</w:t>
      </w:r>
    </w:p>
    <w:p>
      <w:pPr>
        <w:spacing w:after="80"/>
      </w:pPr>
    </w:p>
    <w:p>
      <w:pPr>
        <w:pStyle w:val="Heading1"/>
      </w:pPr>
      <w:r>
        <w:t xml:space="preserve">第 3 章｜深度财务体检</w:t>
      </w:r>
    </w:p>
    <w:p>
      <w:pPr>
        <w:pStyle w:val="Heading2"/>
      </w:pPr>
      <w:r>
        <w:t xml:space="preserve">3.1 三表与质量（reported vs adjusted）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FY26 关键利润桥（亿美元）：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项目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金额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来源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830.75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[年报FY26]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毛利 / GM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128.09 / 15.4%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同上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经营溢利（呈报）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32.62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同上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权益持有人应占（呈报）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19.12（+38%）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同上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经调整权益持有人应占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20.49（+42%）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同上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OCF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40.24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现金流表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定义 FCF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OCF − PPE购置 − 在建 − 无形资本化 ≈ 40.24 − 6.54 − 6.08 − 5.97 ≈ 21.7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自算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FY27Q1 关键调整：</w:t>
      </w:r>
      <w:r>
        <w:rPr>
          <w:rFonts w:ascii="Calibri" w:hAnsi="Calibri" w:eastAsia="SimSun"/>
        </w:rPr>
        <w:t xml:space="preserve"> 呈报权益持有人亏损 </w:t>
      </w:r>
      <w:r>
        <w:rPr>
          <w:rFonts w:ascii="Calibri" w:hAnsi="Calibri" w:eastAsia="SimSun"/>
          <w:b/>
        </w:rPr>
        <w:t xml:space="preserve">6.09</w:t>
      </w:r>
      <w:r>
        <w:rPr>
          <w:rFonts w:ascii="Calibri" w:hAnsi="Calibri" w:eastAsia="SimSun"/>
        </w:rPr>
        <w:t xml:space="preserve">；权证 FV 亏损 </w:t>
      </w:r>
      <w:r>
        <w:rPr>
          <w:rFonts w:ascii="Calibri" w:hAnsi="Calibri" w:eastAsia="SimSun"/>
          <w:b/>
        </w:rPr>
        <w:t xml:space="preserve">16.90</w:t>
      </w:r>
      <w:r>
        <w:rPr>
          <w:rFonts w:ascii="Calibri" w:hAnsi="Calibri" w:eastAsia="SimSun"/>
        </w:rPr>
        <w:t xml:space="preserve">；经调整权益持有人应占 </w:t>
      </w:r>
      <w:r>
        <w:rPr>
          <w:rFonts w:ascii="Calibri" w:hAnsi="Calibri" w:eastAsia="SimSun"/>
          <w:b/>
        </w:rPr>
        <w:t xml:space="preserve">10.75</w:t>
      </w:r>
      <w:r>
        <w:rPr>
          <w:rFonts w:ascii="Calibri" w:hAnsi="Calibri" w:eastAsia="SimSun"/>
        </w:rPr>
        <w:t xml:space="preserve">；经调整净利率 </w:t>
      </w:r>
      <w:r>
        <w:rPr>
          <w:rFonts w:ascii="Calibri" w:hAnsi="Calibri" w:eastAsia="SimSun"/>
          <w:b/>
        </w:rPr>
        <w:t xml:space="preserve">4.0%</w:t>
      </w:r>
      <w:r>
        <w:rPr>
          <w:rFonts w:ascii="Calibri" w:hAnsi="Calibri" w:eastAsia="SimSun"/>
        </w:rPr>
        <w:t xml:space="preserve">。[Q1-FY27]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判决：</w:t>
      </w:r>
      <w:r>
        <w:rPr>
          <w:rFonts w:ascii="Calibri" w:hAnsi="Calibri" w:eastAsia="SimSun"/>
        </w:rPr>
        <w:t xml:space="preserve"> 核心经营质量看 </w:t>
      </w:r>
      <w:r>
        <w:rPr>
          <w:rFonts w:ascii="Calibri" w:hAnsi="Calibri" w:eastAsia="SimSun"/>
          <w:b/>
        </w:rPr>
        <w:t xml:space="preserve">经调整口径</w:t>
      </w:r>
      <w:r>
        <w:rPr>
          <w:rFonts w:ascii="Calibri" w:hAnsi="Calibri" w:eastAsia="SimSun"/>
        </w:rPr>
        <w:t xml:space="preserve">；Wind PE_TTM ~60x 因 TTM 含 Q1 呈报亏损而失真，</w:t>
      </w:r>
      <w:r>
        <w:rPr>
          <w:rFonts w:ascii="Calibri" w:hAnsi="Calibri" w:eastAsia="SimSun"/>
          <w:b/>
        </w:rPr>
        <w:t xml:space="preserve">不是</w:t>
      </w:r>
      <w:r>
        <w:rPr>
          <w:rFonts w:ascii="Calibri" w:hAnsi="Calibri" w:eastAsia="SimSun"/>
        </w:rPr>
        <w:t xml:space="preserve">经营崩塌。[Wind][earnings-analysis]</w:t>
      </w:r>
    </w:p>
    <w:p>
      <w:pPr>
        <w:pStyle w:val="Heading2"/>
      </w:pPr>
      <w:r>
        <w:t xml:space="preserve">3.2 强制指标表（亿美元）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指标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FY22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FY23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FY24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FY25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FY26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FY27Q1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716.2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619.5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568.6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690.8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830.7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269.4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毛利率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~16.8%*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~17.0%*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17.2%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16.1%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15.4%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16.5%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经营利润率（呈报）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~3.1%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~3.9%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~0.1%（含权证）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净利率 reported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2.8%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2.6%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1.8%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2.3%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−2.3%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净利率 adjusted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1.9%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2.1%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4.0%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OCF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11.0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40.2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3.8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FCF（OCF−核心capex）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偏低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~21.7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受存货拖累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ROE（约）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~30%*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~18%*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~23%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~25–29%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季度噪音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净现金/(债)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+0.06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−5.51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+2.42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−1.79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*FY22–23 毛利率/ROE 来自 Wind 年度字段与五年摘要交叉；五年摘要收入/权益持有人净利已核对。[年报FY26 五年摘要][Wind]</w:t>
      </w:r>
    </w:p>
    <w:p>
      <w:pPr>
        <w:pStyle w:val="Heading2"/>
      </w:pPr>
      <w:r>
        <w:t xml:space="preserve">3.3 分部财务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分部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FY25 收入/OP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FY26 收入/OP/OPM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FY27Q1 收入/OP/OPM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解读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IDG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增长双位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589.4 / 42.2 / 7.2%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171.1 / 12.1 / 7.1%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压舱石稳定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ISG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高增仍承压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191.9 / 0.73 / 0.4%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85.1 / 7.77 / 9.1%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利润率跃迁核心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SSG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稳健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100.3 / 22.4 / ~22%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28.8 / 7.0 / 24.2%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高利润压舱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抵消/总部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抵消约 -5.8% 收入构成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总部费用抬升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合并需扣减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ISG OPM 从全年微利到单季 9.1%：贡献因素包括企业基建近翻倍、新型云客户、GB300 机架、规模摊薄；</w:t>
      </w:r>
      <w:r>
        <w:rPr>
          <w:rFonts w:ascii="Calibri" w:hAnsi="Calibri" w:eastAsia="SimSun"/>
          <w:b/>
        </w:rPr>
        <w:t xml:space="preserve">可持续性</w:t>
      </w:r>
      <w:r>
        <w:rPr>
          <w:rFonts w:ascii="Calibri" w:hAnsi="Calibri" w:eastAsia="SimSun"/>
        </w:rPr>
        <w:t xml:space="preserve">取决于 GPU 成本转嫁与产品组合，对标 Dell ISG OPM 可达双位数但结构不同。[券商-国盛-20260814][Web-Dell][turnaround</w:t>
      </w:r>
      <w:r>
        <w:rPr>
          <w:rFonts w:ascii="Calibri" w:hAnsi="Calibri" w:eastAsia="SimSun"/>
          <w:i/>
        </w:rPr>
        <w:t xml:space="preserve">story</w:t>
      </w:r>
      <w:r>
        <w:rPr>
          <w:rFonts w:ascii="Calibri" w:hAnsi="Calibri" w:eastAsia="SimSun"/>
        </w:rPr>
        <w:t xml:space="preserve">validation_skill]</w:t>
      </w:r>
    </w:p>
    <w:p>
      <w:pPr>
        <w:pStyle w:val="Heading2"/>
      </w:pPr>
      <w:r>
        <w:t xml:space="preserve">3.4 营运资本与增长吞噬现金</w:t>
      </w: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FY26：存货 +39.4 亿、应收大增、应付更大增，经营现金仍强（供应商融资特征）。[年报FY26] FY27Q1：存货 </w:t>
      </w:r>
      <w:r>
        <w:rPr>
          <w:rFonts w:ascii="Calibri" w:hAnsi="Calibri" w:eastAsia="SimSun"/>
          <w:b/>
        </w:rPr>
        <w:t xml:space="preserve">157.4 亿</w:t>
      </w:r>
      <w:r>
        <w:rPr>
          <w:rFonts w:ascii="Calibri" w:hAnsi="Calibri" w:eastAsia="SimSun"/>
        </w:rPr>
        <w:t xml:space="preserve">、应收 </w:t>
      </w:r>
      <w:r>
        <w:rPr>
          <w:rFonts w:ascii="Calibri" w:hAnsi="Calibri" w:eastAsia="SimSun"/>
          <w:b/>
        </w:rPr>
        <w:t xml:space="preserve">192.7 亿</w:t>
      </w:r>
      <w:r>
        <w:rPr>
          <w:rFonts w:ascii="Calibri" w:hAnsi="Calibri" w:eastAsia="SimSun"/>
        </w:rPr>
        <w:t xml:space="preserve">；OCF 仅 </w:t>
      </w:r>
      <w:r>
        <w:rPr>
          <w:rFonts w:ascii="Calibri" w:hAnsi="Calibri" w:eastAsia="SimSun"/>
          <w:b/>
        </w:rPr>
        <w:t xml:space="preserve">3.82 亿</w:t>
      </w:r>
      <w:r>
        <w:rPr>
          <w:rFonts w:ascii="Calibri" w:hAnsi="Calibri" w:eastAsia="SimSun"/>
        </w:rPr>
        <w:t xml:space="preserve">——</w:t>
      </w:r>
      <w:r>
        <w:rPr>
          <w:rFonts w:ascii="Calibri" w:hAnsi="Calibri" w:eastAsia="SimSun"/>
          <w:b/>
        </w:rPr>
        <w:t xml:space="preserve">黄灯</w:t>
      </w:r>
      <w:r>
        <w:rPr>
          <w:rFonts w:ascii="Calibri" w:hAnsi="Calibri" w:eastAsia="SimSun"/>
        </w:rPr>
        <w:t xml:space="preserve">。 现金周转期 FY26 升至 </w:t>
      </w:r>
      <w:r>
        <w:rPr>
          <w:rFonts w:ascii="Calibri" w:hAnsi="Calibri" w:eastAsia="SimSun"/>
          <w:b/>
        </w:rPr>
        <w:t xml:space="preserve">17 天</w:t>
      </w:r>
      <w:r>
        <w:rPr>
          <w:rFonts w:ascii="Calibri" w:hAnsi="Calibri" w:eastAsia="SimSun"/>
        </w:rPr>
        <w:t xml:space="preserve">（FY25：2 天）。[年报FY26] </w:t>
      </w:r>
      <w:r>
        <w:rPr>
          <w:rFonts w:ascii="Calibri" w:hAnsi="Calibri" w:eastAsia="SimSun"/>
          <w:b/>
        </w:rPr>
        <w:t xml:space="preserve">若错则：</w:t>
      </w:r>
      <w:r>
        <w:rPr>
          <w:rFonts w:ascii="Calibri" w:hAnsi="Calibri" w:eastAsia="SimSun"/>
        </w:rPr>
        <w:t xml:space="preserve"> 服务器扩张变成「账面收入、库存现金两头挤」，FCF 长期无法覆盖分红+扩张。框架：growth_quality_check_skill。</w:t>
      </w:r>
    </w:p>
    <w:p>
      <w:pPr>
        <w:spacing w:after="80"/>
      </w:pPr>
    </w:p>
    <w:p>
      <w:pPr>
        <w:pStyle w:val="Heading1"/>
      </w:pPr>
      <w:r>
        <w:t xml:space="preserve">第 4 章｜行业位势</w:t>
      </w:r>
    </w:p>
    <w:p>
      <w:pPr>
        <w:pStyle w:val="Heading2"/>
      </w:pPr>
      <w:r>
        <w:t xml:space="preserve">4.1 PC 周期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IDC Q2'26：全球传统 PC 出货 </w:t>
      </w:r>
      <w:r>
        <w:rPr>
          <w:rFonts w:ascii="Calibri" w:hAnsi="Calibri" w:eastAsia="SimSun"/>
          <w:b/>
        </w:rPr>
        <w:t xml:space="preserve">6820 万台（−4.9%）</w:t>
      </w:r>
      <w:r>
        <w:rPr>
          <w:rFonts w:ascii="Calibri" w:hAnsi="Calibri" w:eastAsia="SimSun"/>
        </w:rPr>
        <w:t xml:space="preserve">；联想 </w:t>
      </w:r>
      <w:r>
        <w:rPr>
          <w:rFonts w:ascii="Calibri" w:hAnsi="Calibri" w:eastAsia="SimSun"/>
          <w:b/>
        </w:rPr>
        <w:t xml:space="preserve">1660 万 / 24.4%</w:t>
      </w:r>
      <w:r>
        <w:rPr>
          <w:rFonts w:ascii="Calibri" w:hAnsi="Calibri" w:eastAsia="SimSun"/>
        </w:rPr>
        <w:t xml:space="preserve">；HP 19.1%；Dell 13.6%；Apple +10.1% 为少数增长者。[Web-IDC/NCN]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驱动：内存短缺抑制出货、抬升 ASP；头部份额集中。[Web-IDC memory]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联想：份额创新高与 IDG OPM 稳定并存，符合「量弱价/结构补」。[Q1-FY27]</w:t>
      </w:r>
    </w:p>
    <w:p>
      <w:pPr>
        <w:pStyle w:val="Heading2"/>
      </w:pPr>
      <w:r>
        <w:t xml:space="preserve">4.2 企业 AI 基础设施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训练 vs 推理：管理层判断推理占比提升；联想强调混合 AI 与企业/主权场景。[iFind新闻][年报FY26]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卡位：</w:t>
      </w:r>
      <w:r>
        <w:rPr>
          <w:rFonts w:ascii="Calibri" w:hAnsi="Calibri" w:eastAsia="SimSun"/>
          <w:b/>
        </w:rPr>
        <w:t xml:space="preserve">不是</w:t>
      </w:r>
      <w:r>
        <w:rPr>
          <w:rFonts w:ascii="Calibri" w:hAnsi="Calibri" w:eastAsia="SimSun"/>
        </w:rPr>
        <w:t xml:space="preserve">纯超微式高速 GPU 箱体集成商，也</w:t>
      </w:r>
      <w:r>
        <w:rPr>
          <w:rFonts w:ascii="Calibri" w:hAnsi="Calibri" w:eastAsia="SimSun"/>
          <w:b/>
        </w:rPr>
        <w:t xml:space="preserve">不是</w:t>
      </w:r>
      <w:r>
        <w:rPr>
          <w:rFonts w:ascii="Calibri" w:hAnsi="Calibri" w:eastAsia="SimSun"/>
        </w:rPr>
        <w:t xml:space="preserve">纯浪潮式国内政企 JDM；而是全球品牌 OEM + 液冷/整柜 + 服务附着，夹在 Dell 与 ODM Direct 之间。[china-competitive-analysis]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Dell：AI backlog 950 亿、ISG OPM 15%（其 FY27Q2）——证明赛道可盈利，也抬高竞争强度。[Web-Dell]</w:t>
      </w:r>
    </w:p>
    <w:p>
      <w:pPr>
        <w:pStyle w:val="Heading2"/>
      </w:pPr>
      <w:r>
        <w:t xml:space="preserve">4.3 份额与竞争地图（谁在抢同一美元）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标的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市值（约）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PE/PS（T0 近）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近况一句话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与联想最可比点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相对估值暗示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联想 0992.HK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3796 亿港元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PE_TTM 失真；PS 0.53；正常化 ~18–24x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Q1 经调整爆发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本体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Dell DELL.N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~3190 亿美元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 ~28x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订单与 backlog 领先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ISG/AI 服务器主对标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联想折价于 Dell 成长溢价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HP HPQ.N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~288 亿美元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 ~12x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PC/打印更周期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IDG PC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联想应高于 HP（因 AI/服务器）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SMCI SMCI.O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~243 亿美元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 ~11x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服务器高弹性、波动大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服务器弹性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倍数低但风险高，不宜直接锚定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浪潮 000977.SZ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~1258 亿人民币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 ~28x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国内 AI 服务器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中国区服务器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国内溢价含政策溢价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曙光 603019.SH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~1248 亿人民币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 ~52x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算力/国产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国产算力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 PE 不可直接套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工业富联 601138.SH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~1.23 万亿人民币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 ~26x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服务器制造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制造/ODM 环节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制造溢价 vs 品牌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紫光股份 000938.SZ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~1087 亿人民币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 ~39x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新华三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企业网/服务器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国内政企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华为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非上市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鲲鹏/昇腾生态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中国替代者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份额威胁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[Wind peers][iFind A股摘要]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结论：联想应交易在「综合科技硬件 / AI 基础设施成长股」区间，而非纯 PC 周期股（HP 式个位数–低十倍），也达不到纯 AI 服务器故事最高溢价。</w:t>
      </w:r>
      <w:r>
        <w:rPr>
          <w:rFonts w:ascii="Calibri" w:hAnsi="Calibri" w:eastAsia="SimSun"/>
        </w:rPr>
        <w:t xml:space="preserve"> 框架：peer_comparison_decision_skill + china-comps。</w:t>
      </w:r>
    </w:p>
    <w:p>
      <w:pPr>
        <w:spacing w:after="80"/>
      </w:pPr>
    </w:p>
    <w:p>
      <w:pPr>
        <w:pStyle w:val="Heading1"/>
      </w:pPr>
      <w:r>
        <w:t xml:space="preserve">第 5 章｜分业务预测（FY27E–FY29E）</w:t>
      </w:r>
    </w:p>
    <w:p>
      <w:pPr>
        <w:pStyle w:val="Normal"/>
        <w:shd w:val="clear" w:color="auto" w:fill="E8EEF4"/>
        <w:pBdr>
          <w:left w:val="single" w:color="1C3A5E" w:sz="18" w:space="8"/>
        </w:pBdr>
        <w:spacing w:before="80" w:after="160" w:line="276" w:lineRule="auto"/>
      </w:pPr>
      <w:r>
        <w:rPr>
          <w:rFonts w:ascii="Calibri" w:hAnsi="Calibri" w:eastAsia="SimSun"/>
          <w:b/>
        </w:rPr>
        <w:t xml:space="preserve">切点 A：FY27=FY2026/27，FY28=FY2027/28，FY29=FY2028/29（日历 2028 年末落在 FY29 运行期）。单位：亿美元。</w:t>
      </w:r>
    </w:p>
    <w:p>
      <w:pPr>
        <w:pStyle w:val="Heading2"/>
      </w:pPr>
      <w:r>
        <w:t xml:space="preserve">5.1 IDG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情景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FY27E 收入/OPM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FY28E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FY29E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关键驱动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若错则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乐观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72 / 7.3%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78 / 7.4%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84 / 7.5%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份额&gt;25%、AI PC 溢价兑现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变为中性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68 / 7.0%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72 / 6.9%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75 / 6.8%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份额维持~24%、ASP 对冲量缩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 CAGR 仅低单位数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悲观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60 / 6.0%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58 / 5.5%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56 / 5.2%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出货两位数下滑+价格战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集团利润率难升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手机：贡献增长但利润率低于 PC，定位为份额与品牌卫星，非估值主锚。[Q1-FY27]</w:t>
      </w:r>
    </w:p>
    <w:p>
      <w:pPr>
        <w:pStyle w:val="Heading2"/>
      </w:pPr>
      <w:r>
        <w:t xml:space="preserve">5.2 ISG（含 pipeline 公式）</w:t>
      </w: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中性公式参数：转化率 32%、取消率 18%、交付因子 0.85；乐观 42%/10%/0.9；悲观 20%/30%/0.7。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情景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FY27E 收入/OPM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FY28E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FY29E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驱动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若错则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乐观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36 / 8.5%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48 / 9.0%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58 / 9.5%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pipeline 高转化+OPM 巩固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市值上修至乐观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30 / 6.5%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38 / 7.0%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44 / 7.2%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部分转化、OPM 从 9.1% 均值回归仍高于 FY26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再评级失败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悲观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22 / 2.5%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24 / 3.0%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25 / 3.0%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取消潮+价格战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回到微利叙事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说明：</w:t>
      </w:r>
      <w:r>
        <w:rPr>
          <w:rFonts w:ascii="Calibri" w:hAnsi="Calibri" w:eastAsia="SimSun"/>
        </w:rPr>
        <w:t xml:space="preserve"> FY27Q1 单季 85 亿不可 ×4；中性全年 300 亿已隐含后续季度环比回落但仍高增。</w:t>
      </w:r>
    </w:p>
    <w:p>
      <w:pPr>
        <w:pStyle w:val="Heading2"/>
      </w:pPr>
      <w:r>
        <w:t xml:space="preserve">5.3 SSG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情景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FY27E 收入/OPM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FY28E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FY29E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驱动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若错则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乐观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13.5 / 24.5%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16.5 / 24.0%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19.5 / 23.5%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服务+TruScale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12.5 / 23.5%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14.8 / 23.0%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17.0 / 22.5%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经常性占比维持高位（代理：非硬件关联&gt;60%）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OPM 因交付成本降至 &lt;20%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悲观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11.0 / 20.0%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11.5 / 18.0%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12.0 / 17.0%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增长失速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估值切回硬件股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5.4 集团加总（中性）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/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FY28E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FY29E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IDG+ISG+SSG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110.5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124.8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136.0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减：抵消等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−5.5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−6.0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−6.5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集团收入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105.0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118.8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129.5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毛利率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16.2%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16.3%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经调整净利率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3.7%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4.2%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经调整净利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3.90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4.75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5.50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乐观/悲观集团净利路径见第 6 章。加总误差控制在 1% 内（抵消为模型项）。</w:t>
      </w:r>
    </w:p>
    <w:p>
      <w:pPr>
        <w:spacing w:after="80"/>
      </w:pPr>
    </w:p>
    <w:p>
      <w:pPr>
        <w:pStyle w:val="Heading1"/>
      </w:pPr>
      <w:r>
        <w:t xml:space="preserve">第 6 章｜三情景 2026–2028（集团）</w:t>
      </w:r>
    </w:p>
    <w:p>
      <w:pPr>
        <w:pStyle w:val="Heading2"/>
      </w:pPr>
      <w:r>
        <w:t xml:space="preserve">6.1 情景定义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情景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概率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叙事一句话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收入 CAGR（FY26→FY29）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净利路径（adj，亿USD）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关键触发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乐观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ISG 利润率巩固+PC ASP 扩张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~20%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4.8 / 6.2 / 7.2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OPM_ISG 全年≥7.5%；pipeline 转化&gt;40%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高增但均值回归、WC 可控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~16%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3.9 / 4.75 / 5.5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OPM_ISG 全年 5.5–7%；转化~32%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悲观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交付失败+PC 下行+稀释冲击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~7%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2.8 / 3.1 / 3.3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OPM_ISG&lt;3.5%；出货两位数跌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框架：bull_bear_case_builder_skill + china-thesis-tracker。</w:t>
      </w:r>
    </w:p>
    <w:p>
      <w:pPr>
        <w:pStyle w:val="Heading2"/>
      </w:pPr>
      <w:r>
        <w:t xml:space="preserve">6.2 输出表（亿美元）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中性：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/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FY28E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FY29E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105.0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118.8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129.5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毛利率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16.2%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16.3%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经营利润（约）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7.8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9.2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10.3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Adj 净利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3.90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4.75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5.50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FCF（定义同前，粗）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4.0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5.5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乐观 FY29 adj 净利 7.2；悲观 3.3。</w:t>
      </w:r>
    </w:p>
    <w:p>
      <w:pPr>
        <w:pStyle w:val="Heading2"/>
      </w:pPr>
      <w:r>
        <w:t xml:space="preserve">6.3 日历年 vs FY；Q1 年化警告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2028 日历年末</w:t>
      </w:r>
      <w:r>
        <w:rPr>
          <w:rFonts w:ascii="Calibri" w:hAnsi="Calibri" w:eastAsia="SimSun"/>
        </w:rPr>
        <w:t xml:space="preserve">对应估值盈利用 </w:t>
      </w:r>
      <w:r>
        <w:rPr>
          <w:rFonts w:ascii="Calibri" w:hAnsi="Calibri" w:eastAsia="SimSun"/>
          <w:b/>
        </w:rPr>
        <w:t xml:space="preserve">FY29</w:t>
      </w:r>
      <w:r>
        <w:rPr>
          <w:rFonts w:ascii="Calibri" w:hAnsi="Calibri" w:eastAsia="SimSun"/>
        </w:rPr>
        <w:t xml:space="preserve">（切点 A）。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FY27Q1 adj 净利 10.75 </w:t>
      </w:r>
      <w:r>
        <w:rPr>
          <w:rFonts w:ascii="Calibri" w:hAnsi="Calibri" w:eastAsia="SimSun"/>
          <w:b/>
        </w:rPr>
        <w:t xml:space="preserve">禁止 ×4</w:t>
      </w:r>
      <w:r>
        <w:rPr>
          <w:rFonts w:ascii="Calibri" w:hAnsi="Calibri" w:eastAsia="SimSun"/>
        </w:rPr>
        <w:t xml:space="preserve">（=43）；季节性、备货与 AI 交付节奏使 Q2–Q4 更可能「高增但环比波动」。中性全年 39 亿 ≈ Q1 的 3.6 倍，已含回归。</w:t>
      </w:r>
    </w:p>
    <w:p>
      <w:pPr>
        <w:spacing w:after="80"/>
      </w:pPr>
    </w:p>
    <w:p>
      <w:pPr>
        <w:pStyle w:val="Heading1"/>
      </w:pPr>
      <w:r>
        <w:t xml:space="preserve">第 7 章｜市场预期差（核心章）</w:t>
      </w:r>
    </w:p>
    <w:p>
      <w:pPr>
        <w:pStyle w:val="Heading2"/>
      </w:pPr>
      <w:r>
        <w:t xml:space="preserve">7.1 市场 orthodoxy（共识故事）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1. 「AI 服务器订单爆炸 → 联想从 PC 股切到 AI 基础设施股」。[iFind新闻][公众号多篇]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2. 「ISG 9.1% OPM 证明盈利机制切换，可对标 Dell 再评级」。[公众号-ISG机制][券商-国投-20260814]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3. 「全年营收冲击 1000 亿美元、净利率走向 5%+」。[公众号-戴尔式估值][券商-太平洋]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4. 「正常化 PE 应到 16–17x（CFO 口径）甚至更高」。[公众号-深访CFO]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5. 价格行为：2026 年内从 ~1000 亿港元市值级跃升至 4000 亿前后，FY27Q1 当日大涨。[公众号-端侧AI][iFind新闻]</w:t>
      </w:r>
    </w:p>
    <w:p>
      <w:pPr>
        <w:pStyle w:val="Heading2"/>
      </w:pPr>
      <w:r>
        <w:t xml:space="preserve">7.2 价格在交易什么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指标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T0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含义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PE_TTM 60x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会计扭曲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不是极贵经营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正常化 PE ~18–24x FY26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中等偏贵历史 PC 股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已含部分转型溢价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FY27E 中性 12.4x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不便宜也不极端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接近「盈利兑现」带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PS 0.53x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对硬件偏合理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未到软件溢价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vs Dell PE ~28x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折价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规模/积压/利润率差距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框架：valuation-pricing-framework + hot_stock_quick_read_skill + valuation_snapshot_skill。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判断：当前更接近「盈利开始兑现的溢价」叠加残留「AI 期权」；区分指标看 ISG OPM 与 FCF，而非 pipeline 新闻标题。</w:t>
      </w:r>
    </w:p>
    <w:p>
      <w:pPr>
        <w:pStyle w:val="Heading2"/>
      </w:pPr>
      <w:r>
        <w:t xml:space="preserve">7.3 非共识观点（≤3）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1. </w:t>
      </w:r>
      <w:r>
        <w:rPr>
          <w:rFonts w:ascii="Calibri" w:hAnsi="Calibri" w:eastAsia="SimSun"/>
          <w:b/>
        </w:rPr>
        <w:t xml:space="preserve">卖方 FY27–29 净利中枢偏乐观（尤其太平洋）：</w:t>
      </w:r>
      <w:r>
        <w:rPr>
          <w:rFonts w:ascii="Calibri" w:hAnsi="Calibri" w:eastAsia="SimSun"/>
        </w:rPr>
        <w:t xml:space="preserve"> 太平洋 38.5/63.1/93.4 亿；国盛 40.2/51.0/59.9；国投 41.5/56.3（2027/28E）。我们中性 </w:t>
      </w:r>
      <w:r>
        <w:rPr>
          <w:rFonts w:ascii="Calibri" w:hAnsi="Calibri" w:eastAsia="SimSun"/>
          <w:b/>
        </w:rPr>
        <w:t xml:space="preserve">39/47.5/55</w:t>
      </w:r>
      <w:r>
        <w:rPr>
          <w:rFonts w:ascii="Calibri" w:hAnsi="Calibri" w:eastAsia="SimSun"/>
        </w:rPr>
        <w:t xml:space="preserve">，接近国盛但低于其 FY28–29 斜率，显著低于太平洋。证据：WC 吞噬、OPM 均值回归、竞争。证伪：连续三季 adj 净利率≥4.5% 且 FCF 转正强劲 → 上修。市值影响：若我们错向太平洋，中性市值可上修 40%+。[券商三份-202608]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2. </w:t>
      </w:r>
      <w:r>
        <w:rPr>
          <w:rFonts w:ascii="Calibri" w:hAnsi="Calibri" w:eastAsia="SimSun"/>
          <w:b/>
        </w:rPr>
        <w:t xml:space="preserve">Pipeline 540 亿的「可见度」被高估：</w:t>
      </w:r>
      <w:r>
        <w:rPr>
          <w:rFonts w:ascii="Calibri" w:hAnsi="Calibri" w:eastAsia="SimSun"/>
        </w:rPr>
        <w:t xml:space="preserve"> 中性只计入约三分之一滚动转化。证伪：公司后续披露 backlog 口径或交付指引澄清。影响：ISG 收入差 ±80 亿 → 净利 ±0.6–1.0 亿量级以上。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3. </w:t>
      </w:r>
      <w:r>
        <w:rPr>
          <w:rFonts w:ascii="Calibri" w:hAnsi="Calibri" w:eastAsia="SimSun"/>
          <w:b/>
        </w:rPr>
        <w:t xml:space="preserve">稀释与权证会计被市场选择性忽视：</w:t>
      </w:r>
      <w:r>
        <w:rPr>
          <w:rFonts w:ascii="Calibri" w:hAnsi="Calibri" w:eastAsia="SimSun"/>
        </w:rPr>
        <w:t xml:space="preserve"> 潜在 CB+权证稀释可达十几个百分点；估值用基本股本会高估每股价值。证伪：到期未转/注销。影响：目标价下修 ~10–15%。</w:t>
      </w:r>
    </w:p>
    <w:p>
      <w:pPr>
        <w:pStyle w:val="Heading2"/>
      </w:pPr>
      <w:r>
        <w:t xml:space="preserve">7.4 预期差来源表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项目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卖方/舆论中枢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本报告中性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差因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FY27 adj 净利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~40–41 亿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39 亿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接近，略保守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FY28–29 斜率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国盛高、太平洋极高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更平缓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OPM/竞争/WC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Pipeline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常被当作收入锁定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转化情景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口径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退出 PE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16x 常见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中性 14x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稀释与硬件属性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目标价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42–52 港元（8 月）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2028E 48.7；12m 34.5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时间维度不同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7.5 催化剂与认错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收窄预期差：</w:t>
      </w:r>
      <w:r>
        <w:rPr>
          <w:rFonts w:ascii="Calibri" w:hAnsi="Calibri" w:eastAsia="SimSun"/>
        </w:rPr>
        <w:t xml:space="preserve"> 连续季度 ISG OPM&gt;6%；FCF 改善；FY27 收入≥1000 亿；Dell 等同行继续验证需求。[iFind-20260902] </w:t>
      </w:r>
      <w:r>
        <w:rPr>
          <w:rFonts w:ascii="Calibri" w:hAnsi="Calibri" w:eastAsia="SimSun"/>
          <w:b/>
        </w:rPr>
        <w:t xml:space="preserve">认错：</w:t>
      </w:r>
      <w:r>
        <w:rPr>
          <w:rFonts w:ascii="Calibri" w:hAnsi="Calibri" w:eastAsia="SimSun"/>
        </w:rPr>
        <w:t xml:space="preserve"> ISG OPM 回落&lt;4% 两季；存货/应收失控；PC 份额跌破 22%；出口管制重大订单取消。</w:t>
      </w:r>
    </w:p>
    <w:p>
      <w:pPr>
        <w:pStyle w:val="Heading2"/>
      </w:pPr>
      <w:r>
        <w:t xml:space="preserve">7.6 Bull / Bear（可交易）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Bull：</w:t>
      </w:r>
      <w:r>
        <w:rPr>
          <w:rFonts w:ascii="Calibri" w:hAnsi="Calibri" w:eastAsia="SimSun"/>
        </w:rPr>
        <w:t xml:space="preserve">（1）ISG 全年 OPM≥8% → 净利向 50 亿+ → 市值向 7000 亿+；（2）AI PC+ASP 使 IDG 超预期；（3）再评级到 16–18x。 </w:t>
      </w:r>
      <w:r>
        <w:rPr>
          <w:rFonts w:ascii="Calibri" w:hAnsi="Calibri" w:eastAsia="SimSun"/>
          <w:b/>
        </w:rPr>
        <w:t xml:space="preserve">Bear：</w:t>
      </w:r>
      <w:r>
        <w:rPr>
          <w:rFonts w:ascii="Calibri" w:hAnsi="Calibri" w:eastAsia="SimSun"/>
        </w:rPr>
        <w:t xml:space="preserve">（1）pipeline 泡沫化；（2）PC+库存双杀；（3）竞争与管制。 </w:t>
      </w:r>
      <w:r>
        <w:rPr>
          <w:rFonts w:ascii="Calibri" w:hAnsi="Calibri" w:eastAsia="SimSun"/>
          <w:b/>
        </w:rPr>
        <w:t xml:space="preserve">我们立场：</w:t>
      </w:r>
      <w:r>
        <w:rPr>
          <w:rFonts w:ascii="Calibri" w:hAnsi="Calibri" w:eastAsia="SimSun"/>
        </w:rPr>
        <w:t xml:space="preserve"> 中性已 embeds「OPM 从 9.1% 回归但仍远好于 FY26」+「转化三分之一」；超配逻辑看 12–24 个月 </w:t>
      </w:r>
      <w:r>
        <w:rPr>
          <w:rFonts w:ascii="Calibri" w:hAnsi="Calibri" w:eastAsia="SimSun"/>
          <w:b/>
        </w:rPr>
        <w:t xml:space="preserve">机制验证</w:t>
      </w:r>
      <w:r>
        <w:rPr>
          <w:rFonts w:ascii="Calibri" w:hAnsi="Calibri" w:eastAsia="SimSun"/>
        </w:rPr>
        <w:t xml:space="preserve">，非追当日涨幅。</w:t>
      </w:r>
    </w:p>
    <w:p>
      <w:pPr>
        <w:spacing w:after="80"/>
      </w:pPr>
    </w:p>
    <w:p>
      <w:pPr>
        <w:pStyle w:val="Heading1"/>
      </w:pPr>
      <w:r>
        <w:t xml:space="preserve">第 8 章｜估值</w:t>
      </w:r>
    </w:p>
    <w:p>
      <w:pPr>
        <w:pStyle w:val="Heading2"/>
      </w:pPr>
      <w:r>
        <w:t xml:space="preserve">8.1 主方法选择：M1（FY29 adj 净利 × 退出 PE）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为什么选 M1：</w:t>
      </w:r>
      <w:r>
        <w:rPr>
          <w:rFonts w:ascii="Calibri" w:hAnsi="Calibri" w:eastAsia="SimSun"/>
        </w:rPr>
        <w:t xml:space="preserve"> 利润结构快速变化，分部 SOP 对 ISG 订单倍数主观更强；市场交易主锚已是盈利与 PE 再评级。 </w:t>
      </w:r>
      <w:r>
        <w:rPr>
          <w:rFonts w:ascii="Calibri" w:hAnsi="Calibri" w:eastAsia="SimSun"/>
          <w:b/>
        </w:rPr>
        <w:t xml:space="preserve">为什么不用纯 DCF 作主方法：</w:t>
      </w:r>
      <w:r>
        <w:rPr>
          <w:rFonts w:ascii="Calibri" w:hAnsi="Calibri" w:eastAsia="SimSun"/>
        </w:rPr>
        <w:t xml:space="preserve"> AI 服务器 WC、capex 与转化率高度不确定，DCF 对终端假设过敏感；作交叉检验。 </w:t>
      </w:r>
      <w:r>
        <w:rPr>
          <w:rFonts w:ascii="Calibri" w:hAnsi="Calibri" w:eastAsia="SimSun"/>
          <w:b/>
        </w:rPr>
        <w:t xml:space="preserve">为什么不用单独 M2 SOP 作主：</w:t>
      </w:r>
      <w:r>
        <w:rPr>
          <w:rFonts w:ascii="Calibri" w:hAnsi="Calibri" w:eastAsia="SimSun"/>
        </w:rPr>
        <w:t xml:space="preserve"> 可作为附录敏感，但主结论要对 IC 可沟通的单一盈利率路径负责。 框架：valuation-pricing-framework + china-initiating-coverage + china-ic-memo。</w:t>
      </w:r>
    </w:p>
    <w:p>
      <w:pPr>
        <w:pStyle w:val="Heading2"/>
      </w:pPr>
      <w:r>
        <w:t xml:space="preserve">8.2 退出倍数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情景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退出 PE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辩护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若错则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乐观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18x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接近 CFO 16–17x 上沿 + Dell 折价收敛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用 14x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14x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综合硬件：高于 HP、低于 Dell 成长峰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区间 12–16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悲观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10x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退回 PC 周期定价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8.3 2028E 市值输出（港币）</w:t>
      </w: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假设：USD/HKD=</w:t>
      </w:r>
      <w:r>
        <w:rPr>
          <w:rFonts w:ascii="Calibri" w:hAnsi="Calibri" w:eastAsia="SimSun"/>
          <w:b/>
        </w:rPr>
        <w:t xml:space="preserve">7.842</w:t>
      </w:r>
      <w:r>
        <w:rPr>
          <w:rFonts w:ascii="Calibri" w:hAnsi="Calibri" w:eastAsia="SimSun"/>
        </w:rPr>
        <w:t xml:space="preserve"> [Web-Investing/TE 2026-09-03]；股本 </w:t>
      </w:r>
      <w:r>
        <w:rPr>
          <w:rFonts w:ascii="Calibri" w:hAnsi="Calibri" w:eastAsia="SimSun"/>
          <w:b/>
        </w:rPr>
        <w:t xml:space="preserve">124.05 亿股</w:t>
      </w:r>
      <w:r>
        <w:rPr>
          <w:rFonts w:ascii="Calibri" w:hAnsi="Calibri" w:eastAsia="SimSun"/>
        </w:rPr>
        <w:t xml:space="preserve">（基本；稀释见敏感）。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情景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FY29 adj 净利 (USD bn)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PE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市值 USD bn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市值 亿港元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股价 港元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vs T0 CAGR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乐观 25%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7.2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129.6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10,160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81.9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~49%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中性 50%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5.5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14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77.0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6,040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48.7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~22%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悲观 25%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3.3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33.0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2,590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20.9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~−16%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概率加权市值 ≈ </w:t>
      </w:r>
      <w:r>
        <w:rPr>
          <w:rFonts w:ascii="Calibri" w:hAnsi="Calibri" w:eastAsia="SimSun"/>
          <w:b/>
        </w:rPr>
        <w:t xml:space="preserve">6,210 亿港元</w:t>
      </w:r>
      <w:r>
        <w:rPr>
          <w:rFonts w:ascii="Calibri" w:hAnsi="Calibri" w:eastAsia="SimSun"/>
        </w:rPr>
        <w:t xml:space="preserve">。 12 个月中枢：FY27E 3.9 × 14 × 7.842 ≈ </w:t>
      </w:r>
      <w:r>
        <w:rPr>
          <w:rFonts w:ascii="Calibri" w:hAnsi="Calibri" w:eastAsia="SimSun"/>
          <w:b/>
        </w:rPr>
        <w:t xml:space="preserve">4,280 亿港元</w:t>
      </w:r>
      <w:r>
        <w:rPr>
          <w:rFonts w:ascii="Calibri" w:hAnsi="Calibri" w:eastAsia="SimSun"/>
        </w:rPr>
        <w:t xml:space="preserve"> → </w:t>
      </w:r>
      <w:r>
        <w:rPr>
          <w:rFonts w:ascii="Calibri" w:hAnsi="Calibri" w:eastAsia="SimSun"/>
          <w:b/>
        </w:rPr>
        <w:t xml:space="preserve">34.5 港元</w:t>
      </w:r>
      <w:r>
        <w:rPr>
          <w:rFonts w:ascii="Calibri" w:hAnsi="Calibri" w:eastAsia="SimSun"/>
        </w:rPr>
        <w:t xml:space="preserve">（+13%）。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稀释敏感：</w:t>
      </w:r>
      <w:r>
        <w:rPr>
          <w:rFonts w:ascii="Calibri" w:hAnsi="Calibri" w:eastAsia="SimSun"/>
        </w:rPr>
        <w:t xml:space="preserve"> 若有效股本升至 135 亿股，中性股价 ≈ </w:t>
      </w:r>
      <w:r>
        <w:rPr>
          <w:rFonts w:ascii="Calibri" w:hAnsi="Calibri" w:eastAsia="SimSun"/>
          <w:b/>
        </w:rPr>
        <w:t xml:space="preserve">44.7 港元</w:t>
      </w:r>
      <w:r>
        <w:rPr>
          <w:rFonts w:ascii="Calibri" w:hAnsi="Calibri" w:eastAsia="SimSun"/>
        </w:rPr>
        <w:t xml:space="preserve">（仍高于 T0）。</w:t>
      </w:r>
    </w:p>
    <w:p>
      <w:pPr>
        <w:pStyle w:val="Heading2"/>
      </w:pPr>
      <w:r>
        <w:t xml:space="preserve">8.4 DCF 交叉检验（简化）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FCFF：以中性 FCF 路径 2.5/4.0/5.5 亿 USD 并向 FY29 后收敛至净利×80% 现金转化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WACC </w:t>
      </w:r>
      <w:r>
        <w:rPr>
          <w:rFonts w:ascii="Calibri" w:hAnsi="Calibri" w:eastAsia="SimSun"/>
          <w:b/>
        </w:rPr>
        <w:t xml:space="preserve">9.5%</w:t>
      </w:r>
      <w:r>
        <w:rPr>
          <w:rFonts w:ascii="Calibri" w:hAnsi="Calibri" w:eastAsia="SimSun"/>
        </w:rPr>
        <w:t xml:space="preserve">，永续 g </w:t>
      </w:r>
      <w:r>
        <w:rPr>
          <w:rFonts w:ascii="Calibri" w:hAnsi="Calibri" w:eastAsia="SimSun"/>
          <w:b/>
        </w:rPr>
        <w:t xml:space="preserve">3.0%</w:t>
      </w:r>
      <w:r>
        <w:rPr>
          <w:rFonts w:ascii="Calibri" w:hAnsi="Calibri" w:eastAsia="SimSun"/>
        </w:rPr>
        <w:t xml:space="preserve">，明确预测至 FY29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结果区间约 </w:t>
      </w:r>
      <w:r>
        <w:rPr>
          <w:rFonts w:ascii="Calibri" w:hAnsi="Calibri" w:eastAsia="SimSun"/>
          <w:b/>
        </w:rPr>
        <w:t xml:space="preserve">4500–5500 亿港元</w:t>
      </w:r>
      <w:r>
        <w:rPr>
          <w:rFonts w:ascii="Calibri" w:hAnsi="Calibri" w:eastAsia="SimSun"/>
        </w:rPr>
        <w:t xml:space="preserve">（低于 M1 中性），主因近两年 WC 拖累拉低 FCFF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差异约 10–25%：可接受；若 ISG 现金转化改善，DCF 向 M1 靠拢</w:t>
      </w: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框架：dcf-model + china-dcf-model。</w:t>
      </w:r>
    </w:p>
    <w:p>
      <w:pPr>
        <w:pStyle w:val="Heading2"/>
      </w:pPr>
      <w:r>
        <w:t xml:space="preserve">8.5 结论映射</w:t>
      </w: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要求回报阈值 </w:t>
      </w:r>
      <w:r>
        <w:rPr>
          <w:rFonts w:ascii="Calibri" w:hAnsi="Calibri" w:eastAsia="SimSun"/>
          <w:b/>
        </w:rPr>
        <w:t xml:space="preserve">12%</w:t>
      </w:r>
      <w:r>
        <w:rPr>
          <w:rFonts w:ascii="Calibri" w:hAnsi="Calibri" w:eastAsia="SimSun"/>
        </w:rPr>
        <w:t xml:space="preserve">（港股科技硬件权益成本近似）。中性 CAGR </w:t>
      </w:r>
      <w:r>
        <w:rPr>
          <w:rFonts w:ascii="Calibri" w:hAnsi="Calibri" w:eastAsia="SimSun"/>
          <w:b/>
        </w:rPr>
        <w:t xml:space="preserve">~22%</w:t>
      </w:r>
      <w:r>
        <w:rPr>
          <w:rFonts w:ascii="Calibri" w:hAnsi="Calibri" w:eastAsia="SimSun"/>
        </w:rPr>
        <w:t xml:space="preserve"> &gt; 12%，且预期差偏正、悲观市值仍有 2590 亿（约 −32% 空间但非归零）→ </w:t>
      </w:r>
      <w:r>
        <w:rPr>
          <w:rFonts w:ascii="Calibri" w:hAnsi="Calibri" w:eastAsia="SimSun"/>
          <w:b/>
        </w:rPr>
        <w:t xml:space="preserve">买入</w:t>
      </w:r>
      <w:r>
        <w:rPr>
          <w:rFonts w:ascii="Calibri" w:hAnsi="Calibri" w:eastAsia="SimSun"/>
        </w:rPr>
        <w:t xml:space="preserve">（非「无脑追高」：12m 空间有限，赔率主要在 2027–2028 机制确认）。</w:t>
      </w:r>
    </w:p>
    <w:p>
      <w:pPr>
        <w:spacing w:after="80"/>
      </w:pPr>
    </w:p>
    <w:p>
      <w:pPr>
        <w:pStyle w:val="Heading1"/>
      </w:pPr>
      <w:r>
        <w:t xml:space="preserve">第 9 章｜风险与验证清单</w:t>
      </w:r>
    </w:p>
    <w:p>
      <w:pPr>
        <w:pStyle w:val="Heading2"/>
      </w:pPr>
      <w:r>
        <w:t xml:space="preserve">9.1 假设清单 H1–H10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ID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假设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证据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监测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证伪阈值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市值影响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H1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PC 出货全球低个位数下滑、联想份额≥23.5%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IDC/Q1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季度份额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份额&lt;22%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−10–15%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H2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PC 带来 ASP 净正贡献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公司份额 25.1%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GM、ASP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PC 无溢价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−5–8%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H3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Pipeline 12 个月转化~32%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历史放量+同行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服务器收入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转化&lt;15%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−20%+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H4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ISG FY27 全年 OPM≥5.5%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Q1 9.1%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分部 OPM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&lt;3.5% 两季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−25%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SSG 收入双位数、OPM≥21%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Q1 24.2%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分部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OPM&lt;18%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−8%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H6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USD/HKD 7.70–7.90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联系汇率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汇率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偏离&gt;3%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目标价近似同比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H7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全球品牌服务器份额不崩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IDC #2/#3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份额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掉出前五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−15%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H8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WC/Sales 可控，FY27 FCF≥15 亿美元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FY26 FCF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OCF/存货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FCF 连续为负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−15%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H9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稀释有效增幅 ≤15% 至 2028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CB/权证条款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股本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全面稀释&gt;20%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股价−10–15%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H10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无重大出口管制断供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公开新闻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管制清单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核心市场切断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−30% 尾部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QC1–QC16 自检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ID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检查项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结果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 现价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Wind 实取 30.600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QC2 市值勾稽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30.6×124.0466 亿=3795.83 亿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QC3 币种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USD 报表 / HKD 市值，汇率 7.842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QC4 财年切点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切点 A=FY29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QC5 三情景加总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分业务可加总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QC6 年报精读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FY25、FY26、FY27Q1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QC7 券商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2026-08 三份 + 国盛/国泰海通 20260530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QC8 公众号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≥8（CFO/业绩/估值/戴尔/ISG 等）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QC9 WebSearch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≥8（IDC/Dell/汇率/年报交叉/份额/内存/稀释等）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QC10 Skills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Wind≥8 + china-*≥6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QC11 主估值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M1 + DCF 交叉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QC12 市值三情景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10160/6040/2590 亿港元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QC13 结论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买入与 22% IRR 自洽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QC14 来源标签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关键数字已标注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QC15 行数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≥500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PASS（见文件统计）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QC16 密钥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无邮箱/API/token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PASS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A. 数据来源表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类型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内容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Wind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现价/股本/市值/PE/PB/PS/股息/股东/同业/基本面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iFind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港股报价核对；A 股同业摘要；新闻检索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年报/业绩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FY25、FY26、FY27Q1 PDF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券商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太平洋/国盛/国投 202608；国盛/国泰海通 20260530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公众号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CFO 访谈、戴尔式估值、ISG 机制、市值叙事等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Web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IDC/Omdia PC；Dell backlog；USD/HKD；HyperFRAME；HKEX 稀释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B. PDF 精读清单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文件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关键数字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联想集团_2025-26年报.pdf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 830.75；adj NI 20.49；分部；OCF；净现金；AI 33%；pipeline 210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联想集团_2024-25年报.pdf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收入 690.77；adj NI 14.41；净债务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联想集团_2026-27第一季度业绩.pdf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269.43；adj NI 10.75；ISG 9.1%；pipeline 540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20260818-太平洋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买入；激进利润预测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20260814-国盛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买入；TP 52；16x FY28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20260814-国投香港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买入；TP 42.4；adj 41.5/56.3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20260530-国盛/国泰海通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FY26 点评与当时更保守预测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公众号≥5 新下载 + 已有抽取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估值叙事与 ISG 机制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C. Wind/iFind 调用记录摘要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工具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用途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成功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get_stock_price_indicators 0992.HK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现价截面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get_stock_equity_holders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股东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get_stock_basicinfo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英文名/主营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get_stock_fundamentals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PB/PS/ROE 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get_stock_events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分红/季报序列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peers indicators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Dell/HP/SMCI/A股同业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iFind global_stock_quotes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30.6 核对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iFind get_stock_summary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 股同业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iFind search_news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AI 订单新闻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economic FX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Web 回退 USD/HKD=7.842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Y（Wind EDB 参数回退）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D. Skills 使用清单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Wind 系（≥8）：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1. valuation-pricing-framework — 第7–8章主方法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2. earnings-analysis — 第3章调整桥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3. dcf-model — 第8.4交叉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4. valuation</w:t>
      </w:r>
      <w:r>
        <w:rPr>
          <w:rFonts w:ascii="Calibri" w:hAnsi="Calibri" w:eastAsia="SimSun"/>
          <w:i/>
        </w:rPr>
        <w:t xml:space="preserve">snapshot</w:t>
      </w:r>
      <w:r>
        <w:rPr>
          <w:rFonts w:ascii="Calibri" w:hAnsi="Calibri" w:eastAsia="SimSun"/>
        </w:rPr>
        <w:t xml:space="preserve">skill — 信息表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5. equity-investment-thesis — 执行摘要三句逻辑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6. bull</w:t>
      </w:r>
      <w:r>
        <w:rPr>
          <w:rFonts w:ascii="Calibri" w:hAnsi="Calibri" w:eastAsia="SimSun"/>
          <w:i/>
        </w:rPr>
        <w:t xml:space="preserve">bear</w:t>
      </w:r>
      <w:r>
        <w:rPr>
          <w:rFonts w:ascii="Calibri" w:hAnsi="Calibri" w:eastAsia="SimSun"/>
        </w:rPr>
        <w:t xml:space="preserve">case</w:t>
      </w:r>
      <w:r>
        <w:rPr>
          <w:rFonts w:ascii="Calibri" w:hAnsi="Calibri" w:eastAsia="SimSun"/>
          <w:i/>
        </w:rPr>
        <w:t xml:space="preserve">builder</w:t>
      </w:r>
      <w:r>
        <w:rPr>
          <w:rFonts w:ascii="Calibri" w:hAnsi="Calibri" w:eastAsia="SimSun"/>
        </w:rPr>
        <w:t xml:space="preserve">skill — 第6–7章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7. peer</w:t>
      </w:r>
      <w:r>
        <w:rPr>
          <w:rFonts w:ascii="Calibri" w:hAnsi="Calibri" w:eastAsia="SimSun"/>
          <w:i/>
        </w:rPr>
        <w:t xml:space="preserve">comparison</w:t>
      </w:r>
      <w:r>
        <w:rPr>
          <w:rFonts w:ascii="Calibri" w:hAnsi="Calibri" w:eastAsia="SimSun"/>
        </w:rPr>
        <w:t xml:space="preserve">decision_skill — 第4.3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8. moat</w:t>
      </w:r>
      <w:r>
        <w:rPr>
          <w:rFonts w:ascii="Calibri" w:hAnsi="Calibri" w:eastAsia="SimSun"/>
          <w:i/>
        </w:rPr>
        <w:t xml:space="preserve">strength</w:t>
      </w:r>
      <w:r>
        <w:rPr>
          <w:rFonts w:ascii="Calibri" w:hAnsi="Calibri" w:eastAsia="SimSun"/>
        </w:rPr>
        <w:t xml:space="preserve">review_skill — 第1.2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9. business</w:t>
      </w:r>
      <w:r>
        <w:rPr>
          <w:rFonts w:ascii="Calibri" w:hAnsi="Calibri" w:eastAsia="SimSun"/>
          <w:i/>
        </w:rPr>
        <w:t xml:space="preserve">model</w:t>
      </w:r>
      <w:r>
        <w:rPr>
          <w:rFonts w:ascii="Calibri" w:hAnsi="Calibri" w:eastAsia="SimSun"/>
        </w:rPr>
        <w:t xml:space="preserve">decoder_skill — 第1.1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10. growth</w:t>
      </w:r>
      <w:r>
        <w:rPr>
          <w:rFonts w:ascii="Calibri" w:hAnsi="Calibri" w:eastAsia="SimSun"/>
          <w:i/>
        </w:rPr>
        <w:t xml:space="preserve">quality</w:t>
      </w:r>
      <w:r>
        <w:rPr>
          <w:rFonts w:ascii="Calibri" w:hAnsi="Calibri" w:eastAsia="SimSun"/>
        </w:rPr>
        <w:t xml:space="preserve">check_skill — 第3.4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11. management</w:t>
      </w:r>
      <w:r>
        <w:rPr>
          <w:rFonts w:ascii="Calibri" w:hAnsi="Calibri" w:eastAsia="SimSun"/>
          <w:i/>
        </w:rPr>
        <w:t xml:space="preserve">quality</w:t>
      </w:r>
      <w:r>
        <w:rPr>
          <w:rFonts w:ascii="Calibri" w:hAnsi="Calibri" w:eastAsia="SimSun"/>
        </w:rPr>
        <w:t xml:space="preserve">check_skill — 第2.3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12. turnaround</w:t>
      </w:r>
      <w:r>
        <w:rPr>
          <w:rFonts w:ascii="Calibri" w:hAnsi="Calibri" w:eastAsia="SimSun"/>
          <w:i/>
        </w:rPr>
        <w:t xml:space="preserve">story</w:t>
      </w:r>
      <w:r>
        <w:rPr>
          <w:rFonts w:ascii="Calibri" w:hAnsi="Calibri" w:eastAsia="SimSun"/>
        </w:rPr>
        <w:t xml:space="preserve">validation_skill — ISG 反转检验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china-*（≥6）：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1. china-initiating-coverage — 报告骨架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2. china-earnings-analysis — 业绩方差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3. china-comps — 同业表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4. china-dcf-model — DCF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5. china-ic-memo — 结论可交易口径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6. china-competitive-analysis — 竞争地图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7. china-unit-economics — 单位经济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8. china-thesis-tracker — H 清单跟踪</w:t>
      </w:r>
    </w:p>
    <w:p>
      <w:pPr>
        <w:pStyle w:val="Heading2"/>
      </w:pPr>
      <w:r>
        <w:t xml:space="preserve">E. 汇率与股本假设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USD/HKD = </w:t>
      </w:r>
      <w:r>
        <w:rPr>
          <w:rFonts w:ascii="Calibri" w:hAnsi="Calibri" w:eastAsia="SimSun"/>
          <w:b/>
        </w:rPr>
        <w:t xml:space="preserve">7.842</w:t>
      </w:r>
      <w:r>
        <w:rPr>
          <w:rFonts w:ascii="Calibri" w:hAnsi="Calibri" w:eastAsia="SimSun"/>
        </w:rPr>
        <w:t xml:space="preserve">（2026-09-03）[Web]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基本股本 </w:t>
      </w:r>
      <w:r>
        <w:rPr>
          <w:rFonts w:ascii="Calibri" w:hAnsi="Calibri" w:eastAsia="SimSun"/>
          <w:b/>
        </w:rPr>
        <w:t xml:space="preserve">12,404,659,302</w:t>
      </w:r>
      <w:r>
        <w:rPr>
          <w:rFonts w:ascii="Calibri" w:hAnsi="Calibri" w:eastAsia="SimSun"/>
        </w:rPr>
        <w:t xml:space="preserve">；敏感用 135 亿（含部分稀释）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财务美元、市值港币</w:t>
      </w:r>
    </w:p>
    <w:p>
      <w:pPr>
        <w:pStyle w:val="Heading2"/>
      </w:pPr>
      <w:r>
        <w:t xml:space="preserve">F. Drive 上传结果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项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值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folderId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1EmnEZ6Z1435frl6BWGwAsVXDvphLPNCH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文件名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联想集团深度研究报告Grok.md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fileId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1zNWjQcCjl2G4cHfgiOP4CUJ_oSht9SpY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时间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2026-09-03 06:57 UTC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  <w:i/>
        </w:rPr>
        <w:t xml:space="preserve">本报告为买方研究底稿，不构成对任何人士的投资建议。关键结论依赖公开披露与第三方数据，误差与证伪条件见第9章。</w:t>
      </w:r>
    </w:p>
    <w:p>
      <w:pPr>
        <w:pStyle w:val="Heading2"/>
      </w:pPr>
      <w:r>
        <w:t xml:space="preserve">G. 关键问题清单答覆索引（Q1–Q12）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Q1（IDG 量价）：</w:t>
      </w:r>
      <w:r>
        <w:rPr>
          <w:rFonts w:ascii="Calibri" w:hAnsi="Calibri" w:eastAsia="SimSun"/>
        </w:rPr>
        <w:t xml:space="preserve"> 中性 FY26→FY28 IDG 收入 +22% 累计，其中量贡献约 0–5%、ASP/结构（含 AI PC、高端）约 15–20%；悲观则量 −10% 以上对冲 ASP。[第5.1][Web-IDC]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Q2（AI PC 毛利）：</w:t>
      </w:r>
      <w:r>
        <w:rPr>
          <w:rFonts w:ascii="Calibri" w:hAnsi="Calibri" w:eastAsia="SimSun"/>
        </w:rPr>
        <w:t xml:space="preserve"> 公司未披露 AI vs 非 AI 毛利差精确 bp；用集团 GM 与 IDG OPM 稳定（7.1–7.2%）作代理，假设 AI PC 毛利高 </w:t>
      </w:r>
      <w:r>
        <w:rPr>
          <w:rFonts w:ascii="Calibri" w:hAnsi="Calibri" w:eastAsia="SimSun"/>
          <w:b/>
        </w:rPr>
        <w:t xml:space="preserve">100–200bp</w:t>
      </w:r>
      <w:r>
        <w:rPr>
          <w:rFonts w:ascii="Calibri" w:hAnsi="Calibri" w:eastAsia="SimSun"/>
        </w:rPr>
        <w:t xml:space="preserve"> 量级——</w:t>
      </w:r>
      <w:r>
        <w:rPr>
          <w:rFonts w:ascii="Calibri" w:hAnsi="Calibri" w:eastAsia="SimSun"/>
          <w:b/>
        </w:rPr>
        <w:t xml:space="preserve">数据缺口</w:t>
      </w:r>
      <w:r>
        <w:rPr>
          <w:rFonts w:ascii="Calibri" w:hAnsi="Calibri" w:eastAsia="SimSun"/>
        </w:rPr>
        <w:t xml:space="preserve">，若后续披露差为负则下调 H2。[数据缺口]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Q3（中国 vs 海外利润率）：</w:t>
      </w:r>
      <w:r>
        <w:rPr>
          <w:rFonts w:ascii="Calibri" w:hAnsi="Calibri" w:eastAsia="SimSun"/>
        </w:rPr>
        <w:t xml:space="preserve"> 年报强调区域收入贡献相对均衡（亚太/中国/EMEA/美洲各约 19–34% 量级，FY25 口径）；利润率差主因产品结构与竞争强度，中国服务器面临国产替代价格压力更大。[年报FY25 MD&amp;A]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Q4（pipeline 12/24 个月可交付）：</w:t>
      </w:r>
      <w:r>
        <w:rPr>
          <w:rFonts w:ascii="Calibri" w:hAnsi="Calibri" w:eastAsia="SimSun"/>
        </w:rPr>
        <w:t xml:space="preserve"> 中性 12 个月转化 </w:t>
      </w:r>
      <w:r>
        <w:rPr>
          <w:rFonts w:ascii="Calibri" w:hAnsi="Calibri" w:eastAsia="SimSun"/>
          <w:b/>
        </w:rPr>
        <w:t xml:space="preserve">32%</w:t>
      </w:r>
      <w:r>
        <w:rPr>
          <w:rFonts w:ascii="Calibri" w:hAnsi="Calibri" w:eastAsia="SimSun"/>
        </w:rPr>
        <w:t xml:space="preserve">、24 个月累计转化 </w:t>
      </w:r>
      <w:r>
        <w:rPr>
          <w:rFonts w:ascii="Calibri" w:hAnsi="Calibri" w:eastAsia="SimSun"/>
          <w:b/>
        </w:rPr>
        <w:t xml:space="preserve">55–65%</w:t>
      </w:r>
      <w:r>
        <w:rPr>
          <w:rFonts w:ascii="Calibri" w:hAnsi="Calibri" w:eastAsia="SimSun"/>
        </w:rPr>
        <w:t xml:space="preserve">（含新签滚动）；依据为交付周期 1–3 季、同行供给约束、取消率假设。[第2.2]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Q5（AI 服务器占 ISG 与集团利润率）：</w:t>
      </w:r>
      <w:r>
        <w:rPr>
          <w:rFonts w:ascii="Calibri" w:hAnsi="Calibri" w:eastAsia="SimSun"/>
        </w:rPr>
        <w:t xml:space="preserve"> 中性 FY27 AI 服务器占 ISG 约 </w:t>
      </w:r>
      <w:r>
        <w:rPr>
          <w:rFonts w:ascii="Calibri" w:hAnsi="Calibri" w:eastAsia="SimSun"/>
          <w:b/>
        </w:rPr>
        <w:t xml:space="preserve">40–50%</w:t>
      </w:r>
      <w:r>
        <w:rPr>
          <w:rFonts w:ascii="Calibri" w:hAnsi="Calibri" w:eastAsia="SimSun"/>
        </w:rPr>
        <w:t xml:space="preserve"> 时，只要传统服务器与存储维持中高个位数 OPM、AI 机柜不恶性价格战，集团 adj 净利率仍可升至 ~3.7%。若 AI 占比&gt;70% 且毛利塌陷，则集团净利率升势中断。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Q6（vs SMCI/Dell/浪潮）：</w:t>
      </w:r>
      <w:r>
        <w:rPr>
          <w:rFonts w:ascii="Calibri" w:hAnsi="Calibri" w:eastAsia="SimSun"/>
        </w:rPr>
        <w:t xml:space="preserve"> Dell 积压与利润率领先；SMCI 弹性高波动大；浪潮深耕国内。联想单价/定制深度介于 Dell 品牌方案与 ODM 之间；客户集中度低于超大规模纯 ODM，但高于多元 PC。[第4.3]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Q7（SSG 经常性）：</w:t>
      </w:r>
      <w:r>
        <w:rPr>
          <w:rFonts w:ascii="Calibri" w:hAnsi="Calibri" w:eastAsia="SimSun"/>
        </w:rPr>
        <w:t xml:space="preserve"> 无完整 ARR 披露；代理指标为非硬件关联解决方案与服务占比 </w:t>
      </w:r>
      <w:r>
        <w:rPr>
          <w:rFonts w:ascii="Calibri" w:hAnsi="Calibri" w:eastAsia="SimSun"/>
          <w:b/>
        </w:rPr>
        <w:t xml:space="preserve">62.4%</w:t>
      </w:r>
      <w:r>
        <w:rPr>
          <w:rFonts w:ascii="Calibri" w:hAnsi="Calibri" w:eastAsia="SimSun"/>
        </w:rPr>
        <w:t xml:space="preserve">、TruScale 订单高增。[Q1-FY27]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Q8（SSG OPM 24%）：</w:t>
      </w:r>
      <w:r>
        <w:rPr>
          <w:rFonts w:ascii="Calibri" w:hAnsi="Calibri" w:eastAsia="SimSun"/>
        </w:rPr>
        <w:t xml:space="preserve"> 中性假设缓降至 22–23%（AI 服务交付成本上升），不假设永久 24%+。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Q9（FCF 覆盖分红回购）：</w:t>
      </w:r>
      <w:r>
        <w:rPr>
          <w:rFonts w:ascii="Calibri" w:hAnsi="Calibri" w:eastAsia="SimSun"/>
        </w:rPr>
        <w:t xml:space="preserve"> FY26 FCF~22 亿覆盖股息~6.1 亿；FY27Q1 OCF 转弱，全年能否覆盖取决于存货消化。中性假设 FY27 FCF 15–25 亿，可覆盖分红但回购空间有限。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Q10（稀释上限）：</w:t>
      </w:r>
      <w:r>
        <w:rPr>
          <w:rFonts w:ascii="Calibri" w:hAnsi="Calibri" w:eastAsia="SimSun"/>
        </w:rPr>
        <w:t xml:space="preserve"> CB 满转约 +15.6 亿股（~11%+）；权证 11.5 亿份另计；合计潜在稀释高位约 </w:t>
      </w:r>
      <w:r>
        <w:rPr>
          <w:rFonts w:ascii="Calibri" w:hAnsi="Calibri" w:eastAsia="SimSun"/>
          <w:b/>
        </w:rPr>
        <w:t xml:space="preserve">15–20%</w:t>
      </w:r>
      <w:r>
        <w:rPr>
          <w:rFonts w:ascii="Calibri" w:hAnsi="Calibri" w:eastAsia="SimSun"/>
        </w:rPr>
        <w:t xml:space="preserve"> 量级（视行权/调整价）。[Web-IR]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Q11（汇率 ±3%）：</w:t>
      </w:r>
      <w:r>
        <w:rPr>
          <w:rFonts w:ascii="Calibri" w:hAnsi="Calibri" w:eastAsia="SimSun"/>
        </w:rPr>
        <w:t xml:space="preserve"> 目标市值港币 ≈ 美元市值 × 汇率；汇率 ±3% → 目标价近似 ±3%（净利美元计价）。</w:t>
      </w: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Q12（AI 期权 vs 盈利兑现）：</w:t>
      </w:r>
      <w:r>
        <w:rPr>
          <w:rFonts w:ascii="Calibri" w:hAnsi="Calibri" w:eastAsia="SimSun"/>
        </w:rPr>
        <w:t xml:space="preserve"> 用 </w:t>
      </w:r>
      <w:r>
        <w:rPr>
          <w:rFonts w:ascii="Calibri" w:hAnsi="Calibri" w:eastAsia="SimSun"/>
          <w:b/>
        </w:rPr>
        <w:t xml:space="preserve">ISG OPM + FCF + 正常化 PE</w:t>
      </w:r>
      <w:r>
        <w:rPr>
          <w:rFonts w:ascii="Calibri" w:hAnsi="Calibri" w:eastAsia="SimSun"/>
        </w:rPr>
        <w:t xml:space="preserve"> 三维区分；当前三维显示「兑现进行中、期权仍在」，而非纯主题炒作。</w:t>
      </w:r>
    </w:p>
    <w:p>
      <w:pPr>
        <w:pStyle w:val="Heading2"/>
      </w:pPr>
      <w:r>
        <w:t xml:space="preserve">H. 卖方预测对照详表</w:t>
      </w:r>
    </w:p>
    <w:tbl>
      <w:tblPr>
        <w:tblW w:w="5000" w:type="pct"/>
        <w:tblBorders>
          <w:top w:val="single" w:color="1C3A5E" w:sz="12" w:space="0"/>
          <w:left w:val="nil"/>
          <w:bottom w:val="single" w:color="1C3A5E" w:sz="12" w:space="0"/>
          <w:right w:val="nil"/>
          <w:insideH w:val="single" w:color="D0D7DE" w:sz="4" w:space="0"/>
          <w:insideV w:val="nil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机构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日期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评级/目标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FY27E 收入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FY27E 净利*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FY28E 净利*</w:t>
            </w:r>
          </w:p>
        </w:tc>
        <w:tc>
          <w:tcPr>
            <w:tcW w:type="auto"/>
            <w:shd w:val="clear" w:color="auto" w:fill="1C3A5E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sz w:val="18"/>
                <w:color w:val="FFFFFF"/>
              </w:rPr>
              <w:t xml:space="preserve">FY29E 净利*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太平洋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20260818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 / 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1098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38.45（归母呈报口径表）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63.05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93.36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国盛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20260814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 / 52 港元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1025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40.21 non-IFRS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51.01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59.94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国投香港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20260814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 / 42.4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41.5 adj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56.3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国盛（旧）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20260530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 / 30.1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949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25.46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31.76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36.93</w:t>
            </w:r>
          </w:p>
        </w:tc>
      </w:tr>
      <w:tr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国泰海通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20260530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— / 对标Dell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923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25.5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29.5</w:t>
            </w:r>
          </w:p>
        </w:tc>
        <w:tc>
          <w:tcPr>
            <w:tcW w:type="auto"/>
            <w:shd w:val="clear" w:color="auto" w:fill="F4F7FA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34.8</w:t>
            </w:r>
          </w:p>
        </w:tc>
      </w:tr>
      <w:tr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本报告中性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20260903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买入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1050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39.0 adj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47.5</w:t>
            </w:r>
          </w:p>
        </w:tc>
        <w:tc>
          <w:tcPr>
            <w:tcW w:type="auto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 w:eastAsia="SimSun"/>
                <w:sz w:val="18"/>
                <w:color w:val="1A1A1A"/>
              </w:rPr>
              <w:t xml:space="preserve">55.0</w:t>
            </w:r>
          </w:p>
        </w:tc>
      </w:tr>
    </w:tbl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</w:rPr>
        <w:t xml:space="preserve">\*卖方表口径不完全一致（呈报/non-IFRS）；比较时以 adj/non-IFRS 为主。</w:t>
      </w:r>
    </w:p>
    <w:p>
      <w:pPr>
        <w:pStyle w:val="Heading2"/>
      </w:pPr>
      <w:r>
        <w:t xml:space="preserve">I. 同业估值补充计算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联想 T0 市值 3796 亿港元 ÷ 7.842 ≈ </w:t>
      </w:r>
      <w:r>
        <w:rPr>
          <w:rFonts w:ascii="Calibri" w:hAnsi="Calibri" w:eastAsia="SimSun"/>
          <w:b/>
        </w:rPr>
        <w:t xml:space="preserve">484 亿美元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Dell 市值 ≈ 3190 亿美元（Wind 总市值2）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联想/Dell 市值比 ≈ </w:t>
      </w:r>
      <w:r>
        <w:rPr>
          <w:rFonts w:ascii="Calibri" w:hAnsi="Calibri" w:eastAsia="SimSun"/>
          <w:b/>
        </w:rPr>
        <w:t xml:space="preserve">15%</w:t>
      </w:r>
      <w:r>
        <w:rPr>
          <w:rFonts w:ascii="Calibri" w:hAnsi="Calibri" w:eastAsia="SimSun"/>
        </w:rPr>
        <w:t xml:space="preserve">，而收入规模（TTM）联想已进入相近硬件巨头象限但 AI 服务器绝对额仍落后——支撑「折价合理、收敛有条件」。</w:t>
      </w:r>
    </w:p>
    <w:p>
      <w:pPr>
        <w:pStyle w:val="Heading2"/>
      </w:pPr>
      <w:r>
        <w:t xml:space="preserve">J. 投资结论执行摘要（IC 一页纸）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1. </w:t>
      </w:r>
      <w:r>
        <w:rPr>
          <w:rFonts w:ascii="Calibri" w:hAnsi="Calibri" w:eastAsia="SimSun"/>
          <w:b/>
        </w:rPr>
        <w:t xml:space="preserve">评级：买入</w:t>
      </w:r>
      <w:r>
        <w:rPr>
          <w:rFonts w:ascii="Calibri" w:hAnsi="Calibri" w:eastAsia="SimSun"/>
        </w:rPr>
        <w:t xml:space="preserve">；T0 现价 30.60 港元。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2. </w:t>
      </w:r>
      <w:r>
        <w:rPr>
          <w:rFonts w:ascii="Calibri" w:hAnsi="Calibri" w:eastAsia="SimSun"/>
          <w:b/>
        </w:rPr>
        <w:t xml:space="preserve">12 个月目标：34.5 港元</w:t>
      </w:r>
      <w:r>
        <w:rPr>
          <w:rFonts w:ascii="Calibri" w:hAnsi="Calibri" w:eastAsia="SimSun"/>
        </w:rPr>
        <w:t xml:space="preserve">（有限上行，合配置但不追求短线博弈）。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3. </w:t>
      </w:r>
      <w:r>
        <w:rPr>
          <w:rFonts w:ascii="Calibri" w:hAnsi="Calibri" w:eastAsia="SimSun"/>
          <w:b/>
        </w:rPr>
        <w:t xml:space="preserve">2028E 中性：48.7 港元 / 6040 亿港元市值</w:t>
      </w:r>
      <w:r>
        <w:rPr>
          <w:rFonts w:ascii="Calibri" w:hAnsi="Calibri" w:eastAsia="SimSun"/>
        </w:rPr>
        <w:t xml:space="preserve">；概率加权 6210 亿。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4. </w:t>
      </w:r>
      <w:r>
        <w:rPr>
          <w:rFonts w:ascii="Calibri" w:hAnsi="Calibri" w:eastAsia="SimSun"/>
          <w:b/>
        </w:rPr>
        <w:t xml:space="preserve">关键跟踪：ISG OPM、存货周转、pipeline→收入转化、股本稀释。</w:t>
      </w:r>
    </w:p>
    <w:p>
      <w:pPr>
        <w:pStyle w:val="Normal"/>
        <w:ind w:left="420" w:hanging="280"/>
      </w:pPr>
      <w:r>
        <w:rPr>
          <w:rFonts w:ascii="Calibri" w:hAnsi="Calibri" w:eastAsia="SimSun"/>
        </w:rPr>
        <w:t xml:space="preserve">5. </w:t>
      </w:r>
      <w:r>
        <w:rPr>
          <w:rFonts w:ascii="Calibri" w:hAnsi="Calibri" w:eastAsia="SimSun"/>
          <w:b/>
        </w:rPr>
        <w:t xml:space="preserve">否决条件：H3+H4 同时触发。</w:t>
      </w:r>
    </w:p>
    <w:p>
      <w:pPr>
        <w:pStyle w:val="Heading2"/>
      </w:pPr>
      <w:r>
        <w:t xml:space="preserve">K. 术语与口径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FY26</w:t>
      </w:r>
      <w:r>
        <w:rPr>
          <w:rFonts w:ascii="Calibri" w:hAnsi="Calibri" w:eastAsia="SimSun"/>
        </w:rPr>
        <w:t xml:space="preserve">：截至 2026-03-31 财年；</w:t>
      </w:r>
      <w:r>
        <w:rPr>
          <w:rFonts w:ascii="Calibri" w:hAnsi="Calibri" w:eastAsia="SimSun"/>
          <w:b/>
        </w:rPr>
        <w:t xml:space="preserve">FY27Q1</w:t>
      </w:r>
      <w:r>
        <w:rPr>
          <w:rFonts w:ascii="Calibri" w:hAnsi="Calibri" w:eastAsia="SimSun"/>
        </w:rPr>
        <w:t xml:space="preserve">：截至 2026-06-30。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经调整</w:t>
      </w:r>
      <w:r>
        <w:rPr>
          <w:rFonts w:ascii="Calibri" w:hAnsi="Calibri" w:eastAsia="SimSun"/>
        </w:rPr>
        <w:t xml:space="preserve">：非香港财务报告准则，剔除权证公允值、并购摊销等（以公司定义为准）。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</w:t>
      </w:r>
      <w:r>
        <w:rPr>
          <w:rFonts w:ascii="Calibri" w:hAnsi="Calibri" w:eastAsia="SimSun"/>
          <w:b/>
        </w:rPr>
        <w:t xml:space="preserve">pipeline</w:t>
      </w:r>
      <w:r>
        <w:rPr>
          <w:rFonts w:ascii="Calibri" w:hAnsi="Calibri" w:eastAsia="SimSun"/>
        </w:rPr>
        <w:t xml:space="preserve">：公司披露之 AI 服务器项目储备，非 IFRS 收入。</w:t>
      </w:r>
    </w:p>
    <w:p>
      <w:pPr>
        <w:pStyle w:val="Heading2"/>
      </w:pPr>
      <w:r>
        <w:t xml:space="preserve">L. 研究过程时间戳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T0：2026-09-03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Wind 取价：同日盘中/收盘附近 30.600</w:t>
      </w:r>
    </w:p>
    <w:p>
      <w:pPr>
        <w:pStyle w:val="Normal"/>
        <w:ind w:left="420" w:hanging="210"/>
      </w:pPr>
      <w:r>
        <w:rPr>
          <w:rFonts w:ascii="Calibri" w:hAnsi="Calibri" w:eastAsia="SimSun"/>
        </w:rPr>
        <w:t xml:space="preserve">• 报告生成：Phase2 Agent 自动研究流程</w:t>
      </w:r>
    </w:p>
    <w:p>
      <w:pPr>
        <w:spacing w:after="80"/>
      </w:pPr>
    </w:p>
    <w:p>
      <w:pPr>
        <w:pStyle w:val="Normal"/>
        <w:ind w:firstLineChars="200"/>
      </w:pPr>
      <w:r>
        <w:rPr>
          <w:rFonts w:ascii="Calibri" w:hAnsi="Calibri" w:eastAsia="SimSun"/>
          <w:b/>
        </w:rPr>
        <w:t xml:space="preserve">【完】</w:t>
      </w:r>
    </w:p>
    <w:sectPr>
      <w:headerReference xmlns:r="http://schemas.openxmlformats.org/officeDocument/2006/relationships" w:type="default" r:id="R3bff55eeedfe4e2f"/>
      <w:footerReference xmlns:r="http://schemas.openxmlformats.org/officeDocument/2006/relationships" w:type="default" r:id="Re354b7ebcab64f0f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SimSun"/>
        <w:sz w:val="18"/>
        <w:color w:val="595959"/>
      </w:rPr>
      <w:t xml:space="preserve">仅供研究参考，不构成投资建议  · 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1C3A5E" w:sz="6" w:space="4"/>
      </w:pBdr>
    </w:pPr>
    <w:r>
      <w:rPr>
        <w:rFonts w:ascii="Calibri" w:hAnsi="Calibri" w:eastAsia="Microsoft YaHei"/>
        <w:sz w:val="18"/>
        <w:color w:val="1C3A5E"/>
      </w:rPr>
      <w:t xml:space="preserve">联想集团深度研究报告Grok  ·  0992.HK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Arial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qFormat/>
    <w:pPr>
      <w:spacing w:after="160" w:line="276" w:lineRule="auto"/>
    </w:pPr>
  </w:style>
  <w:style w:type="paragraph" w:styleId="Title">
    <w:name w:val="Title"/>
    <w:basedOn w:val="Normal"/>
    <w:pPr>
      <w:jc w:val="center"/>
      <w:spacing w:before="0" w:after="200"/>
    </w:pPr>
    <w:rPr>
      <w:rFonts w:ascii="Calibri Light" w:hAnsi="Calibri Light" w:eastAsia="Microsoft YaHei"/>
      <w:b/>
      <w:sz w:val="44"/>
      <w:szCs w:val="44"/>
      <w:color w:val="1C3A5E"/>
    </w:rPr>
  </w:style>
  <w:style w:type="paragraph" w:styleId="Subtitle">
    <w:name w:val="Subtitle"/>
    <w:basedOn w:val="Normal"/>
    <w:pPr>
      <w:jc w:val="center"/>
      <w:spacing w:before="0" w:after="360"/>
    </w:pPr>
    <w:rPr>
      <w:rFonts w:ascii="Calibri" w:hAnsi="Calibri" w:eastAsia="Microsoft YaHei"/>
      <w:sz w:val="21"/>
      <w:szCs w:val="21"/>
      <w:color w:val="59595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rFonts w:ascii="Calibri Light" w:hAnsi="Calibri Light" w:eastAsia="Microsoft YaHei"/>
      <w:b/>
      <w:sz w:val="32"/>
      <w:szCs w:val="32"/>
      <w:color w:val="1C3A5E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20"/>
      <w:outlineLvl w:val="1"/>
    </w:pPr>
    <w:rPr>
      <w:rFonts w:ascii="Calibri Light" w:hAnsi="Calibri Light" w:eastAsia="Microsoft YaHei"/>
      <w:b/>
      <w:sz w:val="26"/>
      <w:szCs w:val="26"/>
      <w:color w:val="2F549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120"/>
      <w:outlineLvl w:val="2"/>
    </w:pPr>
    <w:rPr>
      <w:rFonts w:ascii="Calibri Light" w:hAnsi="Calibri Light" w:eastAsia="Microsoft YaHei"/>
      <w:b/>
      <w:sz w:val="24"/>
      <w:szCs w:val="24"/>
      <w:color w:val="2F549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6ba5d21ce045b3" /><Relationship Type="http://schemas.openxmlformats.org/officeDocument/2006/relationships/header" Target="/word/header1.xml" Id="R3bff55eeedfe4e2f" /><Relationship Type="http://schemas.openxmlformats.org/officeDocument/2006/relationships/footer" Target="/word/footer1.xml" Id="Re354b7ebcab64f0f" /></Relationships>
</file>