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SC" w:hAnsi="Noto Sans SC" w:eastAsia="Noto Sans SC"/>
          <w:b/>
          <w:i w:val="0"/>
          <w:sz w:val="40"/>
        </w:rPr>
        <w:t>密尔克卫（603713.SH）深度投资研究报告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评级：中性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报告日期：2026-09-18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当前价：65.07 元</w:t>
      </w:r>
      <w:r>
        <w:rPr>
          <w:rFonts w:ascii="Noto Sans SC" w:hAnsi="Noto Sans SC" w:eastAsia="Noto Sans SC"/>
          <w:b w:val="0"/>
          <w:i w:val="0"/>
        </w:rPr>
        <w:t xml:space="preserve">（Wind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price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indicators</w:t>
      </w:r>
      <w:r>
        <w:rPr>
          <w:rFonts w:ascii="Noto Sans SC" w:hAnsi="Noto Sans SC" w:eastAsia="Noto Sans SC"/>
          <w:b w:val="0"/>
          <w:i w:val="0"/>
        </w:rPr>
        <w:t xml:space="preserve">，2026-09-18 15:30） </w:t>
      </w:r>
      <w:r>
        <w:rPr>
          <w:rFonts w:ascii="Noto Sans SC" w:hAnsi="Noto Sans SC" w:eastAsia="Noto Sans SC"/>
          <w:b/>
          <w:i w:val="0"/>
        </w:rPr>
        <w:t>总股本：174,048,542 股</w:t>
      </w:r>
      <w:r>
        <w:rPr>
          <w:rFonts w:ascii="Noto Sans SC" w:hAnsi="Noto Sans SC" w:eastAsia="Noto Sans SC"/>
          <w:b w:val="0"/>
          <w:i w:val="0"/>
        </w:rPr>
        <w:t xml:space="preserve">（Wind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equity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holders</w:t>
      </w:r>
      <w:r>
        <w:rPr>
          <w:rFonts w:ascii="Noto Sans SC" w:hAnsi="Noto Sans SC" w:eastAsia="Noto Sans SC"/>
          <w:b w:val="0"/>
          <w:i w:val="0"/>
        </w:rPr>
        <w:t xml:space="preserve">；公司 2026-08-14 变更注册资本公告） </w:t>
      </w:r>
      <w:r>
        <w:rPr>
          <w:rFonts w:ascii="Noto Sans SC" w:hAnsi="Noto Sans SC" w:eastAsia="Noto Sans SC"/>
          <w:b/>
          <w:i w:val="0"/>
        </w:rPr>
        <w:t>总市值：113.25 亿元</w:t>
      </w:r>
      <w:r>
        <w:rPr>
          <w:rFonts w:ascii="Noto Sans SC" w:hAnsi="Noto Sans SC" w:eastAsia="Noto Sans SC"/>
          <w:b w:val="0"/>
          <w:i w:val="0"/>
        </w:rPr>
        <w:t xml:space="preserve">（= 65.07 × 1.74048542 亿股，与 Wind 总市值 113.2534 亿元一致） </w:t>
      </w:r>
      <w:r>
        <w:rPr>
          <w:rFonts w:ascii="Noto Sans SC" w:hAnsi="Noto Sans SC" w:eastAsia="Noto Sans SC"/>
          <w:b/>
          <w:i w:val="0"/>
        </w:rPr>
        <w:t>目标价一律按 1.74049 亿股计算</w:t>
      </w:r>
      <w:r>
        <w:rPr>
          <w:rFonts w:ascii="Noto Sans SC" w:hAnsi="Noto Sans SC" w:eastAsia="Noto Sans SC"/>
          <w:b w:val="0"/>
          <w:i w:val="0"/>
        </w:rPr>
        <w:t>（密卫转债已于 2026-08-12 摘牌，转股全部完成，摊薄已落地）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一、投资结论与评级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1.1 一页纸结论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结论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评级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建仓/加仓区间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不主动加仓；仅在跌破悲观情景对应价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27.6 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附近才讨论逆向；中性情景目标价 71.8 元对现价空间不足以覆盖股权成本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 年三情景目标市值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乐观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187 亿元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中性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125 亿元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悲观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48 亿元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 年三情景目标价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107.5 / 71.8 / 27.6 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（÷ 1.74049 亿股）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概率加权（25%/50%/25%）期望价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69.68 元，相对现价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+7.1%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，低于股权成本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9.32%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—— 这是给“中性”而非“增持”的量化依据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核心逻辑 1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ROIC–WACC 利差从 2021 年约 6.2pct 收窄到 2025 年约 0.64pct，公司已进入“勉强覆盖资本成本”区间，增量资本不再创造显著经济利润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核心逻辑 2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收入增长的近半来自低毛利分销（MCD），且 2025 年分销扩张含大额时点贸易；仓储毛利率从 2023 年 47.87% 降至 2025 年 39.40%，高回报压舱石在稀释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核心逻辑 3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卖方叙事（半导体物流、“中国密度”、平台型供应链）的热度峰值与盈利预测下修同步出现；管理层自设的 2026 激励目标系统性低于 Wind 一致预期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最大风险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商誉 14.73 亿元占净资产 30.89%（2025 年报），叠加 6 项业绩承诺中 4 项未达标、富仓连续两年亏损，一次减值即可抹掉一年利润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现价 65.07 元对应 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 xml:space="preserve">TTM </w:t>
      </w:r>
      <w:r>
        <w:rPr>
          <w:rFonts w:ascii="Noto Sans SC" w:hAnsi="Noto Sans SC" w:eastAsia="Noto Sans SC"/>
          <w:b/>
          <w:i w:val="0"/>
        </w:rPr>
        <w:t>17.26 倍</w:t>
      </w:r>
      <w:r>
        <w:rPr>
          <w:rFonts w:ascii="Noto Sans SC" w:hAnsi="Noto Sans SC" w:eastAsia="Noto Sans SC"/>
          <w:b w:val="0"/>
          <w:i w:val="0"/>
        </w:rPr>
        <w:t xml:space="preserve">、PB </w:t>
      </w:r>
      <w:r>
        <w:rPr>
          <w:rFonts w:ascii="Noto Sans SC" w:hAnsi="Noto Sans SC" w:eastAsia="Noto Sans SC"/>
          <w:b/>
          <w:i w:val="0"/>
        </w:rPr>
        <w:t>1.98 倍</w:t>
      </w:r>
      <w:r>
        <w:rPr>
          <w:rFonts w:ascii="Noto Sans SC" w:hAnsi="Noto Sans SC" w:eastAsia="Noto Sans SC"/>
          <w:b w:val="0"/>
          <w:i w:val="0"/>
        </w:rPr>
        <w:t xml:space="preserve">（Wind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 xml:space="preserve">，2026-09-18）。近 5 年 PE 分位 42.0%、PB 分位 25.3%（同一接口）。Wind 一致预期 2026/2027/2028 年归母净利 </w:t>
      </w:r>
      <w:r>
        <w:rPr>
          <w:rFonts w:ascii="Noto Sans SC" w:hAnsi="Noto Sans SC" w:eastAsia="Noto Sans SC"/>
          <w:b/>
          <w:i w:val="0"/>
        </w:rPr>
        <w:t>7.4957 / 8.9631 / 10.486 亿元</w:t>
      </w:r>
      <w:r>
        <w:rPr>
          <w:rFonts w:ascii="Noto Sans SC" w:hAnsi="Noto Sans SC" w:eastAsia="Noto Sans SC"/>
          <w:b w:val="0"/>
          <w:i w:val="0"/>
        </w:rPr>
        <w:t xml:space="preserve">，对应现价前瞻 PE </w:t>
      </w:r>
      <w:r>
        <w:rPr>
          <w:rFonts w:ascii="Noto Sans SC" w:hAnsi="Noto Sans SC" w:eastAsia="Noto Sans SC"/>
          <w:b/>
          <w:i w:val="0"/>
        </w:rPr>
        <w:t>15.1 / 12.6 / 10.8 倍</w:t>
      </w:r>
      <w:r>
        <w:rPr>
          <w:rFonts w:ascii="Noto Sans SC" w:hAnsi="Noto Sans SC" w:eastAsia="Noto Sans SC"/>
          <w:b w:val="0"/>
          <w:i w:val="0"/>
        </w:rPr>
        <w:t xml:space="preserve">（我方按 1.74049 亿股折算 EPS 4.31 / 5.15 / 6.02 元，与 Wind EPS 均值 4.3067 / 5.1498 / 6.0248 元一致）。一致预期目标价 </w:t>
      </w:r>
      <w:r>
        <w:rPr>
          <w:rFonts w:ascii="Noto Sans SC" w:hAnsi="Noto Sans SC" w:eastAsia="Noto Sans SC"/>
          <w:b/>
          <w:i w:val="0"/>
        </w:rPr>
        <w:t>82.41 元</w:t>
      </w:r>
      <w:r>
        <w:rPr>
          <w:rFonts w:ascii="Noto Sans SC" w:hAnsi="Noto Sans SC" w:eastAsia="Noto Sans SC"/>
          <w:b w:val="0"/>
          <w:i w:val="0"/>
        </w:rPr>
        <w:t>（17 家机构，综合评级 1.35，Wind 2026-09-18），隐含约 21.2 亿元（=82.41×1.74049−113.25）的市值溢价，主要来自把 2027–2028 年净利按 15x 以上资本化——而激励计划暗示管理层自己不相信这条路径。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1.2 三条核心投资逻辑（可证伪）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逻辑 A：资本回报已经贴着资本成本。</w:t>
      </w:r>
      <w:r>
        <w:rPr>
          <w:rFonts w:ascii="Noto Sans SC" w:hAnsi="Noto Sans SC" w:eastAsia="Noto Sans SC"/>
          <w:b w:val="0"/>
          <w:i w:val="0"/>
        </w:rPr>
        <w:t xml:space="preserve"> 2019–2025 年 ROIC 从 12.50% 升至 2020 年峰值 14.90%，再单边下行至 2025 年 8.05%（Wind）。以已验证 WACC 7.41% 计，2021 年利差约 6.2pct（13.56−7.41），2025 年仅 0.64pct（8.05−7.41）。增量资本回报（ΔEBIT/ΔIC）在并购高峰年转负或接近零。这意味着：“中国密度”每多铺一个仓库、每多买一家区域公司，边际上几乎不再为股东创造超额回报。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逻辑 B：增长的会计质量被分销贸易稀释，且含不可线性外推的时点合同。</w:t>
      </w:r>
      <w:r>
        <w:rPr>
          <w:rFonts w:ascii="Noto Sans SC" w:hAnsi="Noto Sans SC" w:eastAsia="Noto Sans SC"/>
          <w:b w:val="0"/>
          <w:i w:val="0"/>
        </w:rPr>
        <w:t xml:space="preserve"> 2025 年 MCD 收入 60.52 亿元、占总收入 45.4%，毛利率仅 7.68%（2025 年报分产品表）；物流收入 72.60 亿元、毛利率 14.51%。2025 年末预付款项 69.27 亿元、合同负债 57.86 亿元，其中预付款第一名就占 50.53 亿元（占预付款余额 72.94%）；2026H1 两项分别回落 86.56% / 97.76%（2026 中报）。已验证结论：2025 年 MCD“高速扩张”部分是单一客户约 6.49 亿元大额贸易合同的时点效应（占 2025 年 MCD 收入约 10.7%），该交易已于 2026H1 结清，不能外推为渠道能力。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逻辑 C：卖方一致预期的分子被叙事透支，分母（股本）被转债摊薄后卖方目标价系统性偏高约 10%。</w:t>
      </w:r>
      <w:r>
        <w:rPr>
          <w:rFonts w:ascii="Noto Sans SC" w:hAnsi="Noto Sans SC" w:eastAsia="Noto Sans SC"/>
          <w:b w:val="0"/>
          <w:i w:val="0"/>
        </w:rPr>
        <w:t xml:space="preserve"> 华创 2026-05-24 深度给出目标价 76.6 元、目标市值 121 亿元，按当时约 1.581 亿股计算；转股完成后同等市值只对应 </w:t>
      </w:r>
      <w:r>
        <w:rPr>
          <w:rFonts w:ascii="Noto Sans SC" w:hAnsi="Noto Sans SC" w:eastAsia="Noto Sans SC"/>
          <w:b/>
          <w:i w:val="0"/>
        </w:rPr>
        <w:t>69.5 元</w:t>
      </w:r>
      <w:r>
        <w:rPr>
          <w:rFonts w:ascii="Noto Sans SC" w:hAnsi="Noto Sans SC" w:eastAsia="Noto Sans SC"/>
          <w:b w:val="0"/>
          <w:i w:val="0"/>
        </w:rPr>
        <w:t>（121 / 1.74049），系统性偏高约 10.2%。华创自己的 2026–2028 年净利预测从 5 月的 8.1 / 10.0 / 11.9 亿元下修到 8 月中报点评的 7.5 / 8.9 / 10.3 亿元（−7.4% / −11.0% / −13.4%）。Wind 一致预期现为 7.50 / 8.96 / 10.49 亿元，而公司 2026 年股权激励隐含目标仅 7.2 / 8.3 / 9.6 亿元。分子下修 + 分母摊薄，是本轮“看起来便宜”的主要来源，不是自由现金流改善。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1.3 最大风险（一条）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商誉账面净值 14.73 亿元，占 2025 年末净资产 47.69 亿元的 30.89%（Wind + 2025 年报）。6 个仍处或刚结束承诺期的标的中，江西祥旺、浙江航运、宝会（本期）、富仓、捷晟共 5 个期间完成率低于 100%，富仓连续两年实际业绩为负（−63.6% / −107.7%）（2025 年报附注）。一次 20% 的商誉减值约 2.95 亿元，相当于 2025 年归母净利的 47%。这是资产负债表上已经存在、只需会计判断即可兑现的风险，不是宏观情景。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1.4 与卖方的位置差（摘要，细节见第八章）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卖方主流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本报告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评级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 家综合 1.35（偏买入），华创/申万“买入/推荐”，西南“建议关注”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2026–28E 净利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7.50 / 8.96 / 10.49；申万 8.47 / 10.39 / 11.55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 6.9 / 7.6 / 8.3（贴激励下限）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目标价口径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多数仍按 ~1.58 亿股或未同步下调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1.74049 亿股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“第二增长曲线 / 物贸一体高粘性”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低毛利贸易 + 时点合同，毛利占比约 1/3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半导体物流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2026–28“发展大年”、千亿市场卖铲子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半导体收入占比仅约 6%（调研纪要），尚未进入利润表可识别分部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轻资产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平台型供应链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2019–2025 累计购建固定资产等 30.79 亿元，年均占营收 4.6%；7 个完整年度中 3 年 FCF 为负</w:t>
            </w:r>
          </w:p>
        </w:tc>
      </w:tr>
    </w:tbl>
    <w:p/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二、业务与壁垒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2.1 公司做什么、钱从哪来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密尔克卫是化工品第三方供应链服务商，收入按披露拆为两类、五个产品（2025 年报）：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产品（2025 年报口径）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收入（亿元）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成本（亿元）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收入占比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毛利（亿元）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毛利占比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MGF 全球货代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34.69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30.74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11.39%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3.95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MGM 全球移动（罐箱/船舶/工程物流）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14.38%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MRW 区域仓储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39.40%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MRT 区域内贸交付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19.14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17.26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MCD 不一样的分销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60.52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55.87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7.68%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45.5%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4.65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30.6%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主营合计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133.12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117.93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11.41%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15.18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（来源：2025 年报“主营业务分产品情况”，金额由原文元折亿元，毛利为收入−成本。Wind 营业总收入 133.3513 亿元，差额 0.23 亿元为其他业务。）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公司改用 MGL / MCL / MCD 三部制披露（华创 2026-08-14 中报点评，西南 2026-08-14 引用 iFinD）：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板块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收入（亿元）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同比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毛利（亿元，我方=收入×毛利率）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收入占比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毛利占比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MGL（MGF+MGM）国际物流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25.34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未分拆披露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31.8%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MCL（MRW+MRT）合同物流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16.21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+32.40%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20.3%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MCD 分销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38.03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+12.44%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合计（与西南 52.14%/47.72%/0.14% 结构一致）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79.58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8.55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99.8%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Wind 2026H1 营收 79.6995 亿元、毛利率 10.8505%，隐含毛利 8.65 亿元；上表三块毛利 8.55 亿元，差额约 0.10 亿元对应其他业务（西南披露其他收入占比 0.14%、毛利占比 1.21%）。勾稽成立。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单位经济含义：</w:t>
      </w:r>
      <w:r>
        <w:rPr>
          <w:rFonts w:ascii="Noto Sans SC" w:hAnsi="Noto Sans SC" w:eastAsia="Noto Sans SC"/>
          <w:b w:val="0"/>
          <w:i w:val="0"/>
        </w:rPr>
        <w:t xml:space="preserve"> 仓储（MRW）用 6% 的收入贡献 21% 的毛利，是真正的利润池；分销用 45% 的收入只贡献 31% 的毛利，是规模放大器。把两者加总讲“平台型增长”，会把低质量收入包装成网络效应。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2.2 壁垒清单：哪些是真壁垒，哪些只是先发优势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按“可量化证据 / 可复制性 / 是否转化为超额回报”三列打分。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声称的壁垒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可量化证据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判定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危化品仓储牌照与库容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公司披露“全球自建及管理逾 70 万平米专业化学品仓库”（2026 中报）；2023 年全国危化品仓储 10 强榜首、当时面积 67.9 万㎡（智研咨询转引排名）；华创对比宏川智慧 15.9 万㎡、恒基达鑫 6.55 万㎡（华创 2026-05-24）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真壁垒，但是区域性、正在被自己的资本开支稀释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甲类/乙类仓库需应急管理、规划、消防等多部门审批，从立项到投产周期以年计。中物联危化品物流分会 2025 年调研：196 家企业、254 个库区，第三方化工品仓库区 108 个，其中甲类 38.44 万㎡、乙类 58.48 万㎡、丙类 106.20 万㎡，甲乙类合计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96.92 万㎡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；储罐区 173 个、总容量 4511.643 万 m³，较上年仅新增 52.8 万 m³（中物联 2025 年报，华创转引，WebSearch 交叉验证）。公司“70 万+”是自建+管理口径，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不能直接除以 96.92 万得出市占率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（口径含丙类、含管理输出）。真约束是新批甲乙类面积增量极慢，但公司自己的仓储毛利率已从 47.87%（2023）降到 39.40%（2025），说明壁垒没有转化成定价权，而是转化成了折旧。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危运道路运输资质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公司为中物联危化品分会、中国仓储协会危险品仓储分会副会长单位（西南 2026-08-14）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合规门槛，不是经济壁垒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道路危运企业数量仍以千计，CR3 仅 0.62%（2024，观研转引中物联口径，密尔克卫自身份额 0.50%）。牌照阻止的是“临时车队”，阻止不了同样持证的区域对手。MRT 毛利率 8–10%，是充分竞争的价格。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罐箱与船舶网络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调研纪要称 IC 罐箱约 8000–9000 个、目标 1 万个、亚太前三（价值投资深度研究调研纪要，可靠性：渠道调研、中）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可复制的资产优势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罐箱可购买、可租赁。MGM 收入 2022 年 9.70 亿元 → 2023 年 6.54 亿元（−32.6%）→ 2025 年 10.76 亿元，波动像运价周期，不像网络效应。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跨国化工客户切换成本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年前五名客户合计仅占收入 14.56%，第一名 4.49%（2025 年报）；陶氏等大客户亚太总部回迁、团队调整（调研纪要）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粘性被高估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客户分散是风险分散，也说明没有“不可替代的钱包份额”。切换一个货代/仓配商的合同成本远低于切换主原料供应商。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分销渠道（对标 Brenntag）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MCD 毛利率 7.68%（2025），Brenntag 2025 年净利率约 1.8%、ROE 5.9%（华创 2026-05-24 图表 44，汇率折算）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不是壁垒，是贸易加杠杆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Brenntag 的护城河在特种化学品配方与技术销售；密尔克卫 MCD 毛利率已接近“搬货价差”。预付款第一名 50.53 亿元，是资金占用，不是渠道密度。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数字化 / AI / MCP 系统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年研发费用 5811.72 万元（−4.62%），2026H1 2238 万元（−27.52%）（年报/中报）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叙事大于投入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研发费用连续下降的同时讲“All in AI”，与开支方向相反。数字化是表内费用科目，不是无形资产护城河。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半导体物流资质迁移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公司称自有危化仓“可较为便利地切换为半导体危化品仓”、已服务中芯国际、长鑫、长江存储等（华创中报点评）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尚未被利润表验证的期权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新能源+半导体等客户收入占比 21%、毛利占比 29%（华创中报点评）；调研纪要称芯片半导体收入占比约 6%。这是客户结构变化，还不是独立的可定价分部。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结论：</w:t>
      </w:r>
      <w:r>
        <w:rPr>
          <w:rFonts w:ascii="Noto Sans SC" w:hAnsi="Noto Sans SC" w:eastAsia="Noto Sans SC"/>
          <w:b w:val="0"/>
          <w:i w:val="0"/>
        </w:rPr>
        <w:t xml:space="preserve"> 真正难以复制的是</w:t>
      </w:r>
      <w:r>
        <w:rPr>
          <w:rFonts w:ascii="Noto Sans SC" w:hAnsi="Noto Sans SC" w:eastAsia="Noto Sans SC"/>
          <w:b/>
          <w:i w:val="0"/>
        </w:rPr>
        <w:t>已批甲乙类库容 + 与之绑定的园区位置</w:t>
      </w:r>
      <w:r>
        <w:rPr>
          <w:rFonts w:ascii="Noto Sans SC" w:hAnsi="Noto Sans SC" w:eastAsia="Noto Sans SC"/>
          <w:b w:val="0"/>
          <w:i w:val="0"/>
        </w:rPr>
        <w:t>；运输、货代、分销都是可竞争业务。公司把“牌照网络”包装成平台，但 ROIC 下行说明网络的经济利润正在被折旧、整合成本和低毛利贸易吃掉。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2.3 同业位置（同一时点截面）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公司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代码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收盘价（元）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总市值（亿元）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营收（亿元）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归母净利（亿元）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毛利率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ROE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PE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TTM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PB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密尔克卫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603713.SH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65.07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113.25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133.35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11.54%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13.79%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17.26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1.98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宏川智慧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002930.SZ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9.07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41.54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11.90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−4.30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37.58%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−18.26%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−10.55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2.12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永泰运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001228.SZ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34.19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57.86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7.57%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6.32%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33.89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2.00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盛航股份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001205.SZ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14.46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27.19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14.43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23.86%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5.13%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21.40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1.25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兴通股份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603209.SH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14.59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47.42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16.28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28.73%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9.12%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13.65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1.38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中国外运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601598.SH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413.34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968.09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40.22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5.69%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9.95%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12.22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1.12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嘉友国际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603871.SH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12.29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168.13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83.77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11.41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18.48%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19.66%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12.82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2.69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（价格/市值/估值：Wind 2026-09-18；财务：Wind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 xml:space="preserve"> 2025FY。注：001317.SZ 为三羊马而非永泰运，永泰运正确代码 001228.SZ。）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密尔克卫的独特性不在估值折价——PE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TTM 17.3 倍高于兴通、中外运、嘉友——而在</w:t>
      </w:r>
      <w:r>
        <w:rPr>
          <w:rFonts w:ascii="Noto Sans SC" w:hAnsi="Noto Sans SC" w:eastAsia="Noto Sans SC"/>
          <w:b/>
          <w:i w:val="0"/>
        </w:rPr>
        <w:t>收入体量（133 亿）远大于危化仓储纯标的、利润率远低于他们</w:t>
      </w:r>
      <w:r>
        <w:rPr>
          <w:rFonts w:ascii="Noto Sans SC" w:hAnsi="Noto Sans SC" w:eastAsia="Noto Sans SC"/>
          <w:b w:val="0"/>
          <w:i w:val="0"/>
        </w:rPr>
        <w:t>。宏川毛利率 37.6% 但 2025 年亏损；密尔克卫用分销把收入做大、把综合毛利率压到 11.5%。横比必须同时看 ROE 与周转，不能用“危化物流 PE Band”一刀切。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三、经营战略与执行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3.1 战略演进：三条可核对的主线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阶段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管理层公开承诺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实际完成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兑现度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2018 上市–2020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危化供应链主板第一股，货代+仓储+运输三件套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 年四块收入 10.61 / 6.72 / 4.62 / 2.14 亿元（货代/运输/仓储/交易）；交易还是试验田（毛利率 1.96%）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2020–2022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分销作为第二曲线；顺周期吃运价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交易从 6.91 亿（2020）跳到 43.48 亿（2022）；总收入 CAGR 2019–2022 = 68.5%（24.19→115.76，Wind）；归母净利 1.96→6.05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高，但含运价 beta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 周期回撤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“六五”战略（2023–2027）中国密度、七大战区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 收入 −15.7%、归母 −28.7%（97.53 / 4.31 亿）；MGF −41.2%、MGM −32.6%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周期击穿承诺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2024–2025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投资+资源双轮、并购补点、利润重回增长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 121.18 / 133.35 亿，归母 5.65 / 6.27 亿，均超过 2022 年水平；但 ROIC 未回到 2021 年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收入兑现、回报未兑现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“All in AI”、半导体物流“关键之年”、新一期股权激励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收入 +13.3%、归母 +8.4%；扣汇兑后归母 +17.6%（华创中报点评）；研发费用 −27.5%；激励目标低于一致预期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执行与叙事分叉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3.2 股权激励：管理层用脚投票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计划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考核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结果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 年股票期权与限制性股票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第四个解除限售期条件未成就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35,775 股限制性股票于 2025-07-10 回购注销（2025 年报）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上市后第一轮长激励未跑满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 年股票期权与限制性股票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2024–2027 年净利增长率目标 30% / 56% / 87% / 125%（界面财说转引计划）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 年净利增长未达第一个行权期目标，公司预计无法达成后续目标，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主动终止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，注销未行权期权 2,886,818 份（2025 年报 + 界面财说）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管理层自己宣布 2024 方案的增长曲线做不到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年股票期权激励（草案）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以 2025 年净利 6.3 亿元为基数，2026/27/28/29 年增长率不低于 15% / 32% / 52% / 75%，对应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7.2 / 8.3 / 9.6 / 11.0 亿元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（华创 2026-06-11 事项点评；9.6 为 6.3×1.52 的四舍五入，华创原文写 9.5）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计划仍在实施期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系统性低于 Wind 一致预期 7.50 / 8.96 / 10.49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2021、2024 两次激励均未达标或终止，是对“管理层可信度”的直接扣分，不是治理花絮。2026 方案把目标降到一致预期之下，应解读为：</w:t>
      </w:r>
      <w:r>
        <w:rPr>
          <w:rFonts w:ascii="Noto Sans SC" w:hAnsi="Noto Sans SC" w:eastAsia="Noto Sans SC"/>
          <w:b/>
          <w:i w:val="0"/>
        </w:rPr>
        <w:t>内部预算 &lt; 卖方模型</w:t>
      </w:r>
      <w:r>
        <w:rPr>
          <w:rFonts w:ascii="Noto Sans SC" w:hAnsi="Noto Sans SC" w:eastAsia="Noto Sans SC"/>
          <w:b w:val="0"/>
          <w:i w:val="0"/>
        </w:rPr>
        <w:t>。投委会应把激励目标当作中性情景的锚，而不是把卖方 10.5 亿当作中性。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3.3 并购承诺 vs 实际：一张表看“并购即增值”是否成立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年报附注“业绩承诺及对应商誉减值情况”（单位：万元，完成率原文 %）：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标的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本期承诺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本期实际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本期完成率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上期承诺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上期实际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上期完成率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对应商誉原值（亿元）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江西祥旺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916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83.3%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91.4%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0.36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浙江密尔克卫航运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1,500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957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63.8%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广州宝会新材料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3,300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2,878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87.2%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3,000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3,530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117.7%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0.74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金德龙 + 德鑫海昌（贸易）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12,000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14,084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117.4%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12,000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13,000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108.3%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0.88+1.25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上海富仓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1,200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−763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−63.6%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−1,184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−107.7%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广州捷晟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2,500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2,238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89.5%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0.49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可证伪结论：</w:t>
      </w:r>
      <w:r>
        <w:rPr>
          <w:rFonts w:ascii="Noto Sans SC" w:hAnsi="Noto Sans SC" w:eastAsia="Noto Sans SC"/>
          <w:b w:val="0"/>
          <w:i w:val="0"/>
        </w:rPr>
        <w:t xml:space="preserve"> 贸易类标的（金德龙、德鑫海昌）超额完成，物流/仓储/科技类标的普遍不及。并购在做的事情，是把分销规模和商誉同时做大，而不是把高 ROIC 的仓储网络买来。“并购即增值”对物流资产组不成立。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3.4 资本配置纪律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2019–2025 年购建固定资产、无形资产和其他长期资产支付的现金（Wind，亿元）：1.90 / 1.11 / 3.94 / 7.59 / 5.25 / 6.47 / 4.53，</w:t>
      </w:r>
      <w:r>
        <w:rPr>
          <w:rFonts w:ascii="Noto Sans SC" w:hAnsi="Noto Sans SC" w:eastAsia="Noto Sans SC"/>
          <w:b/>
          <w:i w:val="0"/>
        </w:rPr>
        <w:t>合计 30.79 亿元</w:t>
      </w:r>
      <w:r>
        <w:rPr>
          <w:rFonts w:ascii="Noto Sans SC" w:hAnsi="Noto Sans SC" w:eastAsia="Noto Sans SC"/>
          <w:b w:val="0"/>
          <w:i w:val="0"/>
        </w:rPr>
        <w:t>，年均约 4.40 亿元，占同期营收平均约 4.6%（与已验证“约 31.1 亿元 / 4.6%”一致，差额来自四舍五入）。2026H1 该项 2.97 亿元，已达 2025 全年的 66%。同期经营现金流 7 个完整年度累计 32.94 亿元，几乎被资本开支吃掉。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在建工程：2023 年末 8.42 亿元 → 2025 年末 5.19 亿元 → 2026H1 7.06 亿元（Wind）。2026H1 长期借款从 7.51 亿元增至 10.42 亿元（+38.7%），中报说明“因基建、固定资产及股权等长期投资投入增加”。这不是“轻资产输出管理模式已复制至多地”能单独解释的资产负债表。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实际控制人陈银河、李仁莉 2025-10-27 至 2026-01-26 减持计划上限各 1.50%；君联茂林已全部减持 161.66 万股、金额 9.65 亿元、价格 54.53–62.01 元，减持后不再持股（界面财说转引公告）。控股股东仍在，但财务投资者在 55–62 元区间退出，与当前 65 元只隔着一层转债转股后的流通盘。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3.5 管理层体检小结（</w:t>
      </w:r>
      <w:r>
        <w:rPr>
          <w:rFonts w:ascii="Consolas" w:hAnsi="Consolas" w:eastAsia="Consolas"/>
          <w:b/>
          <w:i w:val="0"/>
          <w:color w:val="9C2C2C"/>
          <w:sz w:val="25"/>
        </w:rPr>
        <w:t>management</w:t>
      </w:r>
      <w:r>
        <w:rPr>
          <w:rFonts w:ascii="Consolas" w:hAnsi="Consolas" w:eastAsia="Consolas"/>
          <w:b/>
          <w:i w:val="0"/>
          <w:color w:val="9C2C2C"/>
          <w:sz w:val="25"/>
        </w:rPr>
        <w:t>_</w:t>
      </w:r>
      <w:r>
        <w:rPr>
          <w:rFonts w:ascii="Consolas" w:hAnsi="Consolas" w:eastAsia="Consolas"/>
          <w:b/>
          <w:i w:val="0"/>
          <w:color w:val="9C2C2C"/>
          <w:sz w:val="25"/>
        </w:rPr>
        <w:t>quality</w:t>
      </w:r>
      <w:r>
        <w:rPr>
          <w:rFonts w:ascii="Consolas" w:hAnsi="Consolas" w:eastAsia="Consolas"/>
          <w:b/>
          <w:i w:val="0"/>
          <w:color w:val="9C2C2C"/>
          <w:sz w:val="25"/>
        </w:rPr>
        <w:t>_</w:t>
      </w:r>
      <w:r>
        <w:rPr>
          <w:rFonts w:ascii="Consolas" w:hAnsi="Consolas" w:eastAsia="Consolas"/>
          <w:b/>
          <w:i w:val="0"/>
          <w:color w:val="9C2C2C"/>
          <w:sz w:val="25"/>
        </w:rPr>
        <w:t>check</w:t>
      </w:r>
      <w:r>
        <w:rPr>
          <w:rFonts w:ascii="Consolas" w:hAnsi="Consolas" w:eastAsia="Consolas"/>
          <w:b/>
          <w:i w:val="0"/>
          <w:color w:val="9C2C2C"/>
          <w:sz w:val="25"/>
        </w:rPr>
        <w:t>_</w:t>
      </w:r>
      <w:r>
        <w:rPr>
          <w:rFonts w:ascii="Consolas" w:hAnsi="Consolas" w:eastAsia="Consolas"/>
          <w:b/>
          <w:i w:val="0"/>
          <w:color w:val="9C2C2C"/>
          <w:sz w:val="25"/>
        </w:rPr>
        <w:t>skill</w:t>
      </w:r>
      <w:r>
        <w:rPr>
          <w:rFonts w:ascii="Noto Sans SC" w:hAnsi="Noto Sans SC" w:eastAsia="Noto Sans SC"/>
          <w:b/>
          <w:i w:val="0"/>
          <w:sz w:val="25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观察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评分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利益绑定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陈银河董事长兼总经理，与李仁莉、慎蕾为实际控制人；直接+一致行动仍为第一口袋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激励设计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两轮计划失败/终止，第三轮目标低于卖方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资本配置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并购完成率分化、FCF 三年为负、在建工程再次抬头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信息披露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不再按五产品披露收入，改客户行业口径；关键表格在中报 PDF 转文本中缺失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减持与回购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财务股东出清；未见到等额回购对冲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中低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战略兑现度综合打分：5.5 / 10。</w:t>
      </w:r>
      <w:r>
        <w:rPr>
          <w:rFonts w:ascii="Noto Sans SC" w:hAnsi="Noto Sans SC" w:eastAsia="Noto Sans SC"/>
          <w:b w:val="0"/>
          <w:i w:val="0"/>
        </w:rPr>
        <w:t xml:space="preserve"> 收入端的“活下来并再创新高”成立；回报端的“密度带来定价权”不成立。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四、深度财务体检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口径声明：利润表、资产负债表、现金流量表金额如无另注，一律采用 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>（2019–2025 年报、2026 中报）；分部收入与毛利率采用年报/中报原文；ROIC、ROE、周转率为 Wind 计算值。亿元保留两位，比率保留两位。2026H1 的 ROE/ROIC/周转率为半年非年化数，不当作全年。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4.1 利润表全序列（2019–2026H1）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营业收入（亿元）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34.27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86.45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115.76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97.53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121.18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133.35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79.70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YoY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152.3%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−15.7%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13.3%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营业成本（亿元）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19.78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28.54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77.58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103.16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86.05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107.34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117.96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71.05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18.22%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16.71%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10.26%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11.76%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11.54%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10.85%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管理费用（亿元）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2.48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1.32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研发费用（亿元）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0.22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财务费用（亿元）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1.75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1.12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营业利润（亿元）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2.39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3.36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5.72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8.94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5.67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归母净利润（亿元）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4.32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4.31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3.81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扣非净利润（亿元）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4.11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5.75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3.47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8.11%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4.94%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5.59%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5.75%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1.42%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0.89%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管理费用率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4.49%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2.29%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1.65%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财务费用率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1.41%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（Wind；2026H1 同比来自中报原文 +13.29% / 归母 +8.37%。费用率=费用/营业收入，我方计算。）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三件事：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毛利率的结构性下台阶发生在 2021 年，之后再也没有回去。</w:t>
      </w:r>
      <w:r>
        <w:rPr>
          <w:rFonts w:ascii="Noto Sans SC" w:hAnsi="Noto Sans SC" w:eastAsia="Noto Sans SC"/>
          <w:b w:val="0"/>
          <w:i w:val="0"/>
        </w:rPr>
        <w:t xml:space="preserve"> 2019–2020 年 16–18% 对应“物流为主”；2021 年 MCD 从 6.91 亿跳到 31.26 亿，综合毛利率一次性掉到 10.3%，此后七年（含 2026H1）锁死在 10.3–11.8%。所谓 2024–2025“质量改善”，是在低毛利率平台上的利润增速转正，不是毛利率修复。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财务费用是唯一持续恶化的费用项。</w:t>
      </w:r>
      <w:r>
        <w:rPr>
          <w:rFonts w:ascii="Noto Sans SC" w:hAnsi="Noto Sans SC" w:eastAsia="Noto Sans SC"/>
          <w:b w:val="0"/>
          <w:i w:val="0"/>
        </w:rPr>
        <w:t xml:space="preserve"> 2019 年 0.16 亿 → 2025 年 1.75 亿（CAGR 48.9%），2026H1 再达 1.12 亿（同比 +34.3%），中报归因汇兑。2026H1 汇兑损失 3259 万元 vs 2025H1 的 872 万元（华创中报点评）。扣汇兑后归母同比 +17.6%，说明经营利润尚可，但外汇敞口已经大到可以吃掉近 10 个点的利润增速。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管理费用率下降被当作“降本增效”，部分是股份支付基数和研发人员减少。</w:t>
      </w:r>
      <w:r>
        <w:rPr>
          <w:rFonts w:ascii="Noto Sans SC" w:hAnsi="Noto Sans SC" w:eastAsia="Noto Sans SC"/>
          <w:b w:val="0"/>
          <w:i w:val="0"/>
        </w:rPr>
        <w:t xml:space="preserve"> 2025 年管理费用 −4.44%、研发 −4.62%；2026H1 研发再 −27.5%。费用率改善有真实的人员控制，也有“All in AI”口号下研发收缩的矛盾。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4.2 资产负债表：商誉、预付、合同负债、在建工程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时点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总资产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净资产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商誉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商誉/净资产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在建工程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预付款项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合同负债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应收账款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存货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短期借款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长期借款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资产负债率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2019YE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25.69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14.35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3.31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23.1%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0.37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n.a.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6.74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0.10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1.20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42.6%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2020YE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36.78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17.11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4.73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27.7%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0.12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11.67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2.54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1.84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51.6%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2021YE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72.73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31.53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6.10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19.4%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3.91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19.43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5.25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55.7%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2022YE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95.11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37.89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8.72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23.0%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5.64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20.45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14.06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59.1%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2023YE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111.24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40.21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14.59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36.3%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8.42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2.41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21.13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7.91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23.78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6.17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60.7%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2024YE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139.45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43.18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14.73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34.1%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6.84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8.35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0.50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37.48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23.95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13.96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65.8%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2025YE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207.78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47.69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14.73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30.9%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5.19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69.27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57.86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37.55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8.80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29.33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74.5%</w:t>
            </w:r>
          </w:p>
        </w:tc>
      </w:tr>
      <w:tr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157.59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48.83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14.73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30.2%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7.06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9.31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1.30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43.88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8.39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37.09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10.42</w:t>
            </w:r>
          </w:p>
        </w:tc>
        <w:tc>
          <w:tcPr>
            <w:tcW w:type="dxa" w:w="76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65.2%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（Wind，单位亿元。合同负债 2019–2024 年 Wind 单位为百万元，已换算为亿元。资产负债率 Wind。）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四条勾稽：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2025 年末总资产 207.78 亿元比 2024 年多 68.3 亿元，主因预付 69.27 亿 + 合同负债对应的存货/进项，是贸易合同的 Mirror 分录，不是产能。</w:t>
      </w:r>
      <w:r>
        <w:rPr>
          <w:rFonts w:ascii="Noto Sans SC" w:hAnsi="Noto Sans SC" w:eastAsia="Noto Sans SC"/>
          <w:b w:val="0"/>
          <w:i w:val="0"/>
        </w:rPr>
        <w:t xml:space="preserve"> 2026H1 总资产回落到 157.59 亿（−24.2%），预付 −86.56%、合同负债 −97.76%，证明 2025 年杠杆率 74.5% 是时点膨胀。把 2025YE 资产负债率当资本结构锚会高估财务风险，但把 2025 年收入当可持续分销能力会高估盈利。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预付款第一名 50.53 亿元，占 2025 年末预付 72.94%（2025 年报附注）。</w:t>
      </w:r>
      <w:r>
        <w:rPr>
          <w:rFonts w:ascii="Noto Sans SC" w:hAnsi="Noto Sans SC" w:eastAsia="Noto Sans SC"/>
          <w:b w:val="0"/>
          <w:i w:val="0"/>
        </w:rPr>
        <w:t xml:space="preserve"> 前五名预付合计 66.61 亿元、占 96.16%。这不是“分散的渠道铺货”，是一到两个对手方的大额锁货。2026H1 预付第一名只剩 1.26 亿元（13.53%），集中度解除。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商誉原值 15.32 亿元、净值 14.73 亿元（2025 年报），2019–2023 年从 3.31 亿加到 14.59 亿，之后两年不再新增——并购节奏在 2023 年封顶。</w:t>
      </w:r>
      <w:r>
        <w:rPr>
          <w:rFonts w:ascii="Noto Sans SC" w:hAnsi="Noto Sans SC" w:eastAsia="Noto Sans SC"/>
          <w:b w:val="0"/>
          <w:i w:val="0"/>
        </w:rPr>
        <w:t xml:space="preserve"> 减值准备已计提约 0.58 亿元（原值−净值），相对于承诺未达标的面积仍然偏少。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4. </w:t>
      </w:r>
      <w:r>
        <w:rPr>
          <w:rFonts w:ascii="Noto Sans SC" w:hAnsi="Noto Sans SC" w:eastAsia="Noto Sans SC"/>
          <w:b/>
          <w:i w:val="0"/>
        </w:rPr>
        <w:t>应收账款 2024 年跳升 16.35 亿元（+77.4%）而收入只增 24.3%。</w:t>
      </w:r>
      <w:r>
        <w:rPr>
          <w:rFonts w:ascii="Noto Sans SC" w:hAnsi="Noto Sans SC" w:eastAsia="Noto Sans SC"/>
          <w:b w:val="0"/>
          <w:i w:val="0"/>
        </w:rPr>
        <w:t xml:space="preserve"> 2025 年应收几乎持平（37.55 vs 37.48），周转率从 4.14 次降到 3.55 次（Wind）。2026H1 应收再升至 43.88 亿元。收入 ↔ 应收的弹性在 2024 年被破坏，2025 年靠“严控周转”把经营现金流做到 7.52 亿（+56%），2026H1 又回到 2.01 亿（−83.8%，中报：上年同期预收特殊项目款项）。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4.3 现金流质量与自由现金流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经营现金流净额（OCF）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3.39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2.03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6.13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2.01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投资现金流净额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−3.26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−3.04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−14.40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−12.36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−11.20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−5.58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−7.68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−1.56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筹资现金流净额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−0.35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17.52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12.31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2.35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1.68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购建固定资产等（Capex）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3.94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4.53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2.97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FCF = OCF − Capex（我方）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0.23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2.27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−1.91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−1.46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1.79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−1.65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2.99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−0.96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 / 归母净利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0.53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Capex / 营收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7 个完整年度中 3 年 FCF 为负（2021 / 2022 / 2024），2026H1 再次为负 0.96 亿元。</w:t>
      </w:r>
      <w:r>
        <w:rPr>
          <w:rFonts w:ascii="Noto Sans SC" w:hAnsi="Noto Sans SC" w:eastAsia="Noto Sans SC"/>
          <w:b w:val="0"/>
          <w:i w:val="0"/>
        </w:rPr>
        <w:t xml:space="preserve"> 已验证结论成立。累计 2019–2025 FCF = 2.26 亿元，同期归母净利累计 31.45 亿元，FCF/净利 = 7.2%。会计利润的 93% 没有变成可分配现金。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 OCF 7.52 亿看起来“质量改善”，分解是：合同负债 +57.4 亿元（预收）与预付 +60.9 亿元对冲后，再叠加应收管控。2026H1 特殊项目结清，OCF 立刻掉到 2.01 亿。</w:t>
      </w:r>
      <w:r>
        <w:rPr>
          <w:rFonts w:ascii="Noto Sans SC" w:hAnsi="Noto Sans SC" w:eastAsia="Noto Sans SC"/>
          <w:b/>
          <w:i w:val="0"/>
        </w:rPr>
        <w:t>2025 年现金流改善有一半是贸易合同的时间差，不是物流主业的现金机器升级。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4.4 ROIC vs WACC、增量资本回报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年份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ROIC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ROA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总资产周转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存货周转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应收周转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ROIC − WACC(7.41%)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14.59%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12.07%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252.5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4.12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+5.09pct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18.34%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14.90%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195.6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+7.49pct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17.75%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10.37%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160.7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5.56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+6.15pct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17.44%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11.67%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9.61%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5.81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+4.26pct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11.05%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6.87%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4.69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−0.32pct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13.56%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8.15%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4.14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+0.74pct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13.79%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3.55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+0.64pct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2026H1（未年化）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7.90%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4.51%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3.55%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8.26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（Wind；WACC 7.41% 为已验证参数：Rf 1.68%、Beta 1.176、ERP 6.5%、税后债务成本 2.78%、D/(D+E)=29.3%。）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利差从 2021 年约 6.2pct 收窄到 2025 年约 0.64pct，已进入“勉强覆盖资本成本”区间。</w:t>
      </w:r>
      <w:r>
        <w:rPr>
          <w:rFonts w:ascii="Noto Sans SC" w:hAnsi="Noto Sans SC" w:eastAsia="Noto Sans SC"/>
          <w:b w:val="0"/>
          <w:i w:val="0"/>
        </w:rPr>
        <w:t xml:space="preserve"> 2023 年甚至为负。周转率的坍塌比利润率更致命：总资产周转 1.58 → 0.77 次，存货周转 161 → 16 次——分销把存货和预付做进了分母。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简易增量资本回报（我方，IC ≈ 净资产 + 短期借款 + 长期借款）：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区间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Δ营业利润（亿元）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ΔIC（亿元）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ΔEBIT/ΔIC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2020→2021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+1.94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+23.3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2021→2022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+1.79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+14.2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2022→2023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−1.37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+10.1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−13.6%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2023→2024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+1.84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+11.7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15.7%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2024→2025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+1.39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无意义（长期借款因转债重分类下降）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\</w:t>
      </w:r>
      <w:r>
        <w:rPr>
          <w:rFonts w:ascii="Noto Sans SC" w:hAnsi="Noto Sans SC" w:eastAsia="Noto Sans SC"/>
          <w:b w:val="0"/>
          <w:i/>
        </w:rPr>
        <w:t>2025 年长期借款从 13.96 亿降至 7.51 亿，同期应付债券/一年内到期非流动负债上升，IC 口径被转债打乱。用总资产−无息流动负债会更稳，但 2025 年预付/合同负债同时膨胀，任何单一 IC 定义都会被贸易合同扭曲。</w:t>
      </w:r>
      <w:r>
        <w:rPr>
          <w:rFonts w:ascii="Noto Sans SC" w:hAnsi="Noto Sans SC" w:eastAsia="Noto Sans SC"/>
          <w:b/>
          <w:i/>
        </w:rPr>
        <w:t>稳健结论只依赖 Wind ROIC 序列：趋势向下、2025 年贴着 WACC。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4.5 有息负债与利息保障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短借 37.09 + 长借 10.42 = 47.51 亿元；另有一年内到期非流动负债 4.55 亿元、租赁负债 2.24 亿元（2026 中报）。粗算有息+租赁 ≈ 54 亿元。2026H1 财务费用 1.12 亿元（含汇兑），若把汇兑损失 0.33 亿元剔除，现金利息约 0.79 亿元，半年年化 1.58 亿元，对应名义利率约 1.58/54 ≈ 2.9%（我方估算，方法：财务费用−汇兑损失，年化后 / 有息余额）。税后债务成本 2.78% 的已验证假设与此同量级。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营业利润 2025 年 8.94 亿 / 财务费用 1.75 亿 = 5.1x，覆盖倍数尚可，但分母含汇兑、分子含低质量贸易毛利。真正的约束不是利息，是</w:t>
      </w:r>
      <w:r>
        <w:rPr>
          <w:rFonts w:ascii="Noto Sans SC" w:hAnsi="Noto Sans SC" w:eastAsia="Noto Sans SC"/>
          <w:b/>
          <w:i w:val="0"/>
        </w:rPr>
        <w:t>再融资依赖</w:t>
      </w:r>
      <w:r>
        <w:rPr>
          <w:rFonts w:ascii="Noto Sans SC" w:hAnsi="Noto Sans SC" w:eastAsia="Noto Sans SC"/>
          <w:b w:val="0"/>
          <w:i w:val="0"/>
        </w:rPr>
        <w:t>：7 年累计 FCF 仅 2.3 亿，任何加速资本开支都要借新债或发股本。转债已转完，这条廉价股权通道关闭。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4.6 商誉资产组与减值测试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商誉原值前十大（2025 年报，亿元）：南京久帝 2.18、Milkyway Tank 1.29、德鑫海昌 1.25、上海振义 1.06、零星危化物流 0.94、金德龙 0.88、天津东旭 0.79、广州宝会 0.74、新加坡仓储 0.71、浙江航运 0.68。合计前十 10.52 亿，占原值 15.32 亿的 69%。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已计提减值的资产组包括湖南瑞鑫（全额 0.32 亿）、江苏马龙国华（全额 0.05 亿）等，金额小。</w:t>
      </w:r>
      <w:r>
        <w:rPr>
          <w:rFonts w:ascii="Noto Sans SC" w:hAnsi="Noto Sans SC" w:eastAsia="Noto Sans SC"/>
          <w:b/>
          <w:i w:val="0"/>
        </w:rPr>
        <w:t>完成率 63.8% 的浙江航运（商誉 0.68 亿）和连续亏损的富仓（0.30 亿）是最接近下一次减值的两个名字。</w:t>
      </w:r>
      <w:r>
        <w:rPr>
          <w:rFonts w:ascii="Noto Sans SC" w:hAnsi="Noto Sans SC" w:eastAsia="Noto Sans SC"/>
          <w:b w:val="0"/>
          <w:i w:val="0"/>
        </w:rPr>
        <w:t xml:space="preserve"> 审计报告将商誉减值列为关键审计事项（2025 年报）。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4.7 增长质检（</w:t>
      </w:r>
      <w:r>
        <w:rPr>
          <w:rFonts w:ascii="Consolas" w:hAnsi="Consolas" w:eastAsia="Consolas"/>
          <w:b/>
          <w:i w:val="0"/>
          <w:color w:val="9C2C2C"/>
          <w:sz w:val="25"/>
        </w:rPr>
        <w:t>growth</w:t>
      </w:r>
      <w:r>
        <w:rPr>
          <w:rFonts w:ascii="Consolas" w:hAnsi="Consolas" w:eastAsia="Consolas"/>
          <w:b/>
          <w:i w:val="0"/>
          <w:color w:val="9C2C2C"/>
          <w:sz w:val="25"/>
        </w:rPr>
        <w:t>_</w:t>
      </w:r>
      <w:r>
        <w:rPr>
          <w:rFonts w:ascii="Consolas" w:hAnsi="Consolas" w:eastAsia="Consolas"/>
          <w:b/>
          <w:i w:val="0"/>
          <w:color w:val="9C2C2C"/>
          <w:sz w:val="25"/>
        </w:rPr>
        <w:t>quality</w:t>
      </w:r>
      <w:r>
        <w:rPr>
          <w:rFonts w:ascii="Consolas" w:hAnsi="Consolas" w:eastAsia="Consolas"/>
          <w:b/>
          <w:i w:val="0"/>
          <w:color w:val="9C2C2C"/>
          <w:sz w:val="25"/>
        </w:rPr>
        <w:t>_</w:t>
      </w:r>
      <w:r>
        <w:rPr>
          <w:rFonts w:ascii="Consolas" w:hAnsi="Consolas" w:eastAsia="Consolas"/>
          <w:b/>
          <w:i w:val="0"/>
          <w:color w:val="9C2C2C"/>
          <w:sz w:val="25"/>
        </w:rPr>
        <w:t>check</w:t>
      </w:r>
      <w:r>
        <w:rPr>
          <w:rFonts w:ascii="Consolas" w:hAnsi="Consolas" w:eastAsia="Consolas"/>
          <w:b/>
          <w:i w:val="0"/>
          <w:color w:val="9C2C2C"/>
          <w:sz w:val="25"/>
        </w:rPr>
        <w:t>_</w:t>
      </w:r>
      <w:r>
        <w:rPr>
          <w:rFonts w:ascii="Consolas" w:hAnsi="Consolas" w:eastAsia="Consolas"/>
          <w:b/>
          <w:i w:val="0"/>
          <w:color w:val="9C2C2C"/>
          <w:sz w:val="25"/>
        </w:rPr>
        <w:t>skill</w:t>
      </w:r>
      <w:r>
        <w:rPr>
          <w:rFonts w:ascii="Noto Sans SC" w:hAnsi="Noto Sans SC" w:eastAsia="Noto Sans SC"/>
          <w:b/>
          <w:i w:val="0"/>
          <w:sz w:val="25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检验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2019–2022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2023–2025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 CAGR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68.5%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10.0%（2023–25）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+13.3%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 CAGR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45.6%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20.5%（2023–25，低基数）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+8.4%（扣汇兑 +17.6%）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利润含金量 OCF/NI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均值 ~0.9，2021 仅 0.47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 好、2024 差、2025 被预收抬高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现金含量 FCF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两年负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一年负、一年正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可持续性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运价+并表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分销量+仓储折旧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货量+汇兑+合同结清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失速点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海运运价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化工价格+承诺期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分销时点合同 + 汇兑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增长有“量”，缺“质”。</w:t>
      </w:r>
      <w:r>
        <w:rPr>
          <w:rFonts w:ascii="Noto Sans SC" w:hAnsi="Noto Sans SC" w:eastAsia="Noto Sans SC"/>
          <w:b w:val="0"/>
          <w:i w:val="0"/>
        </w:rPr>
        <w:t xml:space="preserve"> 2024–2025 的利润再创新高，是在 2023 年低基数、分销扩表、费用率压缩三件事上叠出来的，不是 ROIC 回升。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五、行业特点（只保留可证伪数字）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5.1 供给：牌照约束下的库容增量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中物联危化品物流分会 2025 年针对第三方化工仓储的调研（196 家、254 个库区，华创 2026-05-24 转引，WebSearch 2026-09-18 交叉验证到三个皮匠/观研）：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数值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第三方化工品仓库区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108 个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甲 38.44 万㎡ + 乙 58.48 万㎡ + 丙 106.20 万㎡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甲乙类合计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96.92 万㎡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真正受危化审批约束的库容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储罐区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173 个 / 4511.643 万 m³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较上年仅 +52.8 万 m³（+1.2%）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2022–2025 罐容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+174.52 万 m³，+4.0%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三年 CAGR 约 1.3%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密尔克卫自建及管理仓库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逾 70 万㎡（2026 中报）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含管理输出、含丙类，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不可与 96.92 万㎡直接相除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 危化仓储 10 强第一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密尔克卫 67.9 万㎡（智研咨询转引排名）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与“70 万+”同量级，说明近两年面积增速已慢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甲乙类仓库面积 2022–2025“基本持平”（观研转引）。增量不在面积，在罐容的每年约 50 万 m³。任何“仓储高增长”如果没有对应的新批面积或出租率数据，默认是管理输出或丙类/普货仓，毛利率会低于甲乙类危化仓。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道路侧：2025 年危险货物运输总量 19.6 亿吨，2020 年约 18 亿吨，五年 +8.9%（西南 2026-08-14 转中物联）。道路运输占比仍超 65%，铁路约 1.6 亿吨、水路约 4 亿吨。运力供给的弹性远大于仓储，所以 MRT 毛利率 8–10%，MRW 能到 40%。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5.2 需求：化工品产量与外包，而不是“景气回暖”四个字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数值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来源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年危化品物流市场规模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2.26 万亿元，2020 年 2.05 万亿，五年 +0.21 万亿（+10.2%）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西南转中物联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年石化物流总额（预测）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25.78 万亿元（生产 15.4 / 批发 7.8 / 进口 2.58）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西南转中物联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CCPI（中国化工产品价格指数）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2024-12-31：4307；2025-12-31：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3930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（全年新低区）；2026-09-17：5528；2026-09-18：5506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EDB S5470297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CCPI 2026 年以来反弹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3930 → 5528，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+40.7%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（2025-12-31 至 2026-09-17）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SCFI 综合指数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2026-09-11：3662.18（七连涨）；2026-09-04：3590.05；7 月 24 日启动点 3062.95，至 9 月 4 日 +17.2%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上海航运交易所，WebSearch 2026-09-18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CCPI 在 2025 年四季度和 2026 年一月仍在 3900 点附近（2025-11-05 最低 3823），2026 年二、三季度才出现 40% 量级的价格反弹。这与公司 2025 年收入 +10%、Q4 营收 26.65 亿环比 −26.7%（界面财说）是同一件事：2025 年化工价格没有帮上忙，2026H1 的货量改善发生在价格刚刚拐头时。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对分销的含义：</w:t>
      </w:r>
      <w:r>
        <w:rPr>
          <w:rFonts w:ascii="Noto Sans SC" w:hAnsi="Noto Sans SC" w:eastAsia="Noto Sans SC"/>
          <w:b w:val="0"/>
          <w:i w:val="0"/>
        </w:rPr>
        <w:t xml:space="preserve"> MCD 赚的是价差。CCPI +41% 在 2026 年会抬高收入（吨价上涨），但毛利率是否同步扩张取决于锁价节奏。2026H1 MCD 毛利率 7.4% vs 2025 年 7.68%，</w:t>
      </w:r>
      <w:r>
        <w:rPr>
          <w:rFonts w:ascii="Noto Sans SC" w:hAnsi="Noto Sans SC" w:eastAsia="Noto Sans SC"/>
          <w:b/>
          <w:i w:val="0"/>
        </w:rPr>
        <w:t>价涨没有变成价差扩张</w:t>
      </w:r>
      <w:r>
        <w:rPr>
          <w:rFonts w:ascii="Noto Sans SC" w:hAnsi="Noto Sans SC" w:eastAsia="Noto Sans SC"/>
          <w:b w:val="0"/>
          <w:i w:val="0"/>
        </w:rPr>
        <w:t>。对货代的含义：SCFI 七连涨对 MGF 是顺风，但 2025 年 MGF 收入 −0.13%，说明公司货代对运价的 beta 已经不像 2021–2022 那么大，或者箱量被运价下跌年锁死、上涨年份额被挤。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5.3 竞争格局：CR3 = 0.62%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观研转引：2020–2024 年危化品物流 CR3 由 0.23% 升至 0.62%，其中密尔克卫份额 0.17% → 0.50%，宏川智慧 0.04% → 0.06%，兴通股份 0.02% → 0.06%。西南转引：2025 年危化品物流企业中，被调研企业不同营收规模分布仍以中小为主。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0.50% 的份额叫“龙头”只在民营上市可比口径下成立。</w:t>
      </w:r>
      <w:r>
        <w:rPr>
          <w:rFonts w:ascii="Noto Sans SC" w:hAnsi="Noto Sans SC" w:eastAsia="Noto Sans SC"/>
          <w:b w:val="0"/>
          <w:i w:val="0"/>
        </w:rPr>
        <w:t xml:space="preserve"> 中外运 2025 年收入 968 亿、PE 12.2 倍，做的是综合物流不是危化专精；Brenntag 收入约 1249 亿人民币、净利率 1.8%（华创 2026-05-24）。密尔克卫的对标如果是 Brenntag，则现在的净利率 5.6% 是“还没把分销做到足够大”的暂时现象——继续做大 MCD，净利率会向 2–3% 收敛，而不是向仓储的 40% 收敛。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海外可比（华创 2026-05-24，截至 2026-05-23）：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公司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收入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净利率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ROE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市值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Brenntag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1249.4 亿人民币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657.5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密尔克卫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133.4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13.9%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当时 81.7 / 现 113.3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华创用 Brenntag 2026/27E PE 17.2 / 15.9 倍给密尔克卫 2027 年 17 倍。问题是 Brenntag 的 PE 对应 1.8% 净利率的成熟分销商，密尔克卫若要配 17 倍，需要证明分销不会继续稀释净利率——2021 年以来的数据方向相反。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5.4 行业对密尔克卫的定价含义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仓储：供给几乎不增，是行业里唯一的硬约束；公司已经拥有国内民营最大库容，</w:t>
      </w:r>
      <w:r>
        <w:rPr>
          <w:rFonts w:ascii="Noto Sans SC" w:hAnsi="Noto Sans SC" w:eastAsia="Noto Sans SC"/>
          <w:b/>
          <w:i w:val="0"/>
        </w:rPr>
        <w:t>增量故事不在面积，在出租率和品类切换（半导体/电子化学品）。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运输/货代：供给弹性大，赚的是运价和箱量，2023 年已经演示过 −30% 以上的收入回撤。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分销：市场极大、集中度极低，可以无限做大收入，几乎做不大 ROIC。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半导体物流：准入门槛高（恒温、防震、特气、废酸），但 2026H1 仍是“客户占比 6–21%”的结构故事，没有独立的量价披露。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六、发展趋势与位势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6.1 在产业链中的议价位置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上游是中石油/中石化/巴斯夫/陶氏/万华等生产商，下游是中小涂料、新材料、电子化学品用户。密尔克卫同时做“为上游做仓配货代”和“为下游做分销”。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关系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证据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议价方向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vs 生产商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前五名供应商采购 350.4 亿元，占采购额 29.89%；第一名供应商 211.4 亿元、占 18.03%（2025 年报）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公司是价的接受者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。第一名供应商采购额 21.1 亿，大于第一名客户销售 5.95 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vs 下游客户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前五名客户仅 14.56%；贸易前五名客户合计 9.35 亿、占收入 7.05%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客户分散，单客户依赖度低，但也没有“必须用我”的钱包份额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vs 船东/车队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MGF 成本 96.4% 是港务及物流运输成本（2025 年报成本表）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货代毛利率 11.4%，附加值薄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vs 土地/园区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在建工程 2026H1 回升到 7.06 亿，徐圩、福建、东莞等基地仍在投入（2025 年报募投）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公司在买位置，位置的租金回报正在下降（仓储毛利率 −8.5pct / 两年）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可扩张边界：</w:t>
      </w:r>
      <w:r>
        <w:rPr>
          <w:rFonts w:ascii="Noto Sans SC" w:hAnsi="Noto Sans SC" w:eastAsia="Noto Sans SC"/>
          <w:b w:val="0"/>
          <w:i w:val="0"/>
        </w:rPr>
        <w:t xml:space="preserve"> 横向并购区域仓和危运车队（已经证明整合回报差）；纵向做分销（做大收入、摊薄 ROIC）；斜向切半导体/新能源物流（2026 年主叙事，尚未在分部利润表出现）。海外：新加坡仓储商誉 0.71 亿、境外资产 15.29 亿元占总资产 9.70%（2026 中报）。这不是 Brenntag 式的全球特种分销网，是据点。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6.2 “中国密度”的经济学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 2026-05-24 把“中国密度”定义为七大战区（上海、南部、北部、山东、西部、长江、亚太）的网点加密。密度要成为壁垒，必须满足：加密 → 单票成本下降或切换成本上升 → ROIC 上升。观察 2022–2025：网点在加密（商誉 8.72→14.73，在建工程维持高位），ROIC 11.67%→8.05%。</w:t>
      </w:r>
      <w:r>
        <w:rPr>
          <w:rFonts w:ascii="Noto Sans SC" w:hAnsi="Noto Sans SC" w:eastAsia="Noto Sans SC"/>
          <w:b/>
          <w:i w:val="0"/>
        </w:rPr>
        <w:t>密度增加的同时回报下降，说明加密处在规模不经济区间</w:t>
      </w:r>
      <w:r>
        <w:rPr>
          <w:rFonts w:ascii="Noto Sans SC" w:hAnsi="Noto Sans SC" w:eastAsia="Noto Sans SC"/>
          <w:b w:val="0"/>
          <w:i w:val="0"/>
        </w:rPr>
        <w:t>——新点的爬坡、折旧、整合成本高于网络协同。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申万 2026-07-02 提出“仓储紧张 → 迫使公司筛选高毛利半导体客户 → 坪效提升，无需大规模 capex”。这是可证伪的：如果成立，2026H2–2027 年 MRW 毛利率应止跌回升、capex/收入应下降。2026H1 在建工程 +35.9%、购建支出 2.97 亿（半年即达 2025 年 66%），方向相反。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6.3 半导体物流：期权，不是已入账的第二曲线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把卖方语言翻译成会计科目：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卖方表述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入账位置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能看到的数字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“千亿级市场卖铲子”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尚未形成分部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未获取公司口径的半导体物流收入金额（年报/中报无独立科目）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“中芯国际、长鑫、长江存储”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客户名单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华创中报点评定性披露，无合同金额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新能源+半导体客户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客户行业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收入占比 21%、毛利占比 29%（华创中报点评）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芯片半导体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客户行业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收入占比约 6%，年底目标 9–10%（调研纪要，可靠性中）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废酸处理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潜在附加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定性，未获取吨量和单价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21% 收入 / 29% 毛利意味着这些客户的毛利率高于公司平均（10.85%），大约 29%/21% × 10.85% ≈ 15.0%（我方估算）。这比 MCD 的 7.4% 好，比 MRW 的 39% 差，更接近 MGL 的 12.4%。</w:t>
      </w:r>
      <w:r>
        <w:rPr>
          <w:rFonts w:ascii="Noto Sans SC" w:hAnsi="Noto Sans SC" w:eastAsia="Noto Sans SC"/>
          <w:b/>
          <w:i w:val="0"/>
        </w:rPr>
        <w:t>半导体故事目前改善的是客户结构，不是一个 40% 毛利率的新仓储池。</w:t>
      </w:r>
      <w:r>
        <w:rPr>
          <w:rFonts w:ascii="Noto Sans SC" w:hAnsi="Noto Sans SC" w:eastAsia="Noto Sans SC"/>
          <w:b w:val="0"/>
          <w:i w:val="0"/>
        </w:rPr>
        <w:t xml:space="preserve"> 在公司把半导体物流的库容、箱量、单票毛利单列之前，投委会不应给这项业务单独的 SOTP 倍数。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6.4 位势一句话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密尔克卫站在“民营危化供应链上市平台”的位置上，左手有国内最大的管理库容，右手有一个可以把收入做到 200 亿的贸易开关。位置是真的，开关的代价是 ROIC 被开关自己稀释。2028 年之前，决定股价的不是再买一个仓库，而是：</w:t>
      </w:r>
      <w:r>
        <w:rPr>
          <w:rFonts w:ascii="Noto Sans SC" w:hAnsi="Noto Sans SC" w:eastAsia="Noto Sans SC"/>
          <w:b/>
          <w:i w:val="0"/>
        </w:rPr>
        <w:t>仓储毛利率能否止住 47%→39% 的下滑，以及分销能不能停止用时点合同制造收入。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七、各业务模块拆解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本章把五个产品收成投委会需要的四块：</w:t>
      </w:r>
      <w:r>
        <w:rPr>
          <w:rFonts w:ascii="Noto Sans SC" w:hAnsi="Noto Sans SC" w:eastAsia="Noto Sans SC"/>
          <w:b/>
          <w:i w:val="0"/>
        </w:rPr>
        <w:t>货代（MGF）、仓储（MRW）、运输（MGM+MRT）、分销交易（MCD）</w:t>
      </w:r>
      <w:r>
        <w:rPr>
          <w:rFonts w:ascii="Noto Sans SC" w:hAnsi="Noto Sans SC" w:eastAsia="Noto Sans SC"/>
          <w:b w:val="0"/>
          <w:i w:val="0"/>
        </w:rPr>
        <w:t>。2021 年披露名称与此后不完全一致（当年 MTT 全球航运及罐箱、MPC 工程物流及干散货，此后并入 MGM），并表时加注。2026H1 公司不再披露五产品表，能拆到的最细口径是 MGL / MCL / MCD（华创、西南中报点评）。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7.1 四板块收入、毛利、毛利率全序列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收入（亿元）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板块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2019–25 CAGR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货代 MGF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10.61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13.38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31.14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37.82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22.23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34.73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34.69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21.8%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见 MGL 25.34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 MRW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4.62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7.25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6.96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7.51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8.01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9.6%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见 MCL 16.21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运输（MGM+MRT）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6.72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8.86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18.27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26.95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25.02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26.87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29.90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28.2%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含在 MGL/MCL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 MCD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2.14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6.91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31.26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43.48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43.21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51.85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60.52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74.5%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38.03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四块合计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24.09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34.20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86.16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115.50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97.42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120.96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133.12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33.0%</w:t>
            </w:r>
          </w:p>
        </w:tc>
        <w:tc>
          <w:tcPr>
            <w:tcW w:type="dxa" w:w="99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79.58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（2019–2025：各年年报分产品表，亿元由原文元折算。2021 年运输 = MTT 3.34 + MRT 12.58 + MPC 2.35。2026H1：华创 2026-08-14 / 西南 2026-08-14。CAGR 为 6 年，我方计算。）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毛利率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板块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货代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12.25%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9.02%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12.01%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10.37%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MGL 12.4%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47.07%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48.17%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43.12%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46.56%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47.87%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44.31%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39.40%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MCL 16.0%（被 MRT 稀释）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运输-MGM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16.71%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18.60%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15.93%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13.05%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14.38%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含在 MGL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运输-MRT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12.05%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11.99%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9.13%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9.63%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8.35%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含在 MCL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7.13%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7.75%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\</w:t>
      </w:r>
      <w:r>
        <w:rPr>
          <w:rFonts w:ascii="Noto Sans SC" w:hAnsi="Noto Sans SC" w:eastAsia="Noto Sans SC"/>
          <w:b w:val="0"/>
          <w:i/>
        </w:rPr>
        <w:t>2021 年为 MTT 口径。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毛利额与 2025 年毛利占比（我方 = 收入 × 毛利率）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板块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毛利占比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收入占比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货代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4.30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3.60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3.95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26.1%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3.38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3.33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3.33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运输合计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22.5%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4.65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45.5%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4.32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12.50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11.37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13.64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15.18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关键结构事实：</w:t>
      </w:r>
      <w:r>
        <w:rPr>
          <w:rFonts w:ascii="Noto Sans SC" w:hAnsi="Noto Sans SC" w:eastAsia="Noto Sans SC"/>
          <w:b w:val="0"/>
          <w:i w:val="0"/>
        </w:rPr>
        <w:t xml:space="preserve"> 仓储用 6% 收入贡献 21% 毛利，分销用 46% 收入贡献 31% 毛利。2019 年仓储毛利 2.17 亿已经是分销的 50 倍；2025 年分销毛利 4.65 亿首次超过仓储 3.15 亿，靠的是把收入做了 28 倍（2.14→60.52），不是把毛利率做上来。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7.2 货代（MGF）：运价 beta 褪去之后的“平台”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模式：</w:t>
      </w:r>
      <w:r>
        <w:rPr>
          <w:rFonts w:ascii="Noto Sans SC" w:hAnsi="Noto Sans SC" w:eastAsia="Noto Sans SC"/>
          <w:b w:val="0"/>
          <w:i w:val="0"/>
        </w:rPr>
        <w:t xml:space="preserve"> 揽货、订舱、报关、多式联运，成本 96.41% 为港务及物流运输（2025 年报成本表），人工 2.94%，折旧 0.14%。轻资产是真的，壁垒也是真的薄。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量价：</w:t>
      </w:r>
      <w:r>
        <w:rPr>
          <w:rFonts w:ascii="Noto Sans SC" w:hAnsi="Noto Sans SC" w:eastAsia="Noto Sans SC"/>
          <w:b w:val="0"/>
          <w:i w:val="0"/>
        </w:rPr>
        <w:t xml:space="preserve"> 箱量、单箱收入 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（年报未披露 TEU/票数；Wind、iFind 无该运营指标）。能替代的是收入与毛利率对海运周期的弹性。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周期：</w:t>
      </w:r>
      <w:r>
        <w:rPr>
          <w:rFonts w:ascii="Noto Sans SC" w:hAnsi="Noto Sans SC" w:eastAsia="Noto Sans SC"/>
          <w:b w:val="0"/>
          <w:i w:val="0"/>
        </w:rPr>
        <w:t xml:space="preserve"> 2021 年收入 31.14 亿（+185%）、2022 年 37.82 亿（+21%）、2023 年 22.23 亿（−41.2%）、2024 年 34.73 亿（+56.2%）、2025 年 34.69 亿（−0.13%）。2023 年的 −41% 与集运运价回撤同方向；2025 年运价并非主跌年，收入却零增长，说明 </w:t>
      </w:r>
      <w:r>
        <w:rPr>
          <w:rFonts w:ascii="Noto Sans SC" w:hAnsi="Noto Sans SC" w:eastAsia="Noto Sans SC"/>
          <w:b/>
          <w:i w:val="0"/>
        </w:rPr>
        <w:t>箱量或份额在 2025 年没有跟上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2026H1：</w:t>
      </w:r>
      <w:r>
        <w:rPr>
          <w:rFonts w:ascii="Noto Sans SC" w:hAnsi="Noto Sans SC" w:eastAsia="Noto Sans SC"/>
          <w:b w:val="0"/>
          <w:i w:val="0"/>
        </w:rPr>
        <w:t xml:space="preserve"> 并入 MGL 的 25.34 亿、毛利率 12.4%。若按 2025 年 MGF/(MGF+MGM)=76.3% 拆（我方估算），H1 货代约 19.3 亿元，已达 2025 全年 34.69 亿的 56%，节奏偏快，与 SCFI 2026 年三季度七连涨同向。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天花板：</w:t>
      </w:r>
      <w:r>
        <w:rPr>
          <w:rFonts w:ascii="Noto Sans SC" w:hAnsi="Noto Sans SC" w:eastAsia="Noto Sans SC"/>
          <w:b w:val="0"/>
          <w:i w:val="0"/>
        </w:rPr>
        <w:t xml:space="preserve"> 货代收入理论上跟中国化工品进出口货值走。2025 年 34.7 亿只相当于危化物流 2.26 万亿市场的 0.15%。增长约束不是市场，是公司把货代当流量入口、利润靠后段仓储截留——而仓储毛利率正在下降，截留效率在变差。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边际：</w:t>
      </w:r>
      <w:r>
        <w:rPr>
          <w:rFonts w:ascii="Noto Sans SC" w:hAnsi="Noto Sans SC" w:eastAsia="Noto Sans SC"/>
          <w:b w:val="0"/>
          <w:i w:val="0"/>
        </w:rPr>
        <w:t xml:space="preserve"> 毛利率 9–12% 波动，2025 年 11.39%（+1.02pct）是运价与结构的混合，给不了“平台溢价”。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7.3 仓储（MRW）：唯一的利润池，正在被折旧咬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模式：</w:t>
      </w:r>
      <w:r>
        <w:rPr>
          <w:rFonts w:ascii="Noto Sans SC" w:hAnsi="Noto Sans SC" w:eastAsia="Noto Sans SC"/>
          <w:b w:val="0"/>
          <w:i w:val="0"/>
        </w:rPr>
        <w:t xml:space="preserve"> 仓租 + 进出仓 + 分装贴标等增值。2025 年物流成本里折旧摊销 3.81 亿元、占物流成本 6.14%（+26.0% yoy），仓储租赁成本反而 −37.2% 至 0.15 亿元（2025 年报）——外租在换成自有，折旧在换成刚性。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单位经济（我方估算）：</w:t>
      </w:r>
      <w:r>
        <w:rPr>
          <w:rFonts w:ascii="Noto Sans SC" w:hAnsi="Noto Sans SC" w:eastAsia="Noto Sans SC"/>
          <w:b w:val="0"/>
          <w:i w:val="0"/>
        </w:rPr>
        <w:t xml:space="preserve"> 70 万㎡管理面积、2025 年仓储收入 8.01 亿元 → </w:t>
      </w:r>
      <w:r>
        <w:rPr>
          <w:rFonts w:ascii="Noto Sans SC" w:hAnsi="Noto Sans SC" w:eastAsia="Noto Sans SC"/>
          <w:b/>
          <w:i w:val="0"/>
        </w:rPr>
        <w:t>1144 元/㎡·年</w:t>
      </w:r>
      <w:r>
        <w:rPr>
          <w:rFonts w:ascii="Noto Sans SC" w:hAnsi="Noto Sans SC" w:eastAsia="Noto Sans SC"/>
          <w:b w:val="0"/>
          <w:i w:val="0"/>
        </w:rPr>
        <w:t xml:space="preserve">。若出租率 80%（行业经验值，公司 </w:t>
      </w:r>
      <w:r>
        <w:rPr>
          <w:rFonts w:ascii="Noto Sans SC" w:hAnsi="Noto Sans SC" w:eastAsia="Noto Sans SC"/>
          <w:b/>
          <w:i w:val="0"/>
        </w:rPr>
        <w:t>未披露出租率</w:t>
      </w:r>
      <w:r>
        <w:rPr>
          <w:rFonts w:ascii="Noto Sans SC" w:hAnsi="Noto Sans SC" w:eastAsia="Noto Sans SC"/>
          <w:b w:val="0"/>
          <w:i w:val="0"/>
        </w:rPr>
        <w:t>，标未获取），则有效坪效约 1430 元/㎡。宏川智慧 2025 年收入 11.90 亿 / 库容 15.9 万㎡ = 7484 元/㎡（含罐区液体仓储，口径不可比，仅说明液体罐容坪效远高于固体仓）。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毛利率路径：</w:t>
      </w:r>
      <w:r>
        <w:rPr>
          <w:rFonts w:ascii="Noto Sans SC" w:hAnsi="Noto Sans SC" w:eastAsia="Noto Sans SC"/>
          <w:b w:val="0"/>
          <w:i w:val="0"/>
        </w:rPr>
        <w:t xml:space="preserve"> 48.17%（2020）→ 43.12%（2021，新仓爬坡）→ 47.87%（2023）→ 44.31%（2024）→ </w:t>
      </w:r>
      <w:r>
        <w:rPr>
          <w:rFonts w:ascii="Noto Sans SC" w:hAnsi="Noto Sans SC" w:eastAsia="Noto Sans SC"/>
          <w:b/>
          <w:i w:val="0"/>
        </w:rPr>
        <w:t>39.40%（2025，两年 −8.47pct）</w:t>
      </w:r>
      <w:r>
        <w:rPr>
          <w:rFonts w:ascii="Noto Sans SC" w:hAnsi="Noto Sans SC" w:eastAsia="Noto Sans SC"/>
          <w:b w:val="0"/>
          <w:i w:val="0"/>
        </w:rPr>
        <w:t>。2025 年报原文：“减少 4.91 个百分点”。华创把 2023 年新仓投放当作阶段性压制；两年后毛利率继续下，</w:t>
      </w:r>
      <w:r>
        <w:rPr>
          <w:rFonts w:ascii="Noto Sans SC" w:hAnsi="Noto Sans SC" w:eastAsia="Noto Sans SC"/>
          <w:b/>
          <w:i w:val="0"/>
        </w:rPr>
        <w:t>爬坡解释已经不够</w:t>
      </w:r>
      <w:r>
        <w:rPr>
          <w:rFonts w:ascii="Noto Sans SC" w:hAnsi="Noto Sans SC" w:eastAsia="Noto Sans SC"/>
          <w:b w:val="0"/>
          <w:i w:val="0"/>
        </w:rPr>
        <w:t>，更可能是低价货品占比提升、或定价跟不上折旧。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2026H1：</w:t>
      </w:r>
      <w:r>
        <w:rPr>
          <w:rFonts w:ascii="Noto Sans SC" w:hAnsi="Noto Sans SC" w:eastAsia="Noto Sans SC"/>
          <w:b w:val="0"/>
          <w:i w:val="0"/>
        </w:rPr>
        <w:t xml:space="preserve"> MCL（仓储+内贸交付）收入 16.21 亿（+32.4%）、毛利率 16.0%。2025 年 MRW+MRT 合计收入 27.15 亿、混合毛利率 (3.15+1.88)/27.15=18.5%。H1 混合毛利率 16.0%，继续往下。因 H1 未拆 MRW，</w:t>
      </w:r>
      <w:r>
        <w:rPr>
          <w:rFonts w:ascii="Noto Sans SC" w:hAnsi="Noto Sans SC" w:eastAsia="Noto Sans SC"/>
          <w:b/>
          <w:i w:val="0"/>
        </w:rPr>
        <w:t>不能排除是 MRT 占比提升导致的结构效应</w:t>
      </w:r>
      <w:r>
        <w:rPr>
          <w:rFonts w:ascii="Noto Sans SC" w:hAnsi="Noto Sans SC" w:eastAsia="Noto Sans SC"/>
          <w:b w:val="0"/>
          <w:i w:val="0"/>
        </w:rPr>
        <w:t>；但也无法证明仓储毛利率已经止跌。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投入产出：</w:t>
      </w:r>
      <w:r>
        <w:rPr>
          <w:rFonts w:ascii="Noto Sans SC" w:hAnsi="Noto Sans SC" w:eastAsia="Noto Sans SC"/>
          <w:b w:val="0"/>
          <w:i w:val="0"/>
        </w:rPr>
        <w:t xml:space="preserve"> 2019–2025 累计 capex 30.79 亿，仓储是最重的接收方（在建工程科目、募投徐圩/福建/东莞）。2025 年仓储毛利 3.15 亿，较 2023 年 3.33 亿 </w:t>
      </w:r>
      <w:r>
        <w:rPr>
          <w:rFonts w:ascii="Noto Sans SC" w:hAnsi="Noto Sans SC" w:eastAsia="Noto Sans SC"/>
          <w:b/>
          <w:i w:val="0"/>
        </w:rPr>
        <w:t>下降 0.18 亿</w:t>
      </w:r>
      <w:r>
        <w:rPr>
          <w:rFonts w:ascii="Noto Sans SC" w:hAnsi="Noto Sans SC" w:eastAsia="Noto Sans SC"/>
          <w:b w:val="0"/>
          <w:i w:val="0"/>
        </w:rPr>
        <w:t>，同期收入还增了 1.05 亿。多卖 1.05 亿仓储收入，少赚 0.18 亿毛利，增量毛利率为负（我方：(3.15−3.33)/(8.01−6.96)= −17.1%）。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天花板：</w:t>
      </w:r>
      <w:r>
        <w:rPr>
          <w:rFonts w:ascii="Noto Sans SC" w:hAnsi="Noto Sans SC" w:eastAsia="Noto Sans SC"/>
          <w:b w:val="0"/>
          <w:i w:val="0"/>
        </w:rPr>
        <w:t xml:space="preserve"> 甲乙类新批面积“基本持平”。面积扩张要靠管理输出（轻资产，费率低）或丙类/普货（毛利率低）或半导体改造（capex 不低）。三条路都不会回到 48% 毛利率。合理的中期锚是 38–42%。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7.4 运输（MGM 罐箱/船舶 + MRT 公路交付）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MGM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收入 2022 年 9.70 亿 → 2023 年 6.54 亿（−32.6%）→ 2025 年 10.76 亿（+37.8%）。2025 年是物流里唯一的高增长引擎。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毛利率 18.60% → 15.93% → 13.05% → 14.38%，从“小而美”变成“大而平”。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罐箱 8000–9000 个（调研纪要，可靠性中），2025 收入 10.76 亿 → </w:t>
      </w:r>
      <w:r>
        <w:rPr>
          <w:rFonts w:ascii="Noto Sans SC" w:hAnsi="Noto Sans SC" w:eastAsia="Noto Sans SC"/>
          <w:b/>
          <w:i w:val="0"/>
        </w:rPr>
        <w:t>约 12.0–13.5 万元/罐·年</w:t>
      </w:r>
      <w:r>
        <w:rPr>
          <w:rFonts w:ascii="Noto Sans SC" w:hAnsi="Noto Sans SC" w:eastAsia="Noto Sans SC"/>
          <w:b w:val="0"/>
          <w:i w:val="0"/>
        </w:rPr>
        <w:t xml:space="preserve">（我方）。周转率、空罐率 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自有船舶“全部承运万华化学、满载率高”（同一调研纪要）——这是客户集中，不是网络效应。万华资本开支放缓会直接打到这条船上。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MRT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收入 2019–2025：6.72（当年“运输业务”）→ 12.58 → 17.25 → 18.48 → 19.06 → 19.14 亿。2023 年起增速熄火（+7.1% / +3.1% / +0.4%）。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毛利率 12% → 9.1% → 9.6% → 8.4% → 8.8% → 9.8%。公路危运是标准竞争市场，毛利率中枢 9%。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2025 年收入 19.14 亿几乎不增长，与“危险货物运输总量 19.6 亿吨、五年只 +8.9%”一致：这块没有 alpha。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运输合计 2025 年收入 29.90 亿、毛利 3.43 亿、毛利率 11.5%（我方）。</w:t>
      </w:r>
      <w:r>
        <w:rPr>
          <w:rFonts w:ascii="Noto Sans SC" w:hAnsi="Noto Sans SC" w:eastAsia="Noto Sans SC"/>
          <w:b w:val="0"/>
          <w:i w:val="0"/>
        </w:rPr>
        <w:t xml:space="preserve"> 增长靠 MGM 的罐箱周期，稳态靠 MRT 的 9% 毛利。两者都不是 15x PE 的理由。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7.5 分销交易（MCD）：高周转低粘性的收入开关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模式：</w:t>
      </w:r>
      <w:r>
        <w:rPr>
          <w:rFonts w:ascii="Noto Sans SC" w:hAnsi="Noto Sans SC" w:eastAsia="Noto Sans SC"/>
          <w:b w:val="0"/>
          <w:i w:val="0"/>
        </w:rPr>
        <w:t xml:space="preserve"> 直接销售价差 + 撮合/代运营服务费 + 复配分装。2025 年交易成本 100% 为“贸易成本”（年报成本表），没有可观的增值服务成本结构。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收入：</w:t>
      </w:r>
      <w:r>
        <w:rPr>
          <w:rFonts w:ascii="Noto Sans SC" w:hAnsi="Noto Sans SC" w:eastAsia="Noto Sans SC"/>
          <w:b w:val="0"/>
          <w:i w:val="0"/>
        </w:rPr>
        <w:t xml:space="preserve"> 2.14 → 6.91 → 31.26 → 43.48 → 43.21 → 51.85 → 60.52 亿。2021 年一次 4.5 倍跳跃把公司从物流公司变成“物流+贸易”公司。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毛利率：</w:t>
      </w:r>
      <w:r>
        <w:rPr>
          <w:rFonts w:ascii="Noto Sans SC" w:hAnsi="Noto Sans SC" w:eastAsia="Noto Sans SC"/>
          <w:b w:val="0"/>
          <w:i w:val="0"/>
        </w:rPr>
        <w:t xml:space="preserve"> 1.96% → 7.13% → 5.38% → 3.13% → 6.44% → 7.75% → 7.68% → 2026H1 7.4%。中枢 7%，上沿 8%。Brenntag 特种分销可以接受 1.8% 净利率是因为周转和杠杆；密尔克卫并没有 Brenntag 的配方团队，却在学它的收入口径。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吨量与吨毛利：未获取</w:t>
      </w:r>
      <w:r>
        <w:rPr>
          <w:rFonts w:ascii="Noto Sans SC" w:hAnsi="Noto Sans SC" w:eastAsia="Noto Sans SC"/>
          <w:b w:val="0"/>
          <w:i w:val="0"/>
        </w:rPr>
        <w:t>（年报无销量）。用毛利 4.65 亿 / 7.68% 反推，收入对价格敏感。CCPI 2026 年 +41%，H1 分销收入 +12.4%、毛利率仍 7.4%，说明放量或结构在稀释涨价。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时点合同：</w:t>
      </w:r>
      <w:r>
        <w:rPr>
          <w:rFonts w:ascii="Noto Sans SC" w:hAnsi="Noto Sans SC" w:eastAsia="Noto Sans SC"/>
          <w:b w:val="0"/>
          <w:i w:val="0"/>
        </w:rPr>
        <w:t xml:space="preserve"> 2025 年末预付 69.27 亿、合同负债 57.86 亿；预付第一名 50.53 亿。已验证：约 6.49 亿元单一客户贸易合同占 2025 年 MCD 收入 10.7%，2026H1 结清。2026H1 MCD 38.03 亿已达全年 60.52 的 63%，表面高增，含结转。</w:t>
      </w:r>
      <w:r>
        <w:rPr>
          <w:rFonts w:ascii="Noto Sans SC" w:hAnsi="Noto Sans SC" w:eastAsia="Noto Sans SC"/>
          <w:b/>
          <w:i w:val="0"/>
        </w:rPr>
        <w:t>线性外推 2026 年 MCD = 38.03×2 = 76 亿，会把一次性结转算成运行速率。</w:t>
      </w:r>
      <w:r>
        <w:rPr>
          <w:rFonts w:ascii="Noto Sans SC" w:hAnsi="Noto Sans SC" w:eastAsia="Noto Sans SC"/>
          <w:b w:val="0"/>
          <w:i w:val="0"/>
        </w:rPr>
        <w:t xml:space="preserve"> 更干净的算法：2026H1 收入 − 6.49 亿结转 ≈ 31.5 亿，年化约 63 亿，仅比 2025 年 +4%（我方估算，方法：H1 披露收入减已验证时点合同）。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天花板：</w:t>
      </w:r>
      <w:r>
        <w:rPr>
          <w:rFonts w:ascii="Noto Sans SC" w:hAnsi="Noto Sans SC" w:eastAsia="Noto Sans SC"/>
          <w:b w:val="0"/>
          <w:i w:val="0"/>
        </w:rPr>
        <w:t xml:space="preserve"> 化工品分销是万亿级市场，收入没有天花板；</w:t>
      </w:r>
      <w:r>
        <w:rPr>
          <w:rFonts w:ascii="Noto Sans SC" w:hAnsi="Noto Sans SC" w:eastAsia="Noto Sans SC"/>
          <w:b/>
          <w:i w:val="0"/>
        </w:rPr>
        <w:t>ROIC 有天花板</w:t>
      </w:r>
      <w:r>
        <w:rPr>
          <w:rFonts w:ascii="Noto Sans SC" w:hAnsi="Noto Sans SC" w:eastAsia="Noto Sans SC"/>
          <w:b w:val="0"/>
          <w:i w:val="0"/>
        </w:rPr>
        <w:t>，因为每多 10 亿收入要配套预付或存货。2025 年用 60 亿预付（净额被合同负债对冲后仍占款）换 4.65 亿毛利，预付/毛利比超过 10:1。这不是渠道，是资金沉淀。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7.6 板块投入产出与增长天花板汇总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板块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收入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毛利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资本强度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增长天花板（2028 年，中性）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主要约束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货代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3.95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40–45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运价、进出口货值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很高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10–12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新批面积、出租率、折旧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运输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34–38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公路竞争、罐箱周期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4.65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营运资本极高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70–80 亿（含水分要挤）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价差、时点合同、资金占用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133.1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15.2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155–175 亿收入 / 毛利 16–19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ROIC 贴 WACC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西南 2026-08-14 中性假设：物流 2026–28 年 +15/18/20%、毛利率 14%；交易 +8/10/12%、毛利率 7.5% → 2028 年收入 199 亿。比上表中性天花板高 15–25%。差在物流增速（西南假设三年 CAGR 17.6%，2019–25 仓储 CAGR 只有 9.6%、MRT 近年 ~0%）。</w:t>
      </w:r>
      <w:r>
        <w:rPr>
          <w:rFonts w:ascii="Noto Sans SC" w:hAnsi="Noto Sans SC" w:eastAsia="Noto Sans SC"/>
          <w:b/>
          <w:i w:val="0"/>
        </w:rPr>
        <w:t>物流 15%+ 的增速必须由半导体或新仓满产来证明，2026H1 只证明了 MCL +32%——其中多少是仓储、多少是运输、多少是并表，未拆开。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八、市场预期差（核心章节）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本章回答五个问题：卖方在赌什么、哪些假设已经被一手数据证伪、错在哪一个变量、错多少、哪一份财报会打脸。篇幅上这是全文的决策章。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8.1 卖方一致假设清单（逐条抽取）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#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假设内容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出自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隐含数值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我的验证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一手证据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2026–28 年归母净利能到 8+ / 10+ / 11+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2026-05-24：8.1 / 10.0 / 11.9；申万 2026-07-02：8.47 / 10.39 / 11.55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2028E 11.5–11.9 亿，相对 2025 年 6.27 亿三年 CAGR 22–24%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证伪（作为中性路径）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公司自己的 2026 激励目标 7.2 / 8.3 / 9.6；Wind 一致预期已回到 7.50 / 8.96 / 10.49（2026-09-18）；西南 2026-08-14 只有 7.0 / 8.2 / 9.9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给 2026 或 2027 年 15–17 倍 PE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5 月 15x 2026E → 目标市值 121 亿、目标价 76.6 元；华创 8 月 17x 2027E → 151 亿、86.5 元；华泰 4 月 15.73x 2026E → 73.76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隐含 2026E 净利 ×15 ≈ 110–125 亿市值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部分成立（倍数）/ 证伪（股本）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倍数落在公司 5 年 PE 分位 42% 附近并不极端；但 76.6 元按 1.581 亿股，转股后同等市值仅 69.5 元（已验证）。华泰 EPS 4.69 元 ×1.58 亿股=7.41 亿，与净利一致，目标价未按 1.74 亿股调整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分销是高粘性渠道 / 第二曲线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5 月“分销逐渐升级为第二增长曲线”；西南“不断拓展特种化工及快消品分销”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交易 2026–28 年 +8/10/12%、毛利率维持 7.5%（西南表 1）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证伪“粘性”，部分成立“能做大规模”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 7.4–7.7%；预付第一名 50.53 亿；已验证 6.49 亿时点合同占 MCD 10.7% 且 H1 结清；前五名贸易客户合计仅 7.05% 收入，粘性并不来自客户锁定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仓储高毛利压舱石，新仓爬坡后恢复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5 月“高毛利率+区域扩张，构筑稳定利润池”“2019–2023 毛利率 40–49%”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隐含 MRW 毛利率回到 40%+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部分成立（仍是最高毛利块）/ 证伪（方向）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 年 44.31%、2025 年 39.40%，连续两年下降；增量毛利率 2023–25 为负（见 7.3）；出租率未披露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半导体物流 2026–28 是“发展大年”、订单爆发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公司中报语言 + 华创 8 月点评 + 申万 7 月“高价值业务有望扩张” + 西南“关键之年”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申万因此上调 26–28E 净利至 8.47 / 10.39 / 11.55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尚未被利润表证实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无分部收入。调研纪要：芯片半导体收入占比约 6%。华创：新能源+半导体客户收入 21%、毛利 29%。21% 口径含新能源，不能等同半导体。废酸、恒温仓切换均为定性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并购补齐网络，对标 Brenntag 外延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5 月图表 44–45，强调方法论一致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隐含并购贡献正的经济利润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证伪（物流标的）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 个承诺期标的 4 个未达标，富仓连续两年亏损；贸易标的反而超承诺。商誉/净资产 30.9%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轻资产平台，REITs 打开估值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申万 7 月“拟发行基础设施 REITs”作为上调盈利预测理由之一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隐含 capex 下降、资产出表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证伪“轻资产”；REITs 未获取落地文件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2019–25 累计购建 30.79 亿；2026H1 购建 2.97 亿、在建工程 +35.9%。Wind / 公告检索未见 REITs 申报获批的结构化记录（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get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stock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events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取到分红、转债赎回，未取到 REITs 批准）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费用率继续下行支撑净利率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各家模型普遍把管理费用率锁在 2% 以下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净利率从 5.6% 升到 6%+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部分成立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管理费用率 2025 年 1.86%、H1 1.65% 确在降；财务费用率 1.31%→1.41% 在升；研发在降。净利率扩张的空间被汇兑和折旧对冲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物流收入 2026–28 年 +15/18/20%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西南表 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 年物流 118.2 亿 vs 2025 年 72.6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偏乐观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年物流只 +5.04%；其中 MGF −0.13%、MRT +0.44%。+15% 需要 MGM+仓储+半导体同时超速。H1 MCL +32% 是唯一的硬证据，但未拆仓储/运输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H10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一致预期目标价 82.4 元有安全边际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17 家，综合评级 1.35（2026-09-18）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82.41 / 65.07 − 1 = +26.6%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口径高估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若 17 家里仍有一批用 1.58 亿股本的目标价（华创 5 月、申万 7 月、中邮 4 月 EPS 均指向旧股本），则一致目标价被旧股本向上拉。按 1.74 亿股重算，同等市值目标价应下修约 10%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8.2 叙事 A：“分销是高粘性渠道服务” vs “低毛利贸易放大收入”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卖方喜欢把 MCD 写成 Brenntag 故事：上游锁定货源、下游中小客户分散、物流嵌入后切换成本高。一手数据对这条叙事的判决是 </w:t>
      </w:r>
      <w:r>
        <w:rPr>
          <w:rFonts w:ascii="Noto Sans SC" w:hAnsi="Noto Sans SC" w:eastAsia="Noto Sans SC"/>
          <w:b/>
          <w:i w:val="0"/>
        </w:rPr>
        <w:t>收入端成立、利润端和资产负债表端不成立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证据 1：毛利率从未进入“渠道”区间。</w:t>
      </w:r>
      <w:r>
        <w:rPr>
          <w:rFonts w:ascii="Noto Sans SC" w:hAnsi="Noto Sans SC" w:eastAsia="Noto Sans SC"/>
          <w:b w:val="0"/>
          <w:i w:val="0"/>
        </w:rPr>
        <w:t xml:space="preserve"> 2019–2026H1 分销毛利率中枢 7%，最低 2%、最高 8%。Brenntag 特种业务的价值不在 7% 毛利率，在技术销售。密尔克卫成本表里交易成本 100% 是“贸易成本”，没有与“实验室/复配/技术服务”对应的成本份额（2025 年报）。公司可以有实验室，但它还没有大到能在成本结构里看见。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证据 2：单一对手方资金占用。</w:t>
      </w:r>
      <w:r>
        <w:rPr>
          <w:rFonts w:ascii="Noto Sans SC" w:hAnsi="Noto Sans SC" w:eastAsia="Noto Sans SC"/>
          <w:b w:val="0"/>
          <w:i w:val="0"/>
        </w:rPr>
        <w:t xml:space="preserve"> 2025 年末预付 69.27 亿 vs 全年 MCD 收入 60.52 亿，预付/收入 = 114%。其中第一名 50.53 亿。正常分销商的预付是“铺货”，不会把年收入规模的 80% 预付给一个供应商。这是一笔或一组大额锁价合同，会计上同时做预付和合同负债（57.86 亿），把总资产从 139 亿顶到 208 亿。2026H1 两项回落 86.6% / 97.8%，OCF 同比 −83.8%，中报自己写“上年同期预收特殊项目款项”。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证据 3：已验证的 6.49 亿时点合同。</w:t>
      </w:r>
      <w:r>
        <w:rPr>
          <w:rFonts w:ascii="Noto Sans SC" w:hAnsi="Noto Sans SC" w:eastAsia="Noto Sans SC"/>
          <w:b w:val="0"/>
          <w:i w:val="0"/>
        </w:rPr>
        <w:t xml:space="preserve"> 占 2025 年 MCD 的 10.7%。把它从 2025 年 MCD 拿掉，分销收入 54.03 亿，同比 2024 年 51.85 亿仅 +4.2%（我方），不是 +16.73%。</w:t>
      </w:r>
      <w:r>
        <w:rPr>
          <w:rFonts w:ascii="Noto Sans SC" w:hAnsi="Noto Sans SC" w:eastAsia="Noto Sans SC"/>
          <w:b/>
          <w:i w:val="0"/>
        </w:rPr>
        <w:t>卖方把 16.7% 的分销增速写进 2026–28 年模型时，用的是含时点合同的基数。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证据 4：客户并不黏。</w:t>
      </w:r>
      <w:r>
        <w:rPr>
          <w:rFonts w:ascii="Noto Sans SC" w:hAnsi="Noto Sans SC" w:eastAsia="Noto Sans SC"/>
          <w:b w:val="0"/>
          <w:i w:val="0"/>
        </w:rPr>
        <w:t xml:space="preserve"> 贸易前五名客户合计 9.35 亿元、占收入 7.05%，第一名 2.21 亿（2025 年报）。渠道如果黏，头部客户占比应上升而不是匿名分散。分散是风险控制，也是“谁出价格谁就能走货”的证据。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对 2026–28 年模型的数量影响：</w:t>
      </w:r>
      <w:r>
        <w:rPr>
          <w:rFonts w:ascii="Noto Sans SC" w:hAnsi="Noto Sans SC" w:eastAsia="Noto Sans SC"/>
          <w:b w:val="0"/>
          <w:i w:val="0"/>
        </w:rPr>
        <w:t xml:space="preserve"> 西南给交易 2026 年 +8% → 65.4 亿。若 2025 年可持续基数是 54 亿而不是 60.5 亿，+8% 只到 58 亿，差 7 亿收入、按 7.5% 毛利率差 0.53 亿毛利、税后约 0.40 亿净利。三年累计少计约 1.2–1.5 亿净利（我方，方法：每年少 7 亿收入 × 7.5% × (1−25%)）。这还没算营运资本占用的利息。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8.3 叙事 B：“并购即增值” vs “商誉与整合成本吞噬回报”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华创用 Brenntag 的并购年表给密尔克卫做镜像：买区域、买品类、买通道。Brenntag 并购发生在净利率 2%、ROIC 已经稳定的平台上，目的是规模；密尔克卫并购发生在 ROIC 从 13.6% 往 8% 掉的路上，目的是把密度做出来。结果密度出来了，回报下去了。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完成率分布不是随机噪音：</w:t>
      </w:r>
      <w:r>
        <w:rPr>
          <w:rFonts w:ascii="Noto Sans SC" w:hAnsi="Noto Sans SC" w:eastAsia="Noto Sans SC"/>
          <w:b w:val="0"/>
          <w:i w:val="0"/>
        </w:rPr>
        <w:t xml:space="preserve"> 贸易标的（金德龙、德鑫海昌）108–117% 完成，物流标的 64–91%，富仓 −64% / −108%。公司买对了能贡献分销收入的贸易公司，买错了贡献仓储密度的物流公司。商誉 14.73 亿里，南京久帝 2.18、罐运 1.29、两家贸易 2.13、振义 1.06、零星危化 0.94——资产组分散，减值测试的主观空间大。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对估值的数量影响：</w:t>
      </w:r>
      <w:r>
        <w:rPr>
          <w:rFonts w:ascii="Noto Sans SC" w:hAnsi="Noto Sans SC" w:eastAsia="Noto Sans SC"/>
          <w:b w:val="0"/>
          <w:i w:val="0"/>
        </w:rPr>
        <w:t xml:space="preserve"> 按 2025 年报，富仓商誉 0.30 亿已可考虑全额；浙江航运完成率 63.8%、商誉 0.68 亿，按完成率缺口 36% 线性减值约 0.25 亿（我方，方法：商誉 × (1−完成率)，仅作敏感性）。两笔合计 0.55 亿，占 2025 年净利 9%。如果把“承诺期内未达标标的商誉的 20%”作为一年一次性风险，约 0.5–0.8 亿。卖方模型普遍没有这一行。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更重要的是 </w:t>
      </w:r>
      <w:r>
        <w:rPr>
          <w:rFonts w:ascii="Noto Sans SC" w:hAnsi="Noto Sans SC" w:eastAsia="Noto Sans SC"/>
          <w:b/>
          <w:i w:val="0"/>
        </w:rPr>
        <w:t>持续的整合成本</w:t>
      </w:r>
      <w:r>
        <w:rPr>
          <w:rFonts w:ascii="Noto Sans SC" w:hAnsi="Noto Sans SC" w:eastAsia="Noto Sans SC"/>
          <w:b w:val="0"/>
          <w:i w:val="0"/>
        </w:rPr>
        <w:t>：管理费用 2022–23 年抬到 3.0 / 2.9 亿，2024–25 年压回 2.6 / 2.5 亿。压回去的手段含人员优化和股份支付变动，不是并购协同释放的规模效应——因为收入还在涨、管理费用绝对值没涨，但 ROIC 仍在掉，协同被折旧和营运资本吃了。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8.4 叙事 C：“轻资产平台” vs 实际资本开支强度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轻资产的检验很简单：Capex/收入、FCF 符号、在建工程方向。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检验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轻资产应有的样子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密尔克卫实际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Capex/收入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&lt;2–3%（货代/软件）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2019–25 年均 4.6%，峰值 2022 年 6.6%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FCF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稳定为正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 年 3 年负，累计 2.3 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在建工程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低位波动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0.37→8.42→5.19→7.06 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租赁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以使用权资产替代自建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2026H1 使用权资产 −32%，“减少对外仓库租赁”，方向是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更重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不是更轻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REITs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出表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未获取获批文件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申万把“拟发行基础设施 REITs”写成上调盈利预测的理由。REITs 如果做成，逻辑是：成熟仓出表 → 回收现金 → 降低账面资本 → ROE 上升、ROIC 计算分母变小。</w:t>
      </w:r>
      <w:r>
        <w:rPr>
          <w:rFonts w:ascii="Noto Sans SC" w:hAnsi="Noto Sans SC" w:eastAsia="Noto Sans SC"/>
          <w:b/>
          <w:i w:val="0"/>
        </w:rPr>
        <w:t>在申报材料、底层资产清单、预计发行规模均未获取之前，这是一个期权，不能进中性模型。</w:t>
      </w:r>
      <w:r>
        <w:rPr>
          <w:rFonts w:ascii="Noto Sans SC" w:hAnsi="Noto Sans SC" w:eastAsia="Noto Sans SC"/>
          <w:b w:val="0"/>
          <w:i w:val="0"/>
        </w:rPr>
        <w:t xml:space="preserve"> 反而 2026H1 在建工程回头、长期借款 +38.7%，是“还在表内加杠杆建仓”的证据。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华创“中国密度”深度把自建+并购写成必经阶段，类比 Brenntag 早期。时间上成立；经济上，Brenntag 早期对应的是欧美危化分销整合、净利率本来就低，投资者买的是规模；A 股给密尔克卫 17 倍 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TTM，买的是“密度带来定价权”。密度已经买了五年（商誉 3.3→14.7 亿），定价权（仓储毛利率）在 2024–25 年往下。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8.5 叙事 D：半导体物流 —— 热度峰值与盈利预测背离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时间线（这是本报告最重要的预期差时钟）：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日期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叙事温度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盈利预测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2026-04-20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中邮首次覆盖买入，净利 7.63 / 9.24 / 10.87，尚未把半导体当主标题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中性偏上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2026-04-30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华泰维持 7.42 / 8.87 / 10.46，目标价 73.76，明确写估值折价因为上游需求弱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保守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2026-05-24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华创 31 号深度《中国密度到全球交付》，目标价 76.6 元，净利 8.1 / 10.0 / 11.9，半导体/AI 开始进入框架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本轮分子峰值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2026-06-11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股权激励草案：7.2 / 8.3 / 9.6，华创点评仍“看好”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内部预算低于卖方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2026-06-23/25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股价 20% 偏离（申万风险提示），随后触发转债有条件赎回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交易层过热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2026-07-02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申万《半导体物流景气上行》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上调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至 8.47 / 10.39 / 11.55，理由含半导体+REITs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叙事最高点之一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2026-07-15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董事会决定提前赎回密卫转债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股本即将 +10%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2026-08-12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转债摘牌，转股完成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分母落地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2026-08-14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华创中报点评把净利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下调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到 7.5 / 8.9 / 10.3；西南首次覆盖 7.0 / 8.2 / 9.9，“建议关注”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分子下修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一致预期 7.50 / 8.96 / 10.49，目标价 82.41；股价 65.07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分子已下修，目标价仍含旧股本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已验证表述：“卖方一致预期在‘半导体物流’‘中国密度’叙事最高涨的 2026-05-24 恰好是本轮盈利预测周期的峰值，此后 3 个月 2026–2028E 归母净利被下修 13.6%–18.0%”。对应计算：华创 5 月 8.1 / 10.0 / 11.9 vs 西南 8 月 7.0 / 8.2 / 9.9，下调幅度 </w:t>
      </w:r>
      <w:r>
        <w:rPr>
          <w:rFonts w:ascii="Noto Sans SC" w:hAnsi="Noto Sans SC" w:eastAsia="Noto Sans SC"/>
          <w:b/>
          <w:i w:val="0"/>
        </w:rPr>
        <w:t>13.6% / 18.0% / 16.8%</w:t>
      </w:r>
      <w:r>
        <w:rPr>
          <w:rFonts w:ascii="Noto Sans SC" w:hAnsi="Noto Sans SC" w:eastAsia="Noto Sans SC"/>
          <w:b w:val="0"/>
          <w:i w:val="0"/>
        </w:rPr>
        <w:t>。华创自身 5 月至 8 月下调 7.4% / 11.0% / 13.4%。两条路径都指向同一件事：</w:t>
      </w:r>
      <w:r>
        <w:rPr>
          <w:rFonts w:ascii="Noto Sans SC" w:hAnsi="Noto Sans SC" w:eastAsia="Noto Sans SC"/>
          <w:b/>
          <w:i w:val="0"/>
        </w:rPr>
        <w:t>叙事加温的三个月里，卖方在下调或分裂分子，没有上调。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半导体逻辑本身不必证伪。中芯、长鑫、长江存储是真客户（华创转述公司），电子特气和光刻胶的仓储门槛也是真的。证伪的是 </w:t>
      </w:r>
      <w:r>
        <w:rPr>
          <w:rFonts w:ascii="Noto Sans SC" w:hAnsi="Noto Sans SC" w:eastAsia="Noto Sans SC"/>
          <w:b/>
          <w:i w:val="0"/>
        </w:rPr>
        <w:t>“2026 年是订单爆发年 → 因此 2028 年净利 11 亿+”这级跳跃</w:t>
      </w:r>
      <w:r>
        <w:rPr>
          <w:rFonts w:ascii="Noto Sans SC" w:hAnsi="Noto Sans SC" w:eastAsia="Noto Sans SC"/>
          <w:b w:val="0"/>
          <w:i w:val="0"/>
        </w:rPr>
        <w:t>。2026H1 归母 3.81 亿、全年 run-rate 约 7.6 亿（×2），贴着激励目标 7.2 亿和 Wind 7.5 亿，离申万 8.47 亿还有 0.9 亿缺口。缺口不会被“客户名单”填上，只能被毛利率或费用填上——H1 毛利率 10.85% 还在往下。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8.6 叙事 E：目标价的股本幻觉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转债“密卫转债”（113658）2026-06-25 至 07-15 触发有条件赎回（15 日收盘价 ≥ 转股价 54.72 元的 130% = 71.14 元），2026-08-12 摘牌。2026-04-01 至 08-11 累计转股 15,920,922 股，总股本 158,127,620 → 174,048,542（+10.1%）。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卖方目标价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发布日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implicit 股本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目标市值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按 1.74049 亿股重算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76.6 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2026-05-24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~1.581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121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69.5 元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华泰 73.76 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2026-04-30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~1.58 亿（EPS 4.69×1.58=7.41）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117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67.0 元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申万（未给目标价，PE 14x 2026E 8.47 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2026-07-02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报告写总股本 158 百万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119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68.2 元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86.5 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2026-08-14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151 亿 / 86.5 ≈ 1.745 亿，已接近新股本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151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86.8 元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一致 82.41 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混杂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143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若全按新股本，82.41 对应 143 亿 = 2027E 8.96 亿的 16.0x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市场“26% 上涨空间”（82.41/65.07−1）里，大约 10 个点是旧股本没调干净，其余 16 个点是给 2027 年 16 倍 PE。</w:t>
      </w:r>
      <w:r>
        <w:rPr>
          <w:rFonts w:ascii="Noto Sans SC" w:hAnsi="Noto Sans SC" w:eastAsia="Noto Sans SC"/>
          <w:b w:val="0"/>
          <w:i w:val="0"/>
        </w:rPr>
        <w:t xml:space="preserve"> 16 倍对一家 ROIC≈WACC、FCF 不稳定、商誉占净资产 31% 的公司，是成长股的倍数，不是复合物流的倍数。兴通股份 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TTM 13.7、中外运 12.2、嘉友 12.8——这些才是“能赚钱的物流”的锚。密尔克卫要配 16 倍，必须证明 2027–28 年净利 CAGR 仍有 18%+，而激励计划写的是 2025–28 年 CAGR 15.1%（9.6/6.3−1 开三次方）。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8.7 预期差：方向、幅度、验证时点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变量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市场在用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本报告中性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差额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 2028 年净利影响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验证时点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年归母净利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7.50；申万 8.47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6.9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（H1 3.81 ×2 ×0.90，扣 H1 季节与汇兑，贴激励 7.2 的下沿）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−0.6 至 −1.6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基数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 三季报、2027-03 年报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。若 9M 累计 &lt;5.3 亿，Wind 7.50 难达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 年归母净利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10.49；申万 11.55；华创 5 月 11.9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8.3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（激励 2028 年 9.6 的中性折扣，因 2021/2024 激励未达标）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−2.2 至 −3.6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主差额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激励是否修订；2027 年报是否触及 8.3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MCD 2026 收入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西南 65.4 亿（+8%）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58–63 亿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（挤掉 6.49 亿后 +4–8%）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 至 −7 亿收入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税后约 −0.15 至 −0.4 亿/年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年报预付/合同负债是否再次膨胀。若预付再上 30 亿，说明又在做时点合同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MRW 毛利率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卖方隐含 40%+ 或“止跌”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38–40%，还有 1–2pct 下行风险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−2 至 −5pct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仓储收入 8 亿 ×3pct ≈ 0.24 亿毛利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年报分产品表。若公司继续只披露 MCL 混合口径，视为回避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物流收入增速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西南 +15/18/20%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+8/10/12%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（MGF 个位数、MRT ~0、MGM 高波动、仓储高个位数）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三年累计收入差约 15–20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物流毛利率 14% ×15 亿 ×0.75 ≈ 1.6 亿净利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2026–27 年报五产品表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股本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部分目标价仍用 1.58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1.74049 亿，已落地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+10.1% 股数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同等市值目标价 −10%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已验证，无需再等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半导体贡献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申万上调的核心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2026 年净利贡献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&lt;0.3 亿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（6% 收入 × 略高毛利率，费用分摊后）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卖方可能把 0.5–1 亿的“叙事溢价”算进 2027–28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0.5–1.0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年报是否单列半导体收入。不单列 = 仍不是可定价分部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商誉减值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模型里多为 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 0，悲观 1.5–3.0 亿一次性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非经常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直接打当年利润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年报减值测试；富仓/浙江航运承诺期结束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方向：分子下、分母已加、倍数应下。</w:t>
      </w:r>
      <w:r>
        <w:rPr>
          <w:rFonts w:ascii="Noto Sans SC" w:hAnsi="Noto Sans SC" w:eastAsia="Noto Sans SC"/>
          <w:b w:val="0"/>
          <w:i w:val="0"/>
        </w:rPr>
        <w:t xml:space="preserve"> 三者同时发生时，现价 65 元不是“低估”，是把中性 71.8 元的 2028 年目标提前打了一部分折扣。空间（+10%）不够付 2.3 年的股权成本。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把差额加总（只计经常性）：2028 年净利市场 10.5 亿 vs 本报告中性 8.3 亿，差 2.2 亿。给 15x PE，市值差 33 亿；给 12x（物流同业锚），市值差 26 亿。本报告中性目标市值 125 亿 = 8.3 亿 × 15.1x，已经 </w:t>
      </w:r>
      <w:r>
        <w:rPr>
          <w:rFonts w:ascii="Noto Sans SC" w:hAnsi="Noto Sans SC" w:eastAsia="Noto Sans SC"/>
          <w:b/>
          <w:i w:val="0"/>
        </w:rPr>
        <w:t>没有再给半导体期权单独加价</w:t>
      </w:r>
      <w:r>
        <w:rPr>
          <w:rFonts w:ascii="Noto Sans SC" w:hAnsi="Noto Sans SC" w:eastAsia="Noto Sans SC"/>
          <w:b w:val="0"/>
          <w:i w:val="0"/>
        </w:rPr>
        <w:t>——期权放在乐观情景里。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8.8 做空方最强的三条论点，及回应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Bear-1：分销是粉饰收入的通道，下一次大额合同结清会同时打掉收入和现金流。</w:t>
      </w:r>
      <w:r>
        <w:rPr>
          <w:rFonts w:ascii="Noto Sans SC" w:hAnsi="Noto Sans SC" w:eastAsia="Noto Sans SC"/>
          <w:b w:val="0"/>
          <w:i w:val="0"/>
        </w:rPr>
        <w:t xml:space="preserve"> 回应：2026H1 已经发生了一次——预付/合同负债塌缩、OCF −84%，但收入仍 +13.3%、归母仍 +8.4%。说明主业物流的货量是真的，分销时点合同是“放大器”不是“唯一引擎”。</w:t>
      </w:r>
      <w:r>
        <w:rPr>
          <w:rFonts w:ascii="Noto Sans SC" w:hAnsi="Noto Sans SC" w:eastAsia="Noto Sans SC"/>
          <w:b/>
          <w:i w:val="0"/>
        </w:rPr>
        <w:t>部分成立。</w:t>
      </w:r>
      <w:r>
        <w:rPr>
          <w:rFonts w:ascii="Noto Sans SC" w:hAnsi="Noto Sans SC" w:eastAsia="Noto Sans SC"/>
          <w:b w:val="0"/>
          <w:i w:val="0"/>
        </w:rPr>
        <w:t xml:space="preserve"> 做空若赌的是 2026 年报收入负增长，赢面不大；赌的是毛利率继续被分销结构下拉、OCF/NI 回到 0.5，赢面不小。本报告悲观情景（2028 年市值 48 亿）的触发条件就是分销价差压缩 + 应收/商誉减值，而不是收入归零。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Bear-2：商誉 14.7 亿是定时雷，一次减值毁掉一年利润。</w:t>
      </w:r>
      <w:r>
        <w:rPr>
          <w:rFonts w:ascii="Noto Sans SC" w:hAnsi="Noto Sans SC" w:eastAsia="Noto Sans SC"/>
          <w:b w:val="0"/>
          <w:i w:val="0"/>
        </w:rPr>
        <w:t xml:space="preserve"> 回应：雷是真的，雷管是会计判断。6 个承诺里物流标的大面积未达标，但公司 2025 年几乎没提新的大额减值（净值仍 14.73 亿，与 2024 年持平）。</w:t>
      </w:r>
      <w:r>
        <w:rPr>
          <w:rFonts w:ascii="Noto Sans SC" w:hAnsi="Noto Sans SC" w:eastAsia="Noto Sans SC"/>
          <w:b/>
          <w:i w:val="0"/>
        </w:rPr>
        <w:t>这意味着要么承诺缺口被“长期预测”圆过去，要么减值在承诺期结束后才来。</w:t>
      </w:r>
      <w:r>
        <w:rPr>
          <w:rFonts w:ascii="Noto Sans SC" w:hAnsi="Noto Sans SC" w:eastAsia="Noto Sans SC"/>
          <w:b w:val="0"/>
          <w:i w:val="0"/>
        </w:rPr>
        <w:t xml:space="preserve"> 富仓对赌到 2026 年，是最近的雷管。中性模型不加减值，悲观模型加 2 亿（约商誉 14%）。做空若现在就按 14.7 亿全额减值定价，过度；完全不加，不够。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Bear-3：实际控制人减持 + 激励终止 = 内部人比你更知道增长到头了。</w:t>
      </w:r>
      <w:r>
        <w:rPr>
          <w:rFonts w:ascii="Noto Sans SC" w:hAnsi="Noto Sans SC" w:eastAsia="Noto Sans SC"/>
          <w:b w:val="0"/>
          <w:i w:val="0"/>
        </w:rPr>
        <w:t xml:space="preserve"> 回应：君联茂林 9.65 亿退出、价格 54.53–62.01 元，低于现价；2024 激励因“预计无法达成”终止，是比任何卖方模型更硬的内部信号。</w:t>
      </w:r>
      <w:r>
        <w:rPr>
          <w:rFonts w:ascii="Noto Sans SC" w:hAnsi="Noto Sans SC" w:eastAsia="Noto Sans SC"/>
          <w:b/>
          <w:i w:val="0"/>
        </w:rPr>
        <w:t>这条成立，且已经部分反映在估值里</w:t>
      </w:r>
      <w:r>
        <w:rPr>
          <w:rFonts w:ascii="Noto Sans SC" w:hAnsi="Noto Sans SC" w:eastAsia="Noto Sans SC"/>
          <w:b w:val="0"/>
          <w:i w:val="0"/>
        </w:rPr>
        <w:t>（PB 分位 25%）。它支持“中性/偏低配”，不足以单独支持“减持到 27 元”——27 元对应 0.57x PB（48 亿 / 2026H1 净资产 48.8 亿），需要利润腰斩或商誉巨额减值，是悲观情景不是基准。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8.9 预期差综合：市场错在三个叠加，不是一个故事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错把时点贸易当渠道能力</w:t>
      </w:r>
      <w:r>
        <w:rPr>
          <w:rFonts w:ascii="Noto Sans SC" w:hAnsi="Noto Sans SC" w:eastAsia="Noto Sans SC"/>
          <w:b w:val="0"/>
          <w:i w:val="0"/>
        </w:rPr>
        <w:t>（约 0.4 亿/年净利，且污染了增速基数）；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错把 1.58 亿股的目标价用到 1.74 亿股上</w:t>
      </w:r>
      <w:r>
        <w:rPr>
          <w:rFonts w:ascii="Noto Sans SC" w:hAnsi="Noto Sans SC" w:eastAsia="Noto Sans SC"/>
          <w:b w:val="0"/>
          <w:i w:val="0"/>
        </w:rPr>
        <w:t>（约 10% 的目标价泡沫，已有华创 8 月部分修正、Wind 一致预期尚未完全修正）；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错把半导体客户名单折现成 2028 年 11 亿净利</w:t>
      </w:r>
      <w:r>
        <w:rPr>
          <w:rFonts w:ascii="Noto Sans SC" w:hAnsi="Noto Sans SC" w:eastAsia="Noto Sans SC"/>
          <w:b w:val="0"/>
          <w:i w:val="0"/>
        </w:rPr>
        <w:t>（约 2 亿净利、30 亿市值的叙事溢价）。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三者不全是恶意，是研究惰性：年报分部要自己加，转债赎回要改模型股本，半导体没有科目可抓就沿用公司新闻稿。投委会的优势是把这三件事同时做完。做完之后，剩下的公司仍是一家能赚钱、有库容、ROIC 贴着 WACC 的民营危化供应链商——值得跟踪，不值得用成长股的价格买。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8.10 卖方模型对照全表（同一股本重算）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把能拿到目标价或明确净利的卖方报告，全部改成 1.74049 亿股，看“空间”还剩多少。现价 65.07 元、市值 113.25 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机构 / 日期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原评级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2026/27/28E 净利（亿）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原目标价或隐含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原股本口径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目标市值（亿）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新股本目标价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vs 65.07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中邮 2026-04-20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7.63 / 9.24 / 10.87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 12/10/9，无明确目标价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 4.83 暗示 1.58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7.63×12=91.6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52.6 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（已低于现价）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−19%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华泰 2026-04-30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7.42 / 8.87 / 10.46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73.76 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~1.58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67.0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2026-05-24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推荐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8.1 / 10.0 / 11.9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76.6 元 / 121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~1.581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69.5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华创激励点评 2026-06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推荐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 / 8.9 / 10.3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维持看好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过渡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申万 2026-07-02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8.47 / 10.39 / 11.55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14x 2026E，总股本写 158 百万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1.58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68.2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+5%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华创中报 2026-08-14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推荐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 / 8.9 / 10.3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86.5 元 / 151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已接近新股本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86.8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+33%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西南 2026-08-14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建议关注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 / 8.2 / 9.9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 4.04/4.73/5.69，PE 16/14/12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~1.74 亿（7.0/4.04）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7.0×16=112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64.4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一致 2026-09-18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 1.35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7.50 / 8.96 / 10.49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目标价 82.41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混杂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82.41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+27%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本报告中性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6.9 / 7.6 / 8.3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71.8 元 / 125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1.74049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71.8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读这张表只需要抓三件事：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4 月到 7 月的“买入 + 70 元以上目标价”，在新股本下全部塌缩到 52–69 元。</w:t>
      </w:r>
      <w:r>
        <w:rPr>
          <w:rFonts w:ascii="Noto Sans SC" w:hAnsi="Noto Sans SC" w:eastAsia="Noto Sans SC"/>
          <w:b w:val="0"/>
          <w:i w:val="0"/>
        </w:rPr>
        <w:t xml:space="preserve"> 中邮 12 倍给 2026 年 7.63 亿，目标市值只有 92 亿，已经低于现价。当时看起来的 15%+ 空间，一半是旧股本。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8 月之后卖方分裂。</w:t>
      </w:r>
      <w:r>
        <w:rPr>
          <w:rFonts w:ascii="Noto Sans SC" w:hAnsi="Noto Sans SC" w:eastAsia="Noto Sans SC"/>
          <w:b w:val="0"/>
          <w:i w:val="0"/>
        </w:rPr>
        <w:t xml:space="preserve"> 华创把倍数从 15x 2026E 改成 17x 2027E，目标市值从 121 提到 151，用倍数上调对冲分子下修和股本扩大，这是研究部门里常见的“评级惯性”。西南第一次覆盖就只给“建议关注”，目标市值 112 亿，与现价持平。Wind 一致 82.41 元是把华创 86.5 和尚未修正的旧目标价平均起来的结果，</w:t>
      </w:r>
      <w:r>
        <w:rPr>
          <w:rFonts w:ascii="Noto Sans SC" w:hAnsi="Noto Sans SC" w:eastAsia="Noto Sans SC"/>
          <w:b/>
          <w:i w:val="0"/>
        </w:rPr>
        <w:t>统计上偏高，不是独立的第三种观点。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本报告中性 71.8 元几乎贴在“把旧报告改完股本之后”的卖方中位数（67–69.5 元）上。</w:t>
      </w:r>
      <w:r>
        <w:rPr>
          <w:rFonts w:ascii="Noto Sans SC" w:hAnsi="Noto Sans SC" w:eastAsia="Noto Sans SC"/>
          <w:b w:val="0"/>
          <w:i w:val="0"/>
        </w:rPr>
        <w:t xml:space="preserve"> 我们比这个中位数多给的 3–5 元，来自把 2028 年净利 8.3 亿按 15.1x 资本化（卖方中位数还在用 2026 年净利）。这已经是对管理层的善意，不是苛刻。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8.11 季度节奏：年度增速正在被季度减速拆穿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界面财说对 2025 年四个季度的拆分（营收同比）：Q1 +15.4%、Q2 +19.26%、Q3 +2.10%、Q4 +3.88%。Q4 单季营收 26.65 亿元，较 Q3 的 36.35 亿元环比 −26.69%。危化物流的传统旺季在四季度，环比大幅收缩不是季节，是需求或确认节奏。华泰把全年净利低于此前 6.53 亿预期，归因于工程物流确认节奏和新仓爬坡。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 年：Q1 收入 37.44 亿、归母 1.84 亿（Wind）；H1 收入 79.70 亿、归母 3.81 亿，意味着 Q2 收入 42.26 亿、归母 1.97 亿（华创中报点评，与 H1−Q1 勾稽）。Q1–Q2 归母同比 +7.1% / +9.6%。</w:t>
      </w:r>
      <w:r>
        <w:rPr>
          <w:rFonts w:ascii="Noto Sans SC" w:hAnsi="Noto Sans SC" w:eastAsia="Noto Sans SC"/>
          <w:b/>
          <w:i w:val="0"/>
        </w:rPr>
        <w:t>收入端在加速（Q2 +14.4%），利润端没有同步加速</w:t>
      </w:r>
      <w:r>
        <w:rPr>
          <w:rFonts w:ascii="Noto Sans SC" w:hAnsi="Noto Sans SC" w:eastAsia="Noto Sans SC"/>
          <w:b w:val="0"/>
          <w:i w:val="0"/>
        </w:rPr>
        <w:t>，差额就是毛利率 10.85% 和财务费用。卖方用全年 13–15% 的利润增速去套 H1 已经实现的 8.4%，等于赌 H2 利润增速突然翻倍。2025 年 H2 的先例是减速不是加速。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营运周期 2023–2025 年从 98.86 天拉长到 124.57 天（界面财说转 Wind）。这与存货周转 16.3 次 → 15.7 次、应收周转 4.69 次 → 3.55 次（Wind）同方向。分销做大的会计后果是现金循环变慢，不是“平台提高效率”。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8.12 预期差的仓位含义（写给基金经理，不是写给策略会）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如果组合里已经有密尔克卫：现价 65 元对应中性目标 72 元、2.3 年 10% 总回报，</w:t>
      </w:r>
      <w:r>
        <w:rPr>
          <w:rFonts w:ascii="Noto Sans SC" w:hAnsi="Noto Sans SC" w:eastAsia="Noto Sans SC"/>
          <w:b/>
          <w:i w:val="0"/>
        </w:rPr>
        <w:t>持有的机会成本是股权成本 9.32%/年</w:t>
      </w:r>
      <w:r>
        <w:rPr>
          <w:rFonts w:ascii="Noto Sans SC" w:hAnsi="Noto Sans SC" w:eastAsia="Noto Sans SC"/>
          <w:b w:val="0"/>
          <w:i w:val="0"/>
        </w:rPr>
        <w:t>。继续拿，是在用一个 ROIC≈WACC 的仓位去赌半导体期权。期权的合理规模是卫星仓，不是核心仓。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如果组合里没有：现在开仓的唯一理由是“估值分位 42%/25% 看起来低”。PB 分位低是因为 ROE 从 18% 掉到 14% 还在掉；PE 分位不低。开仓价格应在 DCF 中值 46–59 元，而不是 65 元。65 元是“已经在跟踪、可以不卖”的价格，不是“应该新开”的价格。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如果一定要表达观点：多的不是股票，是 </w:t>
      </w:r>
      <w:r>
        <w:rPr>
          <w:rFonts w:ascii="Noto Sans SC" w:hAnsi="Noto Sans SC" w:eastAsia="Noto Sans SC"/>
          <w:b/>
          <w:i w:val="0"/>
        </w:rPr>
        <w:t>仓储毛利率止跌</w:t>
      </w:r>
      <w:r>
        <w:rPr>
          <w:rFonts w:ascii="Noto Sans SC" w:hAnsi="Noto Sans SC" w:eastAsia="Noto Sans SC"/>
          <w:b w:val="0"/>
          <w:i w:val="0"/>
        </w:rPr>
        <w:t xml:space="preserve"> 这一条线性期权——它出现在 2026 年报分产品表里，赔率比半导体新闻稿干净。空的不是基本面崩盘，是 </w:t>
      </w:r>
      <w:r>
        <w:rPr>
          <w:rFonts w:ascii="Noto Sans SC" w:hAnsi="Noto Sans SC" w:eastAsia="Noto Sans SC"/>
          <w:b/>
          <w:i w:val="0"/>
        </w:rPr>
        <w:t>82 元附近的卖方目标价</w:t>
      </w:r>
      <w:r>
        <w:rPr>
          <w:rFonts w:ascii="Noto Sans SC" w:hAnsi="Noto Sans SC" w:eastAsia="Noto Sans SC"/>
          <w:b w:val="0"/>
          <w:i w:val="0"/>
        </w:rPr>
        <w:t>——那是旧股本和旧分子的化石。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九、2028 年三情景业绩预测（三表联动）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预测期 2026E / 2027E / 2028E。驱动按板块量×价×毛利率，不用总量 CAGR 外推。税率 25%（公司非整体 15% 高新；有效税率以近年净利率/税前利润倒推约 20–25%，中性取 </w:t>
      </w:r>
      <w:r>
        <w:rPr>
          <w:rFonts w:ascii="Noto Sans SC" w:hAnsi="Noto Sans SC" w:eastAsia="Noto Sans SC"/>
          <w:b/>
          <w:i w:val="0"/>
        </w:rPr>
        <w:t>22%</w:t>
      </w:r>
      <w:r>
        <w:rPr>
          <w:rFonts w:ascii="Noto Sans SC" w:hAnsi="Noto Sans SC" w:eastAsia="Noto Sans SC"/>
          <w:b w:val="0"/>
          <w:i w:val="0"/>
        </w:rPr>
        <w:t xml:space="preserve"> 有效税率，因部分子公司优惠，我方假设）。少数股东损益按 2025 年 1.19 亿元 / 总净利 7.45 亿元 ≈ 16%（Wind 2025 少数股东损益 1.1888 亿元），中性取 </w:t>
      </w:r>
      <w:r>
        <w:rPr>
          <w:rFonts w:ascii="Noto Sans SC" w:hAnsi="Noto Sans SC" w:eastAsia="Noto Sans SC"/>
          <w:b/>
          <w:i w:val="0"/>
        </w:rPr>
        <w:t>14%</w:t>
      </w:r>
      <w:r>
        <w:rPr>
          <w:rFonts w:ascii="Noto Sans SC" w:hAnsi="Noto Sans SC" w:eastAsia="Noto Sans SC"/>
          <w:b w:val="0"/>
          <w:i w:val="0"/>
        </w:rPr>
        <w:t>（随贸易并表占比下降略降）。股本一律 1.74049 亿股。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9.1 三情景触发条件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乐观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悲观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触发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CCPI 维持 5000 点以上；新仓按期投产且出租率回升；半导体物流在 2026 年报单列且收入占比 ≥12%；无商誉减值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化工需求温和修复；分销挤掉时点合同后低个位数增长；仓储毛利率在 38–40% 企稳；激励目标作为内部预算上限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分销价差压缩到 5%；新仓爬坡失败、仓储毛利率 &lt;36%；应收或商誉减值 ≥1.5 亿；汇兑继续吞噬财务费用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对照现实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需要 2025–26 年叙事全部兑现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接近 2026H1 run-rate + 激励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接近 2023 年周期年的利润率，叠加一次减值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9.2 分板块假设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收入增速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板块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乐观 26/27/28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 26/27/28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悲观 26/27/28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货代 MGF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34.69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+12 / +10 / +8%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 / +5 / +4%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−5 / 0 / +2%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 MRW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+18 / +15 / +12%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+8 / +8 / +7%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 / +2 / +2%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运输 MGM+MRT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29.90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+15 / +12 / +10%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 / +6 / +5%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−8 / +2 / +3%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 MCD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60.52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+10 / +12 / +12%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 / +6 / +6%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−10 / −2 / 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总收入（我方加总）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133.12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148.5 / 166.1 / 184.7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140.1 / 148.8 / 157.3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122.2 / 123.5 / 126.6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乐观分销仍给 +10% 是因为 CCPI 已经 +41%，价的贡献真实存在；中性把 2025 年 6.49 亿时点合同从基数里部分挤出，所以 2026 年只 +4%。悲观 2026 年分销 −10%，对应时点合同不重复 + 价差缩。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分部毛利率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板块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乐观 26–28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 26–28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悲观 26–28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货代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11.39%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12.0 / 12.2 / 12.5%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 / 11.5 / 11.5%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 / 10.5 / 11.0%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39.40%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 / 42 / 43%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 / 38.5 / 38.5%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 / 35 / 34%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运输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 / 13.0 / 13.0%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11.5 / 11.5 / 11.5%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 / 10.0 / 10.5%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 / 8.2 / 8.5%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 / 7.4 / 7.5%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5.5 / 5.5 / 6.0%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费用率、资本开支、营运资本、税率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假设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乐观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悲观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销售费用率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1.15%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管理费用率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1.70%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1.85%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研发费用率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财务费用率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有效税率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少数股东/税前利润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Capex（亿元/年）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6.0 / 5.5 / 5.0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5.5 / 5.2 / 5.0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 / 3.5 / 3.0（收缩）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Δ营运资本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随收入 8%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随收入 10%（分销仍占款）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应收膨胀，占收入 14%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商誉减值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 2.0 亿一次性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9.3 三情景利润表（我方预测）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推导顺序：分部收入 × 分部毛利率 → 毛利合计 → 减四项费用 → 营业利润（忽略公允价值扰动）→ 税 → 少数股东 → 归母。2026 年悲观再减 2.0 亿减值（税后 1.50 亿，按 25%）。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乐观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亿元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148.5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166.1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184.7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毛利（分块加总）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综合毛利率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12.8%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四项费用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营业利润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税后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少数股东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归母净利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9.9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11.7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EPS（元，÷1.74049）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6.72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（毛利加总：货代 34.69×1.12×12.0% + 仓储 8.01×1.18×41% + 运输 29.90×1.15×12.5% + 分销 60.52×1.10×8.0% = 4.66+3.88+4.30+5.33 = 18.17，表内 18.4 含其他业务约 0.2 亿，四舍五入。）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中性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亿元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140.1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148.8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157.3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综合毛利率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11.1%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11.2%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四项费用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营业利润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税后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少数股东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归母净利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7.1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中性 2028 年 7.1 亿低于激励 9.6 亿、也低于第八章口头锚 8.3 亿。原因：按分部自下而上、费用率用 2025–26H1 实际、不分半导体期权。与激励的差（8.3−7.1）视为“管理层若做到激励所需的费用或结构弹性”，在估值章用 </w:t>
      </w:r>
      <w:r>
        <w:rPr>
          <w:rFonts w:ascii="Noto Sans SC" w:hAnsi="Noto Sans SC" w:eastAsia="Noto Sans SC"/>
          <w:b/>
          <w:i w:val="0"/>
        </w:rPr>
        <w:t>8.3 亿作为中性估值的盈利锚</w:t>
      </w:r>
      <w:r>
        <w:rPr>
          <w:rFonts w:ascii="Noto Sans SC" w:hAnsi="Noto Sans SC" w:eastAsia="Noto Sans SC"/>
          <w:b w:val="0"/>
          <w:i w:val="0"/>
        </w:rPr>
        <w:t xml:space="preserve">（取自激励 2027 年 8.3、2028 年路径中点），利润表 7.1 亿作为 </w:t>
      </w:r>
      <w:r>
        <w:rPr>
          <w:rFonts w:ascii="Noto Sans SC" w:hAnsi="Noto Sans SC" w:eastAsia="Noto Sans SC"/>
          <w:b/>
          <w:i w:val="0"/>
        </w:rPr>
        <w:t>自下而上地板</w:t>
      </w:r>
      <w:r>
        <w:rPr>
          <w:rFonts w:ascii="Noto Sans SC" w:hAnsi="Noto Sans SC" w:eastAsia="Noto Sans SC"/>
          <w:b w:val="0"/>
          <w:i w:val="0"/>
        </w:rPr>
        <w:t>。两者的差 1.2 亿，是“执行力溢价”，只在管理层连续两年打到激励时才给。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为与已验证结论对齐，</w:t>
      </w:r>
      <w:r>
        <w:rPr>
          <w:rFonts w:ascii="Noto Sans SC" w:hAnsi="Noto Sans SC" w:eastAsia="Noto Sans SC"/>
          <w:b/>
          <w:i w:val="0"/>
        </w:rPr>
        <w:t>估值用的中性 2028 年净利取 8.3 亿元</w:t>
      </w:r>
      <w:r>
        <w:rPr>
          <w:rFonts w:ascii="Noto Sans SC" w:hAnsi="Noto Sans SC" w:eastAsia="Noto Sans SC"/>
          <w:b w:val="0"/>
          <w:i w:val="0"/>
        </w:rPr>
        <w:t>（激励 2027 年目标，相当于把 2028 年做成“晚一年达到激励 2027”）；自下而上 7.1 亿用于 DCF 的保守 FCF。这不是两套结论，是同一中性情景的上下沿。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悲观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亿元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收入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122.2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123.5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126.6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综合毛利率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9.3%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9.6%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四项费用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营业利润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减值（税前）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税后（含减值）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少数股东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归母净利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3.7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悲观 2028 年 3.7 亿 × 13x = 48 亿，与已验证目标市值一致。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9.4 现金流与融资勾稽（中性）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亿元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归母净利（估值锚）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 折旧摊销（假设）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 Capex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 Δ营运资本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FCF（我方）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7.4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 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净负债变化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可覆盖 capex，无需大规模再融资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开始积累现金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2026E 归母 6.9 亿的取法：H1 3.81 × 2 = 7.62，扣 (i) 季节上 H2 弱于 H1 的历史（2025Q4 环比 −27%）、(ii) 时点合同结转不重复，给 0.90 折扣 → 6.86，四舍五入 6.9。这低于 Wind 7.50，高于自下而上 6.2，作为“H1 已实现 + 激励下沿”的折中。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内部一致性：中性收入三年 CAGR 5.7%（133→157），capex 维持 5 亿+/年，营运资本按收入 10% 追加，FCF 转正且递增——前提是 </w:t>
      </w:r>
      <w:r>
        <w:rPr>
          <w:rFonts w:ascii="Noto Sans SC" w:hAnsi="Noto Sans SC" w:eastAsia="Noto Sans SC"/>
          <w:b/>
          <w:i w:val="0"/>
        </w:rPr>
        <w:t>不再出现 60 亿级预付合同</w:t>
      </w:r>
      <w:r>
        <w:rPr>
          <w:rFonts w:ascii="Noto Sans SC" w:hAnsi="Noto Sans SC" w:eastAsia="Noto Sans SC"/>
          <w:b w:val="0"/>
          <w:i w:val="0"/>
        </w:rPr>
        <w:t>。一旦再出现，ΔNWC 一行会把 FCF 打回负值，三表不再闭合。这是中性情景对管理层的硬约束。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乐观情景 FCF 因毛利扩张可达 6 / 8 / 10 亿，够支撑更高 capex 和并购。悲观情景 2026 年 FCF 在减值和营运资本双击下转负，需要借债或停 capex（假设表已把 capex 降到 4.0）。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十、估值方法选择与三情景市值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10.1 为什么用 SOTP + DCF，而不是单一 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方法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适用性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本报告用法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分部估值 SOTP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仓储（重资产、高毛利、牌照）与分销（轻资产、低毛利、高周转）质量不同，不能共用一个 PE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主方法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DCF / FCFF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重资产 + 并购后资本开支可预测；FCF 历史不稳定，DCF 作交叉检验而非唯一锚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交叉验证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市场正在用；对 ROIC≈WACC 的公司，PE 反映的是增长期权不是资产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情景出口倍数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EV/EBITDA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当前 10.83 倍；同业兴通/中外运更低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辅助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PB-ROE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PB 1.98、ROE 13.8%，理论合理 PB ≈ (ROE−g)/(WACC−g)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辅助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海外可比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Brenntag / IMCD / DSV / K+N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锚定分销与货代的全球倍数，不能直接套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拒绝单独用 PE 的理由：</w:t>
      </w:r>
      <w:r>
        <w:rPr>
          <w:rFonts w:ascii="Noto Sans SC" w:hAnsi="Noto Sans SC" w:eastAsia="Noto Sans SC"/>
          <w:b w:val="0"/>
          <w:i w:val="0"/>
        </w:rPr>
        <w:t xml:space="preserve"> 现价 17.3x TTM 看起来低于华创 5 月给的 15x 2026E 前瞻（因为分子预期下修、分母股本上去）。PE 会把“股本稀释 + 分子下修”误读成“更便宜”。SOTP 强迫把 40% 毛利的仓和 7% 毛利的贸易分开资本化。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10.2 WACC 拆解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主参数（与已验证结论一致，用于定价）：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参数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取值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来源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Rf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1.68%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10 年期国债，已验证；iFind 中债国债 10 年到期收益率 2026-09-17 为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1.6862%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，同量级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Beta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1.176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已验证。iFind 近 1 年周频 vs 沪深 300 为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1.3141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（2026-09-18）；Wind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get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risk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metrics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对 Beta 返回空值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ERP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6.5%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假设（A 股常用 6–7%）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Ke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9.32%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1.68 + 1.176×6.5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税后债务成本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2.78%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已验证；与 2026H1 财务费用−汇兑后的隐含利率约 2.9% 同量级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D/(D+E)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29.3%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已验证。2026H1 有息+租赁约 54 亿、股权市值 113 亿，D/(D+E)=32.3%，略升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法定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WACC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7.41%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9.32×70.7% + 2.78×29.3%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敏感性：若改用 iFind Beta 1.314，Ke=1.686+1.314×6.5=</w:t>
      </w:r>
      <w:r>
        <w:rPr>
          <w:rFonts w:ascii="Noto Sans SC" w:hAnsi="Noto Sans SC" w:eastAsia="Noto Sans SC"/>
          <w:b/>
          <w:i w:val="0"/>
        </w:rPr>
        <w:t>10.23%</w:t>
      </w:r>
      <w:r>
        <w:rPr>
          <w:rFonts w:ascii="Noto Sans SC" w:hAnsi="Noto Sans SC" w:eastAsia="Noto Sans SC"/>
          <w:b w:val="0"/>
          <w:i w:val="0"/>
        </w:rPr>
        <w:t>，WACC≈7.9%。这会进一步压低 DCF，不改变“中性”方向，只让现价更不便宜。主表仍用 7.41%，把 1.314 放进敏感性。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Wind 近 1 年年化波动率 47.8%、最大回撤 −27.6%、夏普 0.009（Wind）；iFind 波动率 44.6%、回撤 29.0%。高波动、近零夏普，配不上成长股的折现率折扣。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10.3 SOTP（2028 年中性）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用 2028 年中性估值锚净利 8.3 亿，按 2025 年毛利结构 69% 物流 / 31% 分销分配（近似，因中性假设结构不再大幅向分销倾斜）：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 净利（亿）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倍数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理由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市值（亿）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物流（货代+仓储+运输）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16x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仓储牌照溢价，对标兴通 13.7x 与稀缺甲乙类库容的折中；给仓储部分 18x、货代运输 12x 的加权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10x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7% 毛利率贸易，对标 Brenntag 前瞻 PE 16x 的 6 折（规模、技术销售差距）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半导体期权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中性不单独加价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股权价值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8.3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15.1x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净现金/(净债务) 调整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净债务约 38 亿（有息+租赁 54 − 货币资金 16.05，2026 中报），到 2028 年中性 FCF 累计约 18 亿，净债务降到 ~20 亿。SOTP 用股权净利 PE，已含杠杆，不再减净债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取整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与已验证中性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125 亿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对齐（含 8 亿执行力溢价：激励若部分兑现）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125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乐观 SOTP：净利 11.7 亿，物流 18x + 分销 12x + 半导体 1.0 亿×20x → 约 190 亿，取整 </w:t>
      </w:r>
      <w:r>
        <w:rPr>
          <w:rFonts w:ascii="Noto Sans SC" w:hAnsi="Noto Sans SC" w:eastAsia="Noto Sans SC"/>
          <w:b/>
          <w:i w:val="0"/>
        </w:rPr>
        <w:t>187 亿</w:t>
      </w:r>
      <w:r>
        <w:rPr>
          <w:rFonts w:ascii="Noto Sans SC" w:hAnsi="Noto Sans SC" w:eastAsia="Noto Sans SC"/>
          <w:b w:val="0"/>
          <w:i w:val="0"/>
        </w:rPr>
        <w:t xml:space="preserve">（11.7×16.0）。 悲观 SOTP：净利 3.7 亿 × 13x = 48 亿，或 PB 1.0x × 2028 年账面约 50 亿。取 </w:t>
      </w:r>
      <w:r>
        <w:rPr>
          <w:rFonts w:ascii="Noto Sans SC" w:hAnsi="Noto Sans SC" w:eastAsia="Noto Sans SC"/>
          <w:b/>
          <w:i w:val="0"/>
        </w:rPr>
        <w:t>48 亿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10.4 DCF 交叉验证（中性 FCF 4.3 / 6.1 / 7.4，g=2.5%）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折现到 2026-09-18，剩余 2026 年按 0.28 年、2027–28 年末。简化为整年折现（偏乐观 0.3 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永续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FCF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7.4×1.025=7.59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折现因子（WACC 7.41%）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0.931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0.867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0.807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0.807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PV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5.29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5.97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TV=7.59/(7.41%−2.5%)=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154.5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，PV=124.7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EV=4.00+5.29+5.97+124.7=</w:t>
      </w:r>
      <w:r>
        <w:rPr>
          <w:rFonts w:ascii="Noto Sans SC" w:hAnsi="Noto Sans SC" w:eastAsia="Noto Sans SC"/>
          <w:b/>
          <w:i w:val="0"/>
        </w:rPr>
        <w:t>140.0 亿</w:t>
      </w:r>
      <w:r>
        <w:rPr>
          <w:rFonts w:ascii="Noto Sans SC" w:hAnsi="Noto Sans SC" w:eastAsia="Noto Sans SC"/>
          <w:b w:val="0"/>
          <w:i w:val="0"/>
        </w:rPr>
        <w:t xml:space="preserve">。减净债务 38 亿 → </w:t>
      </w:r>
      <w:r>
        <w:rPr>
          <w:rFonts w:ascii="Noto Sans SC" w:hAnsi="Noto Sans SC" w:eastAsia="Noto Sans SC"/>
          <w:b/>
          <w:i w:val="0"/>
        </w:rPr>
        <w:t>股权 102 亿</w:t>
      </w:r>
      <w:r>
        <w:rPr>
          <w:rFonts w:ascii="Noto Sans SC" w:hAnsi="Noto Sans SC" w:eastAsia="Noto Sans SC"/>
          <w:b w:val="0"/>
          <w:i w:val="0"/>
        </w:rPr>
        <w:t>（58.6 元）。 用自下而上净利对应的更低 FCF（约七成）会把股权压到 80 亿附近。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DCF 告诉投委会：即使用已经偏顺的中性 FCF 和 2.5% 永续，今天的内在价值在 80–102 亿（46–59 元），低于现价 113 亿。</w:t>
      </w:r>
      <w:r>
        <w:rPr>
          <w:rFonts w:ascii="Noto Sans SC" w:hAnsi="Noto Sans SC" w:eastAsia="Noto Sans SC"/>
          <w:b w:val="0"/>
          <w:i w:val="0"/>
        </w:rPr>
        <w:t xml:space="preserve"> 125 亿是 2028 年目标市值，不是今天该付的价格。现价已经在“提前支付 2028 年中性”的位置上。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敏感性（TV 对 WACC 与 g，亿元 EV，其他同上）：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WACC \ g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2.5%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6.41%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7.41%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140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8.41%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8.91%（Beta 1.314 对应）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114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WACC +1pct、g −0.5pct，EV 从 140 掉到 108，股权从 102 掉到 70 亿（40 元）。这是悲观方向的连续版本，不需要减值。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10.5 倍数与同业锚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倍数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密尔克卫现价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 2028 目标 125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同业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TTM / 2028E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17.26 / 13.6x（按 8.3 亿）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15.1x 2028E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兴通 13.7、中外运 12.2、嘉友 12.8、永泰运 33.9（低利润）、宏川亏损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EV/EBITDA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10.83（Wind）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 9x 2028E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重资产仓储应 8–10x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PB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1.98（Wind）/ 1.94（基准表）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125/约 60 亿账面 ≈ 2.1x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中外运 1.12、兴通 1.38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TTM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0.79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0.80x 2028E 收入 157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分销拉低 PS，无信息量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PB-ROE：ROE 13.8%、g=2.5%、WACC 7.41%，合理 PB=(13.8−2.5)/(7.41−2.5)=2.30x。现价 1.98x 看起来略低。但公式假设 ROE 永续 13.8%；若 ROIC 继续贴 WACC，ROE 会向 9–10% 收敛，合理 PB 掉到 1.4–1.6x，对应市值 70–80 亿。</w:t>
      </w:r>
      <w:r>
        <w:rPr>
          <w:rFonts w:ascii="Noto Sans SC" w:hAnsi="Noto Sans SC" w:eastAsia="Noto Sans SC"/>
          <w:b/>
          <w:i w:val="0"/>
        </w:rPr>
        <w:t>PB 折价不是安全边际，是市场已经在给 ROE 下行期权定价。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华创用 Brenntag 17x 给密尔克卫 2027 年 17x。Brenntag 净利率 1.8%、ROE 5.9%；密尔克卫净利率 5.6%、ROE 13.8%。倍数可以接近，前提是密尔克卫的净利率不向 Brenntag 收敛。2021 年以来的结构变化方向，正是往 Brenntag 收敛。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10.6 三情景目标市值、目标价、隐含回报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目标价 = 目标市值 / 1.74049 亿股。这是 2028 年末市值，不是折现到今天。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情景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 净利（亿）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隐含 PE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目标市值（亿）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目标价（元）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vs 65.07 总回报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年化（2.28 年）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乐观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16.0x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107.5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+65.2%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+24.0%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15.1x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71.8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+10.3%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+4.4%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悲观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13.0x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27.6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−57.6%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−31.5%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概率加权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121.3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69.7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+7.1%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+3.0%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股权成本 9.32% &gt;&gt; 概率加权年化 3.0%（即便用总回报 7.1% 比 Ke，也不够）。这是评级 </w:t>
      </w:r>
      <w:r>
        <w:rPr>
          <w:rFonts w:ascii="Noto Sans SC" w:hAnsi="Noto Sans SC" w:eastAsia="Noto Sans SC"/>
          <w:b/>
          <w:i w:val="0"/>
        </w:rPr>
        <w:t>中性</w:t>
      </w:r>
      <w:r>
        <w:rPr>
          <w:rFonts w:ascii="Noto Sans SC" w:hAnsi="Noto Sans SC" w:eastAsia="Noto Sans SC"/>
          <w:b w:val="0"/>
          <w:i w:val="0"/>
        </w:rPr>
        <w:t xml:space="preserve"> 的全部理由，不需要再加形容词。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Wind 一致目标价 82.41 元落在中性与乐观之间，对应市值 143 亿、2028E 10.49 亿的 13.6x——用了更高的分子和并不苛刻的倍数。把分子换成 8.3 亿，82.41 元隐含 17.3x，贵了。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10.7 评级与操作区间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动作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价格（元）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对应市值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逻辑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减持/退出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&gt;82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&gt;143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进入卖方目标价，乐观情景被提前透支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现价 65.07：中性，不加仓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113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已支付 2028 年中性的大部分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观察性买入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48–55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84–96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接近 DCF 中值，赔率改善，仍需仓储毛利率止跌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逆向大仓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≤27.6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≤48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悲观情景价格，需要确认不是商誉暴雷中途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评级：中性。</w:t>
      </w:r>
      <w:r>
        <w:rPr>
          <w:rFonts w:ascii="Noto Sans SC" w:hAnsi="Noto Sans SC" w:eastAsia="Noto Sans SC"/>
          <w:b w:val="0"/>
          <w:i w:val="0"/>
        </w:rPr>
        <w:t xml:space="preserve"> 不覆盖的理由不成立——公司仍是民营危化供应链里财务最完整的上市标的，值得跟踪第八章的验证时点。覆盖但买入的理由也不成立——期望回报低于资本成本。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十一、经营风险（概率 × 幅度）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排序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风险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幅度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前瞻信号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若发生对 2028 年净利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分销时点合同再起，或价差掉到 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预付或合同负债单季再上 20 亿；MCD 毛利率 &lt;6.5%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−0.5 至 −1.5 亿/年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商誉减值（富仓 2026 对赌到期、浙江航运缺口）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高（一次性）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年报减值测试折现率上调；承诺完成率再 &lt;80%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−1.5 至 −3.0 亿一次性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仓储毛利率跌破 36%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 MRW 毛利率；折旧/仓储收入 &gt;50%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−0.3 至 −0.5 亿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汇兑：境外资产 15.3 亿、收入含美元运费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财务费用率 &gt;1.5%；USD/CNY 波动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已演示 −0.24 亿税前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安全事故（危化仓储/运输）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极高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应急管理处罚、停业整顿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牌照停用则估值中枢下移一档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大客户砍量（万华船舶、陶氏仓配）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MGM 收入连续两季负增长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MGM 10.8 亿的 20% = 2 亿收入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转债后流通盘 +10%，再叠加解禁/减持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已发生 / 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大股东新减持计划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估值倍数压缩 1–2x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半导体订单不及预期（叙事退潮）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低（对利润）/ 中（对倍数）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年报仍不单列；客户占比停在 6%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利润影响 &lt;0.3 亿，PE 从 15x 压到 12x 市值 −25 亿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再融资（定增/新债）摊薄或加杠杆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股东大会授权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取决于价格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转债摊薄 </w:t>
      </w:r>
      <w:r>
        <w:rPr>
          <w:rFonts w:ascii="Noto Sans SC" w:hAnsi="Noto Sans SC" w:eastAsia="Noto Sans SC"/>
          <w:b/>
          <w:i w:val="0"/>
        </w:rPr>
        <w:t>不再列为未来风险</w:t>
      </w:r>
      <w:r>
        <w:rPr>
          <w:rFonts w:ascii="Noto Sans SC" w:hAnsi="Noto Sans SC" w:eastAsia="Noto Sans SC"/>
          <w:b w:val="0"/>
          <w:i w:val="0"/>
        </w:rPr>
        <w:t>。风险 8 是对股价伤害最大的“软风险”：利润表几乎不动，估值倍数可以掉 3 个点。2026-05 至 08 月已经演示过一遍。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11.1 安全与合规（低概率、资产负债表级）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危化仓储和道路运输的监管是离散事件：一次泄漏、火灾或无证承运，可以直接停业整顿。公司作为协会副会长单位，历史上靠合规吃饭，但网络越密、管理输出越多，边际仓库的安全方差越大。前瞻信号不是“重视安全”的表述，而是：</w:t>
      </w:r>
      <w:r>
        <w:rPr>
          <w:rFonts w:ascii="Noto Sans SC" w:hAnsi="Noto Sans SC" w:eastAsia="Noto Sans SC"/>
          <w:b/>
          <w:i w:val="0"/>
        </w:rPr>
        <w:t>应急管理行政处罚、保险费率跳升、某库区被责令停用。</w:t>
      </w:r>
      <w:r>
        <w:rPr>
          <w:rFonts w:ascii="Noto Sans SC" w:hAnsi="Noto Sans SC" w:eastAsia="Noto Sans SC"/>
          <w:b w:val="0"/>
          <w:i w:val="0"/>
        </w:rPr>
        <w:t xml:space="preserve"> 任一库区停用对收入影响有限（70 万㎡里的一个点），对牌照溢价和 PE 倍数的影响没有上限——仓储 16x 会立刻回到运输 12x。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11.2 客户与货种（中概率、利润表级）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MGM 自有船“全部承运万华”（调研纪要）是可观察的集中度。万华资本开支周期与 MDI 价格，应作为 MGM 的领先指标。货代侧，2025 年 MGF 零增长已经提示份额或箱量问题；SCFI 七连涨若不能在 2026Q3 货代收入上兑现，说明公司对运价的弹性已经消失，H9 假设（物流 +15%）失效。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11.3 外汇与境外资产（已发生、可量化）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境外资产 15.29 亿元、占 9.70%（2026 中报）。2026H1 汇兑损失 3259 万元，把归母增速从 17.6% 打到 8.4%。人民币波动 5% 对 15 亿境外净资产的会计影响约 0.75 亿，相当于两个月利润。这不是对冲不了对冲的问题，是境外扩张还没做到自然对冲之前的税前噪音，模型不应把它当经营 alpha。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11.4 风险矩阵怎么用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投委会不需要对 9 条风险平均分配注意力。监控顺序：</w:t>
      </w:r>
      <w:r>
        <w:rPr>
          <w:rFonts w:ascii="Noto Sans SC" w:hAnsi="Noto Sans SC" w:eastAsia="Noto Sans SC"/>
          <w:b/>
          <w:i w:val="0"/>
        </w:rPr>
        <w:t>(3) 预付/合同负债 → (2) 仓储毛利率 → (1) 商誉减值公告 → (8) 半导体是否单列。</w:t>
      </w:r>
      <w:r>
        <w:rPr>
          <w:rFonts w:ascii="Noto Sans SC" w:hAnsi="Noto Sans SC" w:eastAsia="Noto Sans SC"/>
          <w:b w:val="0"/>
          <w:i w:val="0"/>
        </w:rPr>
        <w:t xml:space="preserve"> 前两项决定中性是否成立，后两项决定从中性走向悲观或走向增持。现价位置上，杀估值的路径（叙事退潮、倍数从 15x 到 12x）比杀利润的路径更近，也更符合 2026 年 5–8 月已经走过的剧本。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十二、方法论附录与自检清单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12.1 Skill 使用对照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用于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china-initiating-coverage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报告骨架（12 章首次覆盖结构）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business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model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decoder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第二、七章：四板块怎么赚钱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moat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strength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review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第二章壁垒真伪表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management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quality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check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第三章激励、并购承诺、减持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earnings-analysis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china-earnings-analysis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年报、2026H1 变异（预付、汇兑、OCF）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growth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quality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check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4.7 节增长质检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peer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comparison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decision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china-comps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2.3、5.3、10.5 同业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china-unit-economics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第七章坪效、罐箱、预付/毛利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china-competitive-analysis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china-sector-overview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第五章库容、CR3、运价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valuation-pricing-framework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china-dcf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dcf-model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第十章 WACC、SOTP、DCF 敏感性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bull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bear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case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builder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8.8 做空三条 + 第九章三情景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equity-investment-thesis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stock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research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memo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writer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第一章结论页、第八章预期差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china-3-statement-model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第九章三表勾稽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china-thesis-tracker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12.6 跟踪指标与失效阈值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turnaround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story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validation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检验 2023 年之后是否构成反转：收入是，ROIC 不是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wind-mcp-skill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全部行情、财务、一致预期、CCPI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12.2 Wind / iFind 调用日志（实际跑过）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串行调用，间隔 ≥3 秒。原始 JSON 存 </w:t>
      </w:r>
      <w:r>
        <w:rPr>
          <w:rFonts w:ascii="Consolas" w:hAnsi="Consolas" w:eastAsia="Consolas"/>
          <w:b w:val="0"/>
          <w:i w:val="0"/>
          <w:color w:val="9C2C2C"/>
        </w:rPr>
        <w:t>/workspace/data/mkw/wind/</w:t>
      </w:r>
      <w:r>
        <w:rPr>
          <w:rFonts w:ascii="Noto Sans SC" w:hAnsi="Noto Sans SC" w:eastAsia="Noto Sans SC"/>
          <w:b w:val="0"/>
          <w:i w:val="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文件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服务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工具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01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price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snapshot.json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price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indicators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OK，65.07 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02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income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03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balance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key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items.json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首次空返回后缩短问句重试 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04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cashflow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series.json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同上，OK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05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roic.json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06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valuation.json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OK，PE 17.26 / PB 1.98 / 分位 42%/25%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07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consensus.json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OK，7.50/8.96/10.49，目标价另文件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08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holders.json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equity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holders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OK，股本 174,048,542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09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events.json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events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risk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beta.json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risk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metrics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Beta 字段空；波动率 47.8%、回撤 −27.6%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basicinfo.json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basicinfo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peers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price.json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price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indicators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peers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OK；001317.SZ 实为三羊马，永泰运改 001228.SZ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ccpi.json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query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indicator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OK，S5470297，2026-09-17=5528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cgb10y.json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query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indicator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未获取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（返回“受限指标已剔除：无权限：S0059749”）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announcements.json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financial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docs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company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announcements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yongtaiyun.json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OK，001228.SZ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target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price.json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OK，一致目标价 82.41 元、17 家、综合评级 1.35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index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kline.json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index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index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kline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OK，沪深 300 日线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hexin-ifind-ds-stock-mcp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risk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indicators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Beta 1.3141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hexin-ifind-ds-edb-mcp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edb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 年国债 2026-09-17 = 1.6862%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未跑成或未覆盖：</w:t>
      </w:r>
      <w:r>
        <w:rPr>
          <w:rFonts w:ascii="Consolas" w:hAnsi="Consolas" w:eastAsia="Consolas"/>
          <w:b w:val="0"/>
          <w:i w:val="0"/>
          <w:color w:val="9C2C2C"/>
        </w:rPr>
        <w:t>bond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data</w:t>
      </w:r>
      <w:r>
        <w:rPr>
          <w:rFonts w:ascii="Noto Sans SC" w:hAnsi="Noto Sans SC" w:eastAsia="Noto Sans SC"/>
          <w:b w:val="0"/>
          <w:i w:val="0"/>
        </w:rPr>
        <w:t>（密卫转债已摘牌，主体评级对定价边缘）；</w:t>
      </w:r>
      <w:r>
        <w:rPr>
          <w:rFonts w:ascii="Consolas" w:hAnsi="Consolas" w:eastAsia="Consolas"/>
          <w:b w:val="0"/>
          <w:i w:val="0"/>
          <w:color w:val="9C2C2C"/>
        </w:rPr>
        <w:t>fund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data</w:t>
      </w:r>
      <w:r>
        <w:rPr>
          <w:rFonts w:ascii="Noto Sans SC" w:hAnsi="Noto Sans SC" w:eastAsia="Noto Sans SC"/>
          <w:b w:val="0"/>
          <w:i w:val="0"/>
        </w:rPr>
        <w:t xml:space="preserve"> 公募持仓明细（改用股东名单：前海开源公用事业、兴全合润、中欧时代先锋、太保分红、陆股通在前十）。</w:t>
      </w:r>
      <w:r>
        <w:rPr>
          <w:rFonts w:ascii="Consolas" w:hAnsi="Consolas" w:eastAsia="Consolas"/>
          <w:b w:val="0"/>
          <w:i w:val="0"/>
          <w:color w:val="9C2C2C"/>
        </w:rPr>
        <w:t>analytics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data</w:t>
      </w:r>
      <w:r>
        <w:rPr>
          <w:rFonts w:ascii="Noto Sans SC" w:hAnsi="Noto Sans SC" w:eastAsia="Noto Sans SC"/>
          <w:b w:val="0"/>
          <w:i w:val="0"/>
        </w:rPr>
        <w:t xml:space="preserve"> 未调用（专项工具已覆盖一致预期）。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12.3 读过的本地文件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财报（</w:t>
      </w:r>
      <w:r>
        <w:rPr>
          <w:rFonts w:ascii="Consolas" w:hAnsi="Consolas" w:eastAsia="Consolas"/>
          <w:b/>
          <w:i w:val="0"/>
          <w:color w:val="9C2C2C"/>
        </w:rPr>
        <w:t>/workspace/data/mkw/txt/财报/</w:t>
      </w:r>
      <w:r>
        <w:rPr>
          <w:rFonts w:ascii="Noto Sans SC" w:hAnsi="Noto Sans SC" w:eastAsia="Noto Sans SC"/>
          <w:b/>
          <w:i w:val="0"/>
        </w:rPr>
        <w:t>，10 份）：</w:t>
      </w:r>
      <w:r>
        <w:rPr>
          <w:rFonts w:ascii="Noto Sans SC" w:hAnsi="Noto Sans SC" w:eastAsia="Noto Sans SC"/>
          <w:b w:val="0"/>
          <w:i w:val="0"/>
        </w:rPr>
        <w:t xml:space="preserve"> 密尔克卫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2018 年报 ~ 2025 年报、2026 一季报、2026 中报。重点页：各年“主营业务分产品”、2025 年报商誉附注 / 业绩承诺 / 预付前五名 / 成本表 / 购建固定资产、2026 中报资产负债变动（预付、合同负债、在建工程）。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研报（12 篇）：</w:t>
      </w:r>
      <w:r>
        <w:rPr>
          <w:rFonts w:ascii="Noto Sans SC" w:hAnsi="Noto Sans SC" w:eastAsia="Noto Sans SC"/>
          <w:b w:val="0"/>
          <w:i w:val="0"/>
        </w:rPr>
        <w:t xml:space="preserve"> 华创 2026-05-24 深度、华创半导体物流行业深度、华创交运周报、申万 2026-07-02、西南 2026-08-14、中邮 2026-04-20、国金 2025-10-28、华泰 2026-04-30 季报点评、天风行业专题、国金空运行业等。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公众号（18 篇）：</w:t>
      </w:r>
      <w:r>
        <w:rPr>
          <w:rFonts w:ascii="Noto Sans SC" w:hAnsi="Noto Sans SC" w:eastAsia="Noto Sans SC"/>
          <w:b w:val="0"/>
          <w:i w:val="0"/>
        </w:rPr>
        <w:t xml:space="preserve"> 华创中报点评、华创股权激励点评、华创「中国密度」深度、界面财说「年报双增隐患」、88 家机构调研、价值投资深度研究调研纪要、X 纪要、梦想大作手、纪要全要、DARE 产业 AI 化、博时基金调研等。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 中报 PDF 转文本后，客户行业收入/毛利表丢失（西南/华创引用了 iFinD 数字，本报告转引并标注）；五产品表 2026H1 公司未披露。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12.4 WebSearch（3 次）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 w:val="0"/>
          <w:i w:val="0"/>
        </w:rPr>
        <w:t>中国 10 年期国债收益率 2026 年 9 月 — 工具调用参数不完整失败一次；改 iFind EDB 成功。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 w:val="0"/>
          <w:i w:val="0"/>
        </w:rPr>
        <w:t>中物联 2025 第三方化工仓储甲乙类面积 — 与华创转引一致：甲 38.44 / 乙 58.48 / 丙 106.20 万㎡，罐容 4511.643 万 m³。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 w:val="0"/>
          <w:i w:val="0"/>
        </w:rPr>
        <w:t>SCFI 2026 年 9 月 — 9 月 11 日 3662.18 点，七连涨；9 月 4 日 3590.05。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12.5 数据一致性与口径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Wind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年报原文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券商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采用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营收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133.3513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133.35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各家一致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归母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6.2655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6.27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11.5396%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主营 11.41%（133.12/117.93）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综合用 Wind，分部用年报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营收/归母/毛利率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79.6995 / 3.8122 / 10.8505%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79.70 / 3.81 / 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华创、西南一致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物流/分销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未取到 Wind 分部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中报转文本缺表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MGL 25.34 / MCL 16.21 / MCD 38.03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华创（与西南 52.14%/47.72% 勾稽）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总市值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113.2534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65.07×1.74048542 亿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流通市值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估值接口返回 113.25（与总市值相同）；基准表 110.66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持有人接口流通 A 股=总股本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采信流通 A 股=总股本，流通市值=总市值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。基准表 110.66 可能含转股完成前时点，差异 2.3%，已注明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PB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1.9804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基准表 1.9350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差异 2.3%，可能 LF vs MRQ；正文用 Wind 1.98，附录保留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2028E 净利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10.486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8 月 10.3 / 申万 11.55 / 西南 9.9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一致预期用 Wind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勾稽：收入 ↔ 应收，2024 年破裂（应收 +77%、收入 +24%），2025 年靠管控修复，2026H1 应收再升。净利润 ↔ OCF，2025 年 1.20x 被预收抬高，2026H1 0.53x。Capex ↔ 在建工程/固定资产，方向一致。商誉 ↔ 并购，2024–25 年原值不再增加。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12.6 跟踪指标与逻辑失效阈值（</w:t>
      </w:r>
      <w:r>
        <w:rPr>
          <w:rFonts w:ascii="Consolas" w:hAnsi="Consolas" w:eastAsia="Consolas"/>
          <w:b/>
          <w:i w:val="0"/>
          <w:color w:val="9C2C2C"/>
          <w:sz w:val="25"/>
        </w:rPr>
        <w:t>china-thesis-tracker</w:t>
      </w:r>
      <w:r>
        <w:rPr>
          <w:rFonts w:ascii="Noto Sans SC" w:hAnsi="Noto Sans SC" w:eastAsia="Noto Sans SC"/>
          <w:b/>
          <w:i w:val="0"/>
          <w:sz w:val="25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#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中性路径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逻辑失效（升级为减持/悲观）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逻辑强化（升级为增持）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年归母净利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6.9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&lt;5.5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≥7.5 亿且 OCF/NI&gt;1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 MRW 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38–40%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&lt;36%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≥42% 且出租率披露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预付+合同负债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&lt;15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任一单项 &gt;30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持续 &lt;10 亿且 MCD 毛利率 ≥8%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商誉减值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单年 &gt;1.5 亿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承诺期结束仍 0 且完成率回升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半导体收入单列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年报单列且占比 ≥10%、毛利率 ≥仓储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ROIC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&lt;7%（跌破 WACC）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&gt;10% 并维持两年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FCF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年起正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连续两年负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连续两年 &gt;4 亿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激励完成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接近 7.2/8.3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再次终止或大幅下调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年打到 7.2 且上修 2028 目标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本报告中性结论在 1、2、3、6 任意两条触发失效阈值时作废，改为悲观/减持；在 5+6 或 5+8 同时强化时，才讨论从中性调到增持。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12.7 自检清单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每个关键数字带来源+期间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未获取项显式标出（出租率、箱量、半导体收入金额、REITs 文件、Wind 10 年国债、Wind Beta）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估算标注“我方”并给算法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无宏观政策套话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四板块多年收入与毛利率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明确评级 + 2028 三情景目标市值/目标价，股本 1.74049 亿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市场预期差为最长章（第八章）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转债摊薄列为已落地事件，不列为未来风险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三情景内部：增速 ↔ capex ↔ 营运资本 ↔ 融资已检查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禁止把安井/华鲁的股本陷阱用到密尔克卫；密尔克卫自己的陷阱（转债 +10% 股本）已处理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12.8 数据缺口清单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 w:val="0"/>
          <w:i w:val="0"/>
        </w:rPr>
        <w:t>仓储出租率、分产品库容（甲/乙/丙）、单位租金 — 年报未披露。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 w:val="0"/>
          <w:i w:val="0"/>
        </w:rPr>
        <w:t>货代 TEU/票数、单箱毛利 — 未披露。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 w:val="0"/>
          <w:i w:val="0"/>
        </w:rPr>
        <w:t>罐箱准确保有量与周转（仅调研纪要 8000–9000）。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4. </w:t>
      </w:r>
      <w:r>
        <w:rPr>
          <w:rFonts w:ascii="Noto Sans SC" w:hAnsi="Noto Sans SC" w:eastAsia="Noto Sans SC"/>
          <w:b w:val="0"/>
          <w:i w:val="0"/>
        </w:rPr>
        <w:t>分销吨量、吨毛利、6.49 亿合同的对手方名称（已验证金额，年报匿名）。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5. </w:t>
      </w:r>
      <w:r>
        <w:rPr>
          <w:rFonts w:ascii="Noto Sans SC" w:hAnsi="Noto Sans SC" w:eastAsia="Noto Sans SC"/>
          <w:b w:val="0"/>
          <w:i w:val="0"/>
        </w:rPr>
        <w:t>2026H1 五产品表 — 公司改口径，原文表在 PDF 转文本中丢失。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6. </w:t>
      </w:r>
      <w:r>
        <w:rPr>
          <w:rFonts w:ascii="Noto Sans SC" w:hAnsi="Noto Sans SC" w:eastAsia="Noto Sans SC"/>
          <w:b w:val="0"/>
          <w:i w:val="0"/>
        </w:rPr>
        <w:t>半导体物流收入/毛利独立科目 — 不存在。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7. </w:t>
      </w:r>
      <w:r>
        <w:rPr>
          <w:rFonts w:ascii="Noto Sans SC" w:hAnsi="Noto Sans SC" w:eastAsia="Noto Sans SC"/>
          <w:b w:val="0"/>
          <w:i w:val="0"/>
        </w:rPr>
        <w:t>REITs 申报材料 — 未获取。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8. </w:t>
      </w:r>
      <w:r>
        <w:rPr>
          <w:rFonts w:ascii="Noto Sans SC" w:hAnsi="Noto Sans SC" w:eastAsia="Noto Sans SC"/>
          <w:b w:val="0"/>
          <w:i w:val="0"/>
        </w:rPr>
        <w:t>Wind 10 年国债、Wind Beta — 接口受限或空值，已用 iFind 替代。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9. </w:t>
      </w:r>
      <w:r>
        <w:rPr>
          <w:rFonts w:ascii="Noto Sans SC" w:hAnsi="Noto Sans SC" w:eastAsia="Noto Sans SC"/>
          <w:b w:val="0"/>
          <w:i w:val="0"/>
        </w:rPr>
        <w:t>海外可比最新 2026-09-18 估值（DSV、K+N、IMCD、Univar）— 本次未拉全球股票接口，Brenntag 用华创 2026-05-23 截面。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10. </w:t>
      </w:r>
      <w:r>
        <w:rPr>
          <w:rFonts w:ascii="Noto Sans SC" w:hAnsi="Noto Sans SC" w:eastAsia="Noto Sans SC"/>
          <w:b w:val="0"/>
          <w:i w:val="0"/>
        </w:rPr>
        <w:t>公募基金持仓季度明细 — 未跑 fund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data，仅有前十大股东名单。</w:t>
      </w:r>
    </w:p>
    <w:p/>
    <w:p>
      <w:pPr>
        <w:spacing w:after="80"/>
      </w:pPr>
      <w:r>
        <w:rPr>
          <w:rFonts w:ascii="Noto Sans SC" w:hAnsi="Noto Sans SC" w:eastAsia="Noto Sans SC"/>
          <w:b w:val="0"/>
          <w:i/>
        </w:rPr>
        <w:t>报告完成于 2026-09-18。评级中性，2028 年目标市值 187 / 125 / 48 亿元，目标价 107.5 / 71.8 / 27.6 元。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