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密尔克卫603713.sh深度研究报告grok"/>
    <w:p>
      <w:pPr>
        <w:pStyle w:val="Heading1"/>
      </w:pPr>
      <w:r>
        <w:t xml:space="preserve">密尔克卫（603713.SH）深度研究报告（Grok）</w:t>
      </w:r>
    </w:p>
    <w:p>
      <w:pPr>
        <w:pStyle w:val="BlockText"/>
      </w:pPr>
      <w:r>
        <w:t xml:space="preserve">本报告 T0=2026-09-03；主估值法=2028E 归母净利润×情景退出 PE；投资评级=</w:t>
      </w:r>
      <w:r>
        <w:rPr>
          <w:bCs/>
          <w:b/>
        </w:rPr>
        <w:t xml:space="preserve">增持</w:t>
      </w:r>
      <w:r>
        <w:t xml:space="preserve">；中性情景 2028E 市值=</w:t>
      </w:r>
      <w:r>
        <w:rPr>
          <w:bCs/>
          <w:b/>
        </w:rPr>
        <w:t xml:space="preserve">151 亿元</w:t>
      </w:r>
      <w:r>
        <w:t xml:space="preserve">；悲观情景 2028E 市值=</w:t>
      </w:r>
      <w:r>
        <w:rPr>
          <w:bCs/>
          <w:b/>
        </w:rPr>
        <w:t xml:space="preserve">83 亿元</w:t>
      </w:r>
      <w:r>
        <w:t xml:space="preserve">；关键预期差=</w:t>
      </w:r>
      <w:r>
        <w:rPr>
          <w:bCs/>
          <w:b/>
        </w:rPr>
        <w:t xml:space="preserve">市场把转债稀释后的 16x PE 交易成“危化周期+贸易脉冲股”，低估合同物流/半导体客户切片带来的利润结构升级速度，同时高估“All in AI”叙事可立即兑现为独立分部</w:t>
      </w:r>
      <w:r>
        <w:t xml:space="preserve">。数据已经 Wind/年报/中报/卖方交叉验证，并完成 QC1–QC16。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研究基准日 T0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2026-09-03</w:t>
            </w:r>
            <w:r>
              <w:t xml:space="preserve">（Asia/Shanghai；Wind 截面）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现价 / 总股本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61.01 元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174,048,542 股</w:t>
            </w:r>
            <w:r>
              <w:t xml:space="preserve">（约 1.7405 亿股）[Wind]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总市值2 / 流通市值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106.19 亿元</w:t>
            </w:r>
            <w:r>
              <w:t xml:space="preserve"> </w:t>
            </w:r>
            <w:r>
              <w:t xml:space="preserve">/ 106.19 亿元（价×总股本）[Wind]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PE_TTM / PB_LF / PS_TTM / 股息率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16.19x / 1.86x / 0.74x / 1.49%</w:t>
            </w:r>
            <w:r>
              <w:t xml:space="preserve"> </w:t>
            </w:r>
            <w:r>
              <w:t xml:space="preserve">[Wind]（价格指标中市净率偶发 0.000，以 fundamentals 1.86x 为准）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 周高/低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83.97 / 48.90 元 [Wind]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投资结论标签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时间视野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</w:t>
            </w:r>
            <w:r>
              <w:t xml:space="preserve"> </w:t>
            </w:r>
            <w:r>
              <w:rPr>
                <w:bCs/>
                <w:b/>
              </w:rPr>
              <w:t xml:space="preserve">2028 年末</w:t>
            </w:r>
            <w:r>
              <w:t xml:space="preserve">（约 2.25 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中性情景至 2028E 隐含复合回报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 16–17% CAGR</w:t>
            </w:r>
            <w:r>
              <w:t xml:space="preserve">（相对 T0 市值 106 亿 → 151 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2028E 市值（乐观/中性/悲观）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221 / 151 / 83 亿元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概率加权 2028E 市值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 152 亿元</w:t>
            </w:r>
            <w:r>
              <w:t xml:space="preserve">（p=25%/50%/25%）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悲观下跌空间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</w:t>
            </w:r>
            <w:r>
              <w:t xml:space="preserve"> </w:t>
            </w:r>
            <w:r>
              <w:rPr>
                <w:bCs/>
                <w:b/>
              </w:rPr>
              <w:t xml:space="preserve">-22%</w:t>
            </w:r>
            <w:r>
              <w:t xml:space="preserve">（83/106）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主估值法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2028E 归母净利 × 情景退出 PE</w:t>
            </w:r>
            <w:r>
              <w:t xml:space="preserve">（DCF/SOTP 仅交叉，不平均）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执行摘要"/>
    <w:p>
      <w:pPr>
        <w:pStyle w:val="Heading2"/>
      </w:pPr>
      <w:r>
        <w:t xml:space="preserve">执行摘要</w:t>
      </w:r>
    </w:p>
    <w:p>
      <w:pPr>
        <w:pStyle w:val="FirstParagraph"/>
      </w:pPr>
      <w:r>
        <w:rPr>
          <w:bCs/>
          <w:b/>
        </w:rPr>
        <w:t xml:space="preserve">生意本质：</w:t>
      </w:r>
      <w:r>
        <w:t xml:space="preserve"> </w:t>
      </w:r>
      <w:r>
        <w:t xml:space="preserve">密尔克卫是民营危化供应链平台：以货代/罐箱/仓储/公路交付（MGL+MCL）为高门槛底座，向化工品分销（MCD）延伸，并在 2026 以危化资质切入</w:t>
      </w:r>
      <w:r>
        <w:t xml:space="preserve"> </w:t>
      </w:r>
      <w:r>
        <w:rPr>
          <w:bCs/>
          <w:b/>
        </w:rPr>
        <w:t xml:space="preserve">半导体/新能源高价值物流客户切片</w:t>
      </w:r>
      <w:r>
        <w:t xml:space="preserve">。法定分部仍是 MGF/MGM/MRW/MRT/MCD，半导体不是第五条法定收入行。[2025年报][2026中报]</w:t>
      </w:r>
    </w:p>
    <w:p>
      <w:pPr>
        <w:pStyle w:val="BodyText"/>
      </w:pPr>
      <w:r>
        <w:rPr>
          <w:bCs/>
          <w:b/>
        </w:rPr>
        <w:t xml:space="preserve">五条可证伪主逻辑（equity-investment-thesis）：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合同物流 α：</w:t>
      </w:r>
      <w:r>
        <w:t xml:space="preserve"> </w:t>
      </w:r>
      <w:r>
        <w:t xml:space="preserve">2026H1 MCL 收入 16.21 亿、同比</w:t>
      </w:r>
      <w:r>
        <w:t xml:space="preserve"> </w:t>
      </w:r>
      <w:r>
        <w:rPr>
          <w:bCs/>
          <w:b/>
        </w:rPr>
        <w:t xml:space="preserve">+32.4%</w:t>
      </w:r>
      <w:r>
        <w:t xml:space="preserve">，毛利率 16.0%，显著快于整体。[华创20260814][西南20260814]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利润结构升级：</w:t>
      </w:r>
      <w:r>
        <w:t xml:space="preserve"> </w:t>
      </w:r>
      <w:r>
        <w:t xml:space="preserve">新能源+芯片半导体相关客户收入占比约</w:t>
      </w:r>
      <w:r>
        <w:t xml:space="preserve"> </w:t>
      </w:r>
      <w:r>
        <w:rPr>
          <w:bCs/>
          <w:b/>
        </w:rPr>
        <w:t xml:space="preserve">21%</w:t>
      </w:r>
      <w:r>
        <w:t xml:space="preserve">、毛利占比约</w:t>
      </w:r>
      <w:r>
        <w:t xml:space="preserve"> </w:t>
      </w:r>
      <w:r>
        <w:rPr>
          <w:bCs/>
          <w:b/>
        </w:rPr>
        <w:t xml:space="preserve">29%</w:t>
      </w:r>
      <w:r>
        <w:t xml:space="preserve">、毛利率约</w:t>
      </w:r>
      <w:r>
        <w:t xml:space="preserve"> </w:t>
      </w:r>
      <w:r>
        <w:rPr>
          <w:bCs/>
          <w:b/>
        </w:rPr>
        <w:t xml:space="preserve">15%</w:t>
      </w:r>
      <w:r>
        <w:t xml:space="preserve">（&gt;整体 ~10.9%）。[2026中报][2026业绩说明会]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行业分散+强监管：</w:t>
      </w:r>
      <w:r>
        <w:t xml:space="preserve"> </w:t>
      </w:r>
      <w:r>
        <w:t xml:space="preserve">危化物流 2025E 约 2.26 万亿，公司份额约</w:t>
      </w:r>
      <w:r>
        <w:t xml:space="preserve"> </w:t>
      </w:r>
      <w:r>
        <w:rPr>
          <w:bCs/>
          <w:b/>
        </w:rPr>
        <w:t xml:space="preserve">0.5–0.6%</w:t>
      </w:r>
      <w:r>
        <w:t xml:space="preserve">，CR 极低，合规出清利于网络型玩家。[华创20260524][Web:hibor]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物贸一体终局：</w:t>
      </w:r>
      <w:r>
        <w:t xml:space="preserve"> </w:t>
      </w:r>
      <w:r>
        <w:t xml:space="preserve">商业模式向 Brenntag 式“物流+分销+配方/服务”平台演化，但中国仍处扩点/整合期，不是成熟特化分销商。[华创20260524][Web:brenntag.com]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激励与股本事件落地：</w:t>
      </w:r>
      <w:r>
        <w:t xml:space="preserve"> </w:t>
      </w:r>
      <w:r>
        <w:t xml:space="preserve">2026 期权行权价约 54.62、对齐约 15% 增长；密卫转债已赎回摘牌，总股本抬至</w:t>
      </w:r>
      <w:r>
        <w:t xml:space="preserve"> </w:t>
      </w:r>
      <w:r>
        <w:rPr>
          <w:bCs/>
          <w:b/>
        </w:rPr>
        <w:t xml:space="preserve">1.7405 亿股</w:t>
      </w:r>
      <w:r>
        <w:t xml:space="preserve">——稀释已显性化。[Wind events][Web:sse.com.cn]</w:t>
      </w:r>
    </w:p>
    <w:p>
      <w:pPr>
        <w:pStyle w:val="BodyText"/>
      </w:pPr>
      <w:r>
        <w:rPr>
          <w:bCs/>
          <w:b/>
        </w:rPr>
        <w:t xml:space="preserve">三句空头：</w:t>
      </w:r>
      <w:r>
        <w:t xml:space="preserve">（1）2025 末合同负债/预付脉冲与 2026H1 断崖回落，经营现金流同比</w:t>
      </w:r>
      <w:r>
        <w:t xml:space="preserve"> </w:t>
      </w:r>
      <w:r>
        <w:rPr>
          <w:bCs/>
          <w:b/>
        </w:rPr>
        <w:t xml:space="preserve">-83.8%</w:t>
      </w:r>
      <w:r>
        <w:t xml:space="preserve">，信任敏感；评级机构亦指出大额预付对应芯片头部客户、</w:t>
      </w:r>
      <w:r>
        <w:rPr>
          <w:bCs/>
          <w:b/>
        </w:rPr>
        <w:t xml:space="preserve">不具备可持续性</w:t>
      </w:r>
      <w:r>
        <w:t xml:space="preserve">。[2026中报][界面财说][iFind新闻/雪球评级]（2）商誉 14.73 亿、应收 43.88 亿，对净资产与利润倍数高。[Wind][2026中报]（3）</w:t>
      </w:r>
      <w:r>
        <w:t xml:space="preserve">“</w:t>
      </w:r>
      <w:r>
        <w:t xml:space="preserve">All in AI</w:t>
      </w:r>
      <w:r>
        <w:t xml:space="preserve">”</w:t>
      </w:r>
      <w:r>
        <w:t xml:space="preserve">与研发费用同比</w:t>
      </w:r>
      <w:r>
        <w:t xml:space="preserve"> </w:t>
      </w:r>
      <w:r>
        <w:rPr>
          <w:bCs/>
          <w:b/>
        </w:rPr>
        <w:t xml:space="preserve">-27.5%</w:t>
      </w:r>
      <w:r>
        <w:t xml:space="preserve"> </w:t>
      </w:r>
      <w:r>
        <w:t xml:space="preserve">并存，叙事需订单与毛利验证而非费用故事。[2026中报]</w:t>
      </w:r>
    </w:p>
    <w:p>
      <w:pPr>
        <w:pStyle w:val="BodyText"/>
      </w:pPr>
      <w:r>
        <w:rPr>
          <w:bCs/>
          <w:b/>
        </w:rPr>
        <w:t xml:space="preserve">估值一句话：</w:t>
      </w:r>
      <w:r>
        <w:t xml:space="preserve"> </w:t>
      </w:r>
      <w:r>
        <w:t xml:space="preserve">主法中性</w:t>
      </w:r>
      <w:r>
        <w:t xml:space="preserve"> </w:t>
      </w:r>
      <w:r>
        <w:rPr>
          <w:bCs/>
          <w:b/>
        </w:rPr>
        <w:t xml:space="preserve">2028E 归母 10.8 亿 × 退出 PE 14x = 市值 151 亿元</w:t>
      </w:r>
      <w:r>
        <w:t xml:space="preserve">（约 87 元/股，按 1.7405 亿股）。相对 T0 约 16–17% CAGR，质量与叙事风险未完全出清 →</w:t>
      </w:r>
      <w:r>
        <w:t xml:space="preserve"> </w:t>
      </w:r>
      <w:r>
        <w:rPr>
          <w:bCs/>
          <w:b/>
        </w:rPr>
        <w:t xml:space="preserve">增持</w:t>
      </w:r>
      <w:r>
        <w:t xml:space="preserve">（非买入）。</w:t>
      </w:r>
    </w:p>
    <w:p>
      <w:pPr>
        <w:pStyle w:val="BodyText"/>
      </w:pPr>
      <w:r>
        <w:rPr>
          <w:bCs/>
          <w:b/>
        </w:rPr>
        <w:t xml:space="preserve">对仓位意味着什么：</w:t>
      </w:r>
      <w:r>
        <w:t xml:space="preserve"> </w:t>
      </w:r>
      <w:r>
        <w:t xml:space="preserve">可作危化供应链核心仓的</w:t>
      </w:r>
      <w:r>
        <w:t xml:space="preserve"> </w:t>
      </w:r>
      <w:r>
        <w:rPr>
          <w:bCs/>
          <w:b/>
        </w:rPr>
        <w:t xml:space="preserve">卫星增持</w:t>
      </w:r>
      <w:r>
        <w:t xml:space="preserve">；仓位上限受商誉/营运资本脉冲与安全事故尾部风险约束。跌破悲观市值对应价（~48–50）或出现重大安全/商誉减值时再评估降级。</w:t>
      </w:r>
    </w:p>
    <w:p>
      <w:r>
        <w:pict>
          <v:rect style="width:0;height:1.5pt" o:hralign="center" o:hrstd="t" o:hr="t"/>
        </w:pict>
      </w:r>
    </w:p>
    <w:bookmarkEnd w:id="20"/>
    <w:bookmarkStart w:id="24" w:name="第-1-章投资结论与评级"/>
    <w:p>
      <w:pPr>
        <w:pStyle w:val="Heading2"/>
      </w:pPr>
      <w:r>
        <w:t xml:space="preserve">第 1 章｜投资结论与评级</w:t>
      </w:r>
    </w:p>
    <w:bookmarkStart w:id="21" w:name="评级与目标表达"/>
    <w:p>
      <w:pPr>
        <w:pStyle w:val="Heading3"/>
      </w:pPr>
      <w:r>
        <w:t xml:space="preserve">1.1 评级与目标表达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五档评级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主法目标（中性 2028E）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市值</w:t>
            </w:r>
            <w:r>
              <w:t xml:space="preserve"> </w:t>
            </w:r>
            <w:r>
              <w:rPr>
                <w:bCs/>
                <w:b/>
              </w:rPr>
              <w:t xml:space="preserve">151 亿元</w:t>
            </w:r>
            <w:r>
              <w:t xml:space="preserve"> </w:t>
            </w:r>
            <w:r>
              <w:t xml:space="preserve">/ 隐含价格约</w:t>
            </w:r>
            <w:r>
              <w:t xml:space="preserve"> </w:t>
            </w:r>
            <w:r>
              <w:rPr>
                <w:bCs/>
                <w:b/>
              </w:rPr>
              <w:t xml:space="preserve">86.9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乐观/悲观 2028E 市值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221 / 83 亿元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决策树位置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中性隐含回报落在 15% 附近、H4/H5/H8 暂可通过但需跟踪 →</w:t>
            </w:r>
            <w:r>
              <w:t xml:space="preserve"> </w:t>
            </w:r>
            <w:r>
              <w:rPr>
                <w:bCs/>
                <w:b/>
              </w:rPr>
              <w:t xml:space="preserve">增持</w:t>
            </w:r>
            <w:r>
              <w:t xml:space="preserve"> </w:t>
            </w:r>
            <w:r>
              <w:t xml:space="preserve">而非买入 [附录D]</w:t>
            </w:r>
          </w:p>
        </w:tc>
      </w:tr>
    </w:tbl>
    <w:bookmarkEnd w:id="21"/>
    <w:bookmarkStart w:id="22" w:name="ic-备忘压缩版china-ic-memo"/>
    <w:p>
      <w:pPr>
        <w:pStyle w:val="Heading3"/>
      </w:pPr>
      <w:r>
        <w:t xml:space="preserve">1.2 IC 备忘压缩版（china-ic-memo）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增持；主逻辑是合同物流+半导体客户结构提升利润质量，估值用 2028E 退出 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催化剂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Q3/年报半导体占比；大客户框架；激励考核；运价；REITs/仓网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安全事故、营运资本再脉冲、商誉减值、汇兑、AI 叙事证伪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主法 10.8×14；DCF 中性约 130–160 亿交叉；不平均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见第 12 章看板</w:t>
            </w:r>
          </w:p>
        </w:tc>
      </w:tr>
    </w:tbl>
    <w:bookmarkEnd w:id="22"/>
    <w:bookmarkStart w:id="23" w:name="所以对仓位意味着什么"/>
    <w:p>
      <w:pPr>
        <w:pStyle w:val="Heading3"/>
      </w:pPr>
      <w:r>
        <w:t xml:space="preserve">1.3 所以对仓位意味着什么</w:t>
      </w:r>
    </w:p>
    <w:p>
      <w:pPr>
        <w:pStyle w:val="FirstParagraph"/>
      </w:pPr>
      <w:r>
        <w:t xml:space="preserve">在 T0 61 元附近，赔率优于纯周期物流同业，但不是“低估成长股”；</w:t>
      </w:r>
      <w:r>
        <w:rPr>
          <w:bCs/>
          <w:b/>
        </w:rPr>
        <w:t xml:space="preserve">加仓需等</w:t>
      </w:r>
      <w:r>
        <w:t xml:space="preserve">：（a）剔除一次性后 OCF/净利≥0.8 连续两季；或（b）半导体客户收入绝对额/占比可验证上修。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第-2-章公司是什么业务模式解码"/>
    <w:p>
      <w:pPr>
        <w:pStyle w:val="Heading2"/>
      </w:pPr>
      <w:r>
        <w:t xml:space="preserve">第 2 章｜公司是什么：业务模式解码</w:t>
      </w:r>
    </w:p>
    <w:p>
      <w:pPr>
        <w:pStyle w:val="FirstParagraph"/>
      </w:pPr>
      <w:r>
        <w:t xml:space="preserve">（skill:</w:t>
      </w:r>
      <w:r>
        <w:t xml:space="preserve"> </w:t>
      </w:r>
      <w:r>
        <w:rPr>
          <w:bCs/>
          <w:b/>
        </w:rPr>
        <w:t xml:space="preserve">business_model_decoder_skill</w:t>
      </w:r>
      <w:r>
        <w:t xml:space="preserve">）</w:t>
      </w:r>
    </w:p>
    <w:bookmarkStart w:id="25" w:name="一句话与客户问题"/>
    <w:p>
      <w:pPr>
        <w:pStyle w:val="Heading3"/>
      </w:pPr>
      <w:r>
        <w:t xml:space="preserve">2.1 一句话与客户问题</w:t>
      </w:r>
    </w:p>
    <w:p>
      <w:pPr>
        <w:pStyle w:val="FirstParagraph"/>
      </w:pPr>
      <w:r>
        <w:t xml:space="preserve">公司为化工/新能源/半导体客户解决：</w:t>
      </w:r>
      <w:r>
        <w:rPr>
          <w:bCs/>
          <w:b/>
        </w:rPr>
        <w:t xml:space="preserve">危险品与高价值物料的合规运输、仓储、交付与部分分销撮合</w:t>
      </w:r>
      <w:r>
        <w:t xml:space="preserve">。客户付费买的是资质+网络+安全声誉+交付确定性，不是廉价吨公里。[官网 mwclg.com][2025年报]</w:t>
      </w:r>
    </w:p>
    <w:bookmarkEnd w:id="25"/>
    <w:bookmarkStart w:id="26" w:name="双引擎图物流现金流-vs-分销营运资本"/>
    <w:p>
      <w:pPr>
        <w:pStyle w:val="Heading3"/>
      </w:pPr>
      <w:r>
        <w:t xml:space="preserve">2.2 双引擎图：物流现金流 vs 分销营运资本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引擎A：供应链物流 (MGL+MCL)   │     │ 引擎B：供应链交易 (MCD)        │</w:t>
      </w:r>
      <w:r>
        <w:br/>
      </w:r>
      <w:r>
        <w:rPr>
          <w:rStyle w:val="VerbatimChar"/>
        </w:rPr>
        <w:t xml:space="preserve">│ 收费：代理费/仓租/运费/罐箱租 │     │ 收费：价差+增值服务            │</w:t>
      </w:r>
      <w:r>
        <w:br/>
      </w:r>
      <w:r>
        <w:rPr>
          <w:rStyle w:val="VerbatimChar"/>
        </w:rPr>
        <w:t xml:space="preserve">│ 2025收入 72.6亿 / 毛利~14.5% │     │ 2025收入 60.5亿 / 毛利~7.7%  │</w:t>
      </w:r>
      <w:r>
        <w:br/>
      </w:r>
      <w:r>
        <w:rPr>
          <w:rStyle w:val="VerbatimChar"/>
        </w:rPr>
        <w:t xml:space="preserve">│ 特征：门槛高、周转中、利润池 │     │ 特征：规模大、毛利薄、WC脉冲 │</w:t>
      </w:r>
      <w:r>
        <w:br/>
      </w:r>
      <w:r>
        <w:rPr>
          <w:rStyle w:val="VerbatimChar"/>
        </w:rPr>
        <w:t xml:space="preserve">│ 2026H1 MCL +32% 为结构亮点   │     │ 2026H1 38.0亿 / 毛利~7.4%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  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↓                                    ↓</w:t>
      </w:r>
      <w:r>
        <w:br/>
      </w:r>
      <w:r>
        <w:rPr>
          <w:rStyle w:val="VerbatimChar"/>
        </w:rPr>
        <w:t xml:space="preserve">        经营现金流相对稳定              合同负债/预付可一次性放大缩表</w:t>
      </w:r>
    </w:p>
    <w:bookmarkEnd w:id="26"/>
    <w:bookmarkStart w:id="27" w:name="法定分部禁止张冠李戴"/>
    <w:p>
      <w:pPr>
        <w:pStyle w:val="Heading3"/>
      </w:pPr>
      <w:r>
        <w:t xml:space="preserve">2.3 法定分部（禁止张冠李戴）</w:t>
      </w:r>
    </w:p>
    <w:p>
      <w:pPr>
        <w:pStyle w:val="FirstParagraph"/>
      </w:pPr>
      <w:r>
        <w:rPr>
          <w:bCs/>
          <w:b/>
        </w:rPr>
        <w:t xml:space="preserve">2025A 分产品</w:t>
      </w:r>
      <w:r>
        <w:t xml:space="preserve"> </w:t>
      </w:r>
      <w:r>
        <w:t xml:space="preserve">[2025年报]：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收入(亿)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全球货代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海运/空运/铁路一站式；运价敏感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全球移动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+37.75%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罐箱/化学品船/工程物流；资产周转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区域仓储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+6.59%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39.40%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 万㎡危化仓；利润池但毛利率 -4.91pct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区域内贸交付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公路危化配送三级网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不一样的分销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物贸一体；WC 主波动源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物流合计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MGL+MCL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+5.04%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14.51%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高门槛基本盘</w:t>
            </w:r>
          </w:p>
        </w:tc>
      </w:tr>
    </w:tbl>
    <w:p>
      <w:pPr>
        <w:pStyle w:val="BodyText"/>
      </w:pPr>
      <w:r>
        <w:t xml:space="preserve">口径：MGL=MGF+MGM；MCL=MRW+MRT。[2025年报]</w:t>
      </w:r>
    </w:p>
    <w:p>
      <w:pPr>
        <w:pStyle w:val="BodyText"/>
      </w:pPr>
      <w:r>
        <w:rPr>
          <w:bCs/>
          <w:b/>
        </w:rPr>
        <w:t xml:space="preserve">2026H1 聚合口径（券商拆分，与中报描述一致）</w:t>
      </w:r>
      <w:r>
        <w:t xml:space="preserve"> </w:t>
      </w:r>
      <w:r>
        <w:t xml:space="preserve">[华创20260814][西南20260814]：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收入(亿)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YoY/备注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毛利率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+6%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+32.40%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+12.44%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+13.29%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10.85%</w:t>
            </w:r>
          </w:p>
        </w:tc>
      </w:tr>
    </w:tbl>
    <w:bookmarkEnd w:id="27"/>
    <w:bookmarkStart w:id="28" w:name="分业务深度问答附录-f"/>
    <w:p>
      <w:pPr>
        <w:pStyle w:val="Heading3"/>
      </w:pPr>
      <w:r>
        <w:t xml:space="preserve">2.4 分业务深度问答（附录 F）</w:t>
      </w:r>
    </w:p>
    <w:p>
      <w:pPr>
        <w:pStyle w:val="FirstParagraph"/>
      </w:pPr>
      <w:r>
        <w:rPr>
          <w:bCs/>
          <w:b/>
        </w:rPr>
        <w:t xml:space="preserve">F1 MGF：</w:t>
      </w:r>
      <w:r>
        <w:t xml:space="preserve"> </w:t>
      </w:r>
      <w:r>
        <w:t xml:space="preserve">2025 收入微降 0.13%，主因量价博弈而非份额崩塌；毛利率反升 1.02pct，显示危化货代议价与结构尚可。运价弹性高，但危化占比抬高缓冲普货内卷。[2025年报][华创20260524]</w:t>
      </w:r>
    </w:p>
    <w:p>
      <w:pPr>
        <w:pStyle w:val="BodyText"/>
      </w:pPr>
      <w:r>
        <w:rPr>
          <w:bCs/>
          <w:b/>
        </w:rPr>
        <w:t xml:space="preserve">F2 MGM：</w:t>
      </w:r>
      <w:r>
        <w:t xml:space="preserve"> </w:t>
      </w:r>
      <w:r>
        <w:t xml:space="preserve">运营罐箱 &gt;7500（华创至 2026-01）；调研口径曾提 8000–9000、目标破万。2025 +37.75% 高增来自罐箱周转与工程物流；能否延续到 2027 取决于利用率与亚洲航线灵活性（调研：自有船绑定大客户长约，回暖时提价受限）。[华创20260524][调研纪要:价值投资深度研究]</w:t>
      </w:r>
    </w:p>
    <w:p>
      <w:pPr>
        <w:pStyle w:val="BodyText"/>
      </w:pPr>
      <w:r>
        <w:rPr>
          <w:bCs/>
          <w:b/>
        </w:rPr>
        <w:t xml:space="preserve">F3 MRW：</w:t>
      </w:r>
      <w:r>
        <w:t xml:space="preserve"> </w:t>
      </w:r>
      <w:r>
        <w:t xml:space="preserve">全球自建及管理逾</w:t>
      </w:r>
      <w:r>
        <w:t xml:space="preserve"> </w:t>
      </w:r>
      <w:r>
        <w:rPr>
          <w:bCs/>
          <w:b/>
        </w:rPr>
        <w:t xml:space="preserve">70 万㎡</w:t>
      </w:r>
      <w:r>
        <w:t xml:space="preserve"> </w:t>
      </w:r>
      <w:r>
        <w:t xml:space="preserve">专业化学品仓；毛利率从高位回落 4.91pct，成本侧可见仓储租赁成本变动与新仓爬坡/折旧压力。公司称切换半导体危化仓“无需大规模改造”——调研称 70 万方中约 10% 即可服务半导体，挑战在精细化服务而非土建。[2025年报][调研纪要][2026业绩说明会]</w:t>
      </w:r>
    </w:p>
    <w:p>
      <w:pPr>
        <w:pStyle w:val="BodyText"/>
      </w:pPr>
      <w:r>
        <w:rPr>
          <w:bCs/>
          <w:b/>
        </w:rPr>
        <w:t xml:space="preserve">F4 MRT：</w:t>
      </w:r>
      <w:r>
        <w:t xml:space="preserve"> </w:t>
      </w:r>
      <w:r>
        <w:t xml:space="preserve">自购+外协运力，同城/城际/干线三级网；与合同物流大客户捆绑是粘性来源，毛利率约 10% 属网络配送经济。[2025年报]</w:t>
      </w:r>
    </w:p>
    <w:p>
      <w:pPr>
        <w:pStyle w:val="BodyText"/>
      </w:pPr>
      <w:r>
        <w:rPr>
          <w:bCs/>
          <w:b/>
        </w:rPr>
        <w:t xml:space="preserve">F5 MCD：</w:t>
      </w:r>
      <w:r>
        <w:t xml:space="preserve"> </w:t>
      </w:r>
      <w:r>
        <w:t xml:space="preserve">直销+撮合；毛利率 7–8%，远低于 Brenntag Specialties 毛利结构。2025 末预付 69.27 亿/合同负债 57.86 亿 → 2026H1 预付 9.31 亿/合同负债 1.30 亿：评级报告指大额预付对应</w:t>
      </w:r>
      <w:r>
        <w:t xml:space="preserve"> </w:t>
      </w:r>
      <w:r>
        <w:rPr>
          <w:bCs/>
          <w:b/>
        </w:rPr>
        <w:t xml:space="preserve">国内芯片行业头部客户订单、不具备可持续性</w:t>
      </w:r>
      <w:r>
        <w:t xml:space="preserve">。故视为</w:t>
      </w:r>
      <w:r>
        <w:t xml:space="preserve"> </w:t>
      </w:r>
      <w:r>
        <w:rPr>
          <w:bCs/>
          <w:b/>
        </w:rPr>
        <w:t xml:space="preserve">一次性大项目履约</w:t>
      </w:r>
      <w:r>
        <w:t xml:space="preserve">，不是“质量永久恶化”，但也不是可复制的经常性增长引擎。[2025年报][2026中报][雪球评级PDF][界面财说]</w:t>
      </w:r>
    </w:p>
    <w:p>
      <w:pPr>
        <w:pStyle w:val="BodyText"/>
      </w:pPr>
      <w:r>
        <w:rPr>
          <w:bCs/>
          <w:b/>
        </w:rPr>
        <w:t xml:space="preserve">F6 半导体切片：</w:t>
      </w:r>
      <w:r>
        <w:t xml:space="preserve"> </w:t>
      </w:r>
      <w:r>
        <w:t xml:space="preserve">非法定分部。H1 用“新能源+芯片半导体相关客户”口径：收入占比 21%/毛利 29%。调研另称</w:t>
      </w:r>
      <w:r>
        <w:t xml:space="preserve"> </w:t>
      </w:r>
      <w:r>
        <w:rPr>
          <w:bCs/>
          <w:b/>
        </w:rPr>
        <w:t xml:space="preserve">纯芯片半导体收入占比约 6%</w:t>
      </w:r>
      <w:r>
        <w:t xml:space="preserve">，目标年底 9–10%。货种含靶材、有机硅、涂料、强酸强碱、特气路径、废酸资源化。与海晨差异：海晨偏 AMHS/厂内自动化装备；密尔克卫偏危化资质驱动的厂外供应链与仓配。[2026中报][调研纪要][Web:海晨年报/半导体物流报告]</w:t>
      </w:r>
    </w:p>
    <w:bookmarkEnd w:id="28"/>
    <w:bookmarkStart w:id="29" w:name="所以对仓位意味着什么-1"/>
    <w:p>
      <w:pPr>
        <w:pStyle w:val="Heading3"/>
      </w:pPr>
      <w:r>
        <w:t xml:space="preserve">2.5 所以对仓位意味着什么</w:t>
      </w:r>
    </w:p>
    <w:p>
      <w:pPr>
        <w:pStyle w:val="FirstParagraph"/>
      </w:pPr>
      <w:r>
        <w:t xml:space="preserve">持仓应跟踪</w:t>
      </w:r>
      <w:r>
        <w:t xml:space="preserve"> </w:t>
      </w:r>
      <w:r>
        <w:rPr>
          <w:bCs/>
          <w:b/>
        </w:rPr>
        <w:t xml:space="preserve">MCL 增速与半导体客户毛利贡献</w:t>
      </w:r>
      <w:r>
        <w:t xml:space="preserve">，而非总收入（总收入会被 MCD 规模稀释观感）。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第-3-章护城河与竞争格局"/>
    <w:p>
      <w:pPr>
        <w:pStyle w:val="Heading2"/>
      </w:pPr>
      <w:r>
        <w:t xml:space="preserve">第 3 章｜护城河与竞争格局</w:t>
      </w:r>
    </w:p>
    <w:p>
      <w:pPr>
        <w:pStyle w:val="FirstParagraph"/>
      </w:pPr>
      <w:r>
        <w:t xml:space="preserve">（skills:</w:t>
      </w:r>
      <w:r>
        <w:t xml:space="preserve"> </w:t>
      </w:r>
      <w:r>
        <w:rPr>
          <w:bCs/>
          <w:b/>
        </w:rPr>
        <w:t xml:space="preserve">moat_strength_review_skill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china-competitive-analysis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peer_comparison_decision_skill</w:t>
      </w:r>
      <w:r>
        <w:t xml:space="preserve">）</w:t>
      </w:r>
    </w:p>
    <w:bookmarkStart w:id="31" w:name="护城河打分15"/>
    <w:p>
      <w:pPr>
        <w:pStyle w:val="Heading3"/>
      </w:pPr>
      <w:r>
        <w:t xml:space="preserve">3.1 护城河打分（1–5）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436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可复制性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监管与资质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危化运输/仓储牌照；参与国标修订；副会长单位表述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低（牌照+时间）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网络密度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仓&gt;70 万㎡；罐箱&gt;7500；三级公路网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中（资本可堆，整合难）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安全与品牌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重大事故公开检索未见颠覆性事件；安全文化是定价权前提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中高（事故可一票否决）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客户嵌入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合同物流/厂内/VMI；头部化工+半导体名单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数据与 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MCP/TMS/FMS/GMS/「密问」；提效证据在费用率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中高（可被模仿）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分销配方/复配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对标 Brenntag specialties 仍早期；毛利率 7–8%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高（差距大）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结论：</w:t>
      </w:r>
      <w:r>
        <w:t xml:space="preserve"> </w:t>
      </w:r>
      <w:r>
        <w:t xml:space="preserve">壁垒主要护的是</w:t>
      </w:r>
      <w:r>
        <w:t xml:space="preserve"> </w:t>
      </w:r>
      <w:r>
        <w:rPr>
          <w:bCs/>
          <w:b/>
        </w:rPr>
        <w:t xml:space="preserve">物流利润与准入</w:t>
      </w:r>
      <w:r>
        <w:t xml:space="preserve">，对 MCD 收入规模护不住高 ROIC。综合护城河：</w:t>
      </w:r>
      <w:r>
        <w:rPr>
          <w:bCs/>
          <w:b/>
        </w:rPr>
        <w:t xml:space="preserve">适中偏宽（物流）/窄（分销）</w:t>
      </w:r>
      <w:r>
        <w:t xml:space="preserve">。</w:t>
      </w:r>
    </w:p>
    <w:bookmarkEnd w:id="31"/>
    <w:bookmarkStart w:id="32" w:name="a-股可比矩阵t02026-09-03"/>
    <w:p>
      <w:pPr>
        <w:pStyle w:val="Heading3"/>
      </w:pPr>
      <w:r>
        <w:t xml:space="preserve">3.2 A 股可比矩阵（T0=2026-09-03）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848"/>
        <w:gridCol w:w="1131"/>
        <w:gridCol w:w="1131"/>
        <w:gridCol w:w="1131"/>
        <w:gridCol w:w="848"/>
        <w:gridCol w:w="1131"/>
        <w:gridCol w:w="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市值2(亿)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2025收入/净利(亿)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603713.SH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密尔克卫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133.4 / 6.27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危化供应链+分销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002930.SZ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宏川智慧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 / -4.3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危化仓储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603209.SH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兴通股份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 / 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危化航运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001205.SZ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盛航股份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 / 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危化航运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603128.SH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华贸物流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179.6 / 4.88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跨境货代+贸易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601598.SH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中国外运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968 / 40.2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综合物流央企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300873.SZ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海晨股份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 / 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电子精益+AMHS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600794.SH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保税科技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液体危化仓（弱可比）</w:t>
            </w:r>
          </w:p>
        </w:tc>
      </w:tr>
    </w:tbl>
    <w:p>
      <w:pPr>
        <w:pStyle w:val="BodyText"/>
      </w:pPr>
      <w:r>
        <w:t xml:space="preserve">数据：[Wind] 价格与 2025 财务。</w:t>
      </w:r>
    </w:p>
    <w:bookmarkEnd w:id="32"/>
    <w:bookmarkStart w:id="33" w:name="同业比选决策附录-i"/>
    <w:p>
      <w:pPr>
        <w:pStyle w:val="Heading3"/>
      </w:pPr>
      <w:r>
        <w:t xml:space="preserve">3.3 同业比选决策（附录 I）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华贸：</w:t>
      </w:r>
      <w:r>
        <w:t xml:space="preserve"> </w:t>
      </w:r>
      <w:r>
        <w:t xml:space="preserve">危化壁垒值小幅 PE 溢价（16 vs 15），因毛利率与安全准入更高。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外运：</w:t>
      </w:r>
      <w:r>
        <w:t xml:space="preserve"> </w:t>
      </w:r>
      <w:r>
        <w:t xml:space="preserve">民营效率与垂直密度 vs 央企广度；密尔克卫应有成长溢价但规模折价。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兴通/盛航：</w:t>
      </w:r>
      <w:r>
        <w:t xml:space="preserve"> </w:t>
      </w:r>
      <w:r>
        <w:t xml:space="preserve">航运周期暴露更低成立（多式联运+仓配+分销）。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海晨：</w:t>
      </w:r>
      <w:r>
        <w:t xml:space="preserve"> </w:t>
      </w:r>
      <w:r>
        <w:t xml:space="preserve">海晨“更纯”半导体但模式是装备/厂内；密尔克卫是危化切入厂外供应链——</w:t>
      </w:r>
      <w:r>
        <w:rPr>
          <w:bCs/>
          <w:b/>
        </w:rPr>
        <w:t xml:space="preserve">纯≠更优 ROIC</w:t>
      </w:r>
      <w:r>
        <w:t xml:space="preserve">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Brenntag：</w:t>
      </w:r>
      <w:r>
        <w:t xml:space="preserve"> </w:t>
      </w:r>
      <w:r>
        <w:t xml:space="preserve">终局参照，非倍数锚定；Brenntag 已全球化、密尔克卫仍中国密度扩张期。[Web:brenntag][华创]</w:t>
      </w:r>
    </w:p>
    <w:bookmarkEnd w:id="33"/>
    <w:bookmarkStart w:id="34" w:name="海外参照商业模式"/>
    <w:p>
      <w:pPr>
        <w:pStyle w:val="Heading3"/>
      </w:pPr>
      <w:r>
        <w:t xml:space="preserve">3.4 海外参照（商业模式）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Brenntag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全球化学品分销；Essentials/Specialties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物贸平台终局；毛利结构目标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DSV A/S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全球货代+合同物流整合者；2026 前向 PE~20x 量级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合同物流网络参照；</w:t>
            </w:r>
            <w:r>
              <w:rPr>
                <w:bCs/>
                <w:b/>
              </w:rPr>
              <w:t xml:space="preserve">不作 A 股倍数硬套</w:t>
            </w:r>
            <w:r>
              <w:t xml:space="preserve">（币种/整合溢价）[Web:yahoo/stockanalysis]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Kuehne+Nagel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全球货代与合同物流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高端合同物流定价权参照</w:t>
            </w:r>
          </w:p>
        </w:tc>
      </w:tr>
    </w:tbl>
    <w:bookmarkEnd w:id="34"/>
    <w:bookmarkStart w:id="35" w:name="所以对仓位意味着什么-2"/>
    <w:p>
      <w:pPr>
        <w:pStyle w:val="Heading3"/>
      </w:pPr>
      <w:r>
        <w:t xml:space="preserve">3.5 所以对仓位意味着什么</w:t>
      </w:r>
    </w:p>
    <w:p>
      <w:pPr>
        <w:pStyle w:val="FirstParagraph"/>
      </w:pPr>
      <w:r>
        <w:t xml:space="preserve">相对航运危化股，密尔克卫更适合作为</w:t>
      </w:r>
      <w:r>
        <w:t xml:space="preserve"> </w:t>
      </w:r>
      <w:r>
        <w:rPr>
          <w:bCs/>
          <w:b/>
        </w:rPr>
        <w:t xml:space="preserve">平台型</w:t>
      </w:r>
      <w:r>
        <w:t xml:space="preserve"> </w:t>
      </w:r>
      <w:r>
        <w:t xml:space="preserve">持仓；相对海晨，二者可并行但逻辑不要混用。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第-4-章战略与资本配置"/>
    <w:p>
      <w:pPr>
        <w:pStyle w:val="Heading2"/>
      </w:pPr>
      <w:r>
        <w:t xml:space="preserve">第 4 章｜战略与资本配置</w:t>
      </w:r>
    </w:p>
    <w:p>
      <w:pPr>
        <w:pStyle w:val="FirstParagraph"/>
      </w:pPr>
      <w:r>
        <w:t xml:space="preserve">（skill:</w:t>
      </w:r>
      <w:r>
        <w:t xml:space="preserve"> </w:t>
      </w:r>
      <w:r>
        <w:rPr>
          <w:bCs/>
          <w:b/>
        </w:rPr>
        <w:t xml:space="preserve">management_quality_check_skill</w:t>
      </w:r>
      <w:r>
        <w:t xml:space="preserve">）</w:t>
      </w:r>
    </w:p>
    <w:bookmarkStart w:id="37" w:name="战略切换"/>
    <w:p>
      <w:pPr>
        <w:pStyle w:val="Heading3"/>
      </w:pPr>
      <w:r>
        <w:t xml:space="preserve">4.1 战略切换</w:t>
      </w:r>
    </w:p>
    <w:p>
      <w:pPr>
        <w:numPr>
          <w:ilvl w:val="0"/>
          <w:numId w:val="1002"/>
        </w:numPr>
        <w:pStyle w:val="Compact"/>
      </w:pPr>
      <w:r>
        <w:t xml:space="preserve">2025 年报主轴：化工新能源供应链“六五”规划。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2026 中报主轴：</w:t>
      </w:r>
      <w:r>
        <w:rPr>
          <w:bCs/>
          <w:b/>
        </w:rPr>
        <w:t xml:space="preserve">All in AI</w:t>
      </w:r>
      <w:r>
        <w:t xml:space="preserve"> </w:t>
      </w:r>
      <w:r>
        <w:t xml:space="preserve">+ 半导体物流为市占率/业绩新引擎。[2026中报][Wind financial_docs 新闻]</w:t>
      </w:r>
    </w:p>
    <w:p>
      <w:pPr>
        <w:pStyle w:val="FirstParagraph"/>
      </w:pPr>
      <w:r>
        <w:t xml:space="preserve">口径裁决（附录 E）：管理层同时说“半导体未来四年收入规模达到 15% 增速”与“整体 15%、半导体更高”。</w:t>
      </w:r>
      <w:r>
        <w:rPr>
          <w:bCs/>
          <w:b/>
        </w:rPr>
        <w:t xml:space="preserve">本报告采用：</w:t>
      </w:r>
      <w:r>
        <w:t xml:space="preserve"> </w:t>
      </w:r>
      <w:r>
        <w:t xml:space="preserve">公司整体收入中性 CAGR ~13–15%；半导体相关客户收入增速显著高于整体（中性 25–35%）；不把“四年 15%”解读为半导体独吞公司全部增长。</w:t>
      </w:r>
    </w:p>
    <w:bookmarkEnd w:id="37"/>
    <w:bookmarkStart w:id="38" w:name="资本配置"/>
    <w:p>
      <w:pPr>
        <w:pStyle w:val="Heading3"/>
      </w:pPr>
      <w:r>
        <w:t xml:space="preserve">4.2 资本配置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密卫转债 113658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2026-08-12 摘牌；累计转股约 1592 万股；总股本 → 1.7405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稀释落地；负债率压力缓解 [Web:sse/公告][Wind bond]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股权激励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662.82 万份期权，行权价 54.62，对象 93 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现价 61 实值；对齐 ~15% 增长 [Wind]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2026H1 约 181.22 万股 / ~1.01 亿；另有 2025 市值管理回购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信号偏正但规模有限 [Wind]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调研：年 capex 控 5–6 亿；仓/船/半导体仓优先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扩张纪律改善 [调研纪要]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材料申报阶段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期权，非中性假设必达 [2026业绩说明会]</w:t>
            </w:r>
          </w:p>
        </w:tc>
      </w:tr>
    </w:tbl>
    <w:bookmarkEnd w:id="38"/>
    <w:bookmarkStart w:id="39" w:name="管理层体检"/>
    <w:p>
      <w:pPr>
        <w:pStyle w:val="Heading3"/>
      </w:pPr>
      <w:r>
        <w:t xml:space="preserve">4.3 管理层体检</w:t>
      </w:r>
    </w:p>
    <w:p>
      <w:pPr>
        <w:numPr>
          <w:ilvl w:val="0"/>
          <w:numId w:val="1003"/>
        </w:numPr>
        <w:pStyle w:val="Compact"/>
      </w:pPr>
      <w:r>
        <w:t xml:space="preserve">实控人陈银河、李仁莉；Wind 持股约 27%+13.3%（另有演若/演智/演惠合伙）。[Wind holders]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2025 年曾披露减持计划，陈/李提前终止且未减持；君联茂林完成减持退出。[界面财说]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2024 激励因增速目标过高终止；2026 激励下修至更现实的 15% 带——</w:t>
      </w:r>
      <w:r>
        <w:rPr>
          <w:bCs/>
          <w:b/>
        </w:rPr>
        <w:t xml:space="preserve">治理上更诚实，也暴露高增长承诺难度</w:t>
      </w:r>
      <w:r>
        <w:t xml:space="preserve">。[界面财说][Wind]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安全：公开重大恶性事故未见；但危化行业尾部风险永久存在（H8）。</w:t>
      </w:r>
    </w:p>
    <w:bookmarkEnd w:id="39"/>
    <w:bookmarkStart w:id="40" w:name="所以对仓位意味着什么-3"/>
    <w:p>
      <w:pPr>
        <w:pStyle w:val="Heading3"/>
      </w:pPr>
      <w:r>
        <w:t xml:space="preserve">4.4 所以对仓位意味着什么</w:t>
      </w:r>
    </w:p>
    <w:p>
      <w:pPr>
        <w:pStyle w:val="FirstParagraph"/>
      </w:pPr>
      <w:r>
        <w:t xml:space="preserve">激励实值 + 转债落地降低“再稀释意外”；但仍要把</w:t>
      </w:r>
      <w:r>
        <w:t xml:space="preserve"> </w:t>
      </w:r>
      <w:r>
        <w:rPr>
          <w:bCs/>
          <w:b/>
        </w:rPr>
        <w:t xml:space="preserve">15% 视为考核锚而非无风险承诺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第-5-章深度财务体检"/>
    <w:p>
      <w:pPr>
        <w:pStyle w:val="Heading2"/>
      </w:pPr>
      <w:r>
        <w:t xml:space="preserve">第 5 章｜深度财务体检</w:t>
      </w:r>
    </w:p>
    <w:p>
      <w:pPr>
        <w:pStyle w:val="FirstParagraph"/>
      </w:pPr>
      <w:r>
        <w:t xml:space="preserve">（skills:</w:t>
      </w:r>
      <w:r>
        <w:t xml:space="preserve"> </w:t>
      </w:r>
      <w:r>
        <w:rPr>
          <w:bCs/>
          <w:b/>
        </w:rPr>
        <w:t xml:space="preserve">earnings-analysis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china-earnings-analysis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growth_quality_check_skill</w:t>
      </w:r>
      <w:r>
        <w:t xml:space="preserve">）</w:t>
      </w:r>
    </w:p>
    <w:bookmarkStart w:id="42" w:name="长周期趋势亿元"/>
    <w:p>
      <w:pPr>
        <w:pStyle w:val="Heading3"/>
      </w:pPr>
      <w:r>
        <w:t xml:space="preserve">5.1 长周期趋势（亿元）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收入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归母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毛利率%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净利率%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ROE%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资产负债率%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133.35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74.47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7.52</w:t>
            </w:r>
          </w:p>
        </w:tc>
      </w:tr>
    </w:tbl>
    <w:p>
      <w:pPr>
        <w:pStyle w:val="BodyText"/>
      </w:pPr>
      <w:r>
        <w:t xml:space="preserve">[Wind]</w:t>
      </w:r>
    </w:p>
    <w:p>
      <w:pPr>
        <w:pStyle w:val="BodyText"/>
      </w:pPr>
      <w:r>
        <w:t xml:space="preserve">解读：2021 起收入台阶=并购+贸易放大；ROE 从高位回落；2025 杠杆升至 74% 与大额预收/预付相关；2026H1 缩表后负债率回落至</w:t>
      </w:r>
      <w:r>
        <w:t xml:space="preserve"> </w:t>
      </w:r>
      <w:r>
        <w:rPr>
          <w:bCs/>
          <w:b/>
        </w:rPr>
        <w:t xml:space="preserve">65.19%</w:t>
      </w:r>
      <w:r>
        <w:t xml:space="preserve">。[2026中报]</w:t>
      </w:r>
    </w:p>
    <w:bookmarkEnd w:id="42"/>
    <w:bookmarkStart w:id="43" w:name="h1-损益桥"/>
    <w:p>
      <w:pPr>
        <w:pStyle w:val="Heading3"/>
      </w:pPr>
      <w:r>
        <w:t xml:space="preserve">5.2 2026H1 损益桥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科目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79.70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货量提升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增速&lt;收入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扣非净利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11.46%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成本增速&gt;收入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汇兑损失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3258.89 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同比大增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扣汇兑后归母约 +17.6% [华创]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研发费用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 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-27.52%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All in AI 叙事张力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2.01 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-83.8%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上年预收大项目</w:t>
            </w:r>
          </w:p>
        </w:tc>
      </w:tr>
    </w:tbl>
    <w:p>
      <w:pPr>
        <w:pStyle w:val="BodyText"/>
      </w:pPr>
      <w:r>
        <w:t xml:space="preserve">[2026中报][华创20260814]</w:t>
      </w:r>
    </w:p>
    <w:bookmarkEnd w:id="43"/>
    <w:bookmarkStart w:id="44" w:name="营运资本脉冲附录-h"/>
    <w:p>
      <w:pPr>
        <w:pStyle w:val="Heading3"/>
      </w:pPr>
      <w:r>
        <w:t xml:space="preserve">5.3 营运资本脉冲（附录 H）</w:t>
      </w:r>
    </w:p>
    <w:p>
      <w:pPr>
        <w:pStyle w:val="SourceCode"/>
      </w:pPr>
      <w:r>
        <w:rPr>
          <w:rStyle w:val="VerbatimChar"/>
        </w:rPr>
        <w:t xml:space="preserve">2025末 → 2026H1末：</w:t>
      </w:r>
      <w:r>
        <w:br/>
      </w:r>
      <w:r>
        <w:rPr>
          <w:rStyle w:val="VerbatimChar"/>
        </w:rPr>
        <w:t xml:space="preserve">合同负债：57.86 → 1.30 亿（-56.6 亿量级）</w:t>
      </w:r>
      <w:r>
        <w:br/>
      </w:r>
      <w:r>
        <w:rPr>
          <w:rStyle w:val="VerbatimChar"/>
        </w:rPr>
        <w:t xml:space="preserve">预付款项：69.27 → 9.31 亿（-60.0 亿量级）</w:t>
      </w:r>
      <w:r>
        <w:br/>
      </w:r>
      <w:r>
        <w:rPr>
          <w:rStyle w:val="VerbatimChar"/>
        </w:rPr>
        <w:t xml:space="preserve">总资产：207.8 → 157.6 亿（缩表）</w:t>
      </w:r>
    </w:p>
    <w:p>
      <w:pPr>
        <w:pStyle w:val="FirstParagraph"/>
      </w:pPr>
      <w:r>
        <w:t xml:space="preserve">数学影响：上年预收推高 OCF，本年履约确认使 OCF 同比断崖；</w:t>
      </w:r>
      <w:r>
        <w:rPr>
          <w:bCs/>
          <w:b/>
        </w:rPr>
        <w:t xml:space="preserve">同时预付释放改善现金</w:t>
      </w:r>
      <w:r>
        <w:t xml:space="preserve">，但报表呈现“增收不增现”。管理层：剔除预付因素后全年指标可达并超过净利润。[2026业绩说明会]</w:t>
      </w:r>
    </w:p>
    <w:p>
      <w:pPr>
        <w:pStyle w:val="BodyText"/>
      </w:pPr>
      <w:r>
        <w:t xml:space="preserve">质量判断（growth_quality_check）：</w:t>
      </w:r>
      <w:r>
        <w:t xml:space="preserve"> </w:t>
      </w:r>
      <w:r>
        <w:t xml:space="preserve">- 收入增速 vs 应收：H1 末应收</w:t>
      </w:r>
      <w:r>
        <w:t xml:space="preserve"> </w:t>
      </w:r>
      <w:r>
        <w:rPr>
          <w:bCs/>
          <w:b/>
        </w:rPr>
        <w:t xml:space="preserve">43.88 亿</w:t>
      </w:r>
      <w:r>
        <w:t xml:space="preserve">（vs 2025 末 37.55 亿）仍高位，信用风险是真约束。[Wind]</w:t>
      </w:r>
      <w:r>
        <w:t xml:space="preserve"> </w:t>
      </w:r>
      <w:r>
        <w:t xml:space="preserve">- FCF vs 净利：2025 FCFF 转正（Phase1/华创口径），但 WC 噪声大，</w:t>
      </w:r>
      <w:r>
        <w:rPr>
          <w:bCs/>
          <w:b/>
        </w:rPr>
        <w:t xml:space="preserve">不宜用单季 FCF 证伪长期</w:t>
      </w:r>
      <w:r>
        <w:t xml:space="preserve">。</w:t>
      </w:r>
      <w:r>
        <w:t xml:space="preserve"> </w:t>
      </w:r>
      <w:r>
        <w:t xml:space="preserve">- 常态化 OCF/净利：中性假设 ≥0.8（H4），需 2026 全年验证。</w:t>
      </w:r>
    </w:p>
    <w:bookmarkEnd w:id="44"/>
    <w:bookmarkStart w:id="45" w:name="杠杆商誉体检清单"/>
    <w:p>
      <w:pPr>
        <w:pStyle w:val="Heading3"/>
      </w:pPr>
      <w:r>
        <w:t xml:space="preserve">5.4 杠杆、商誉、体检清单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体检项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盈利质量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扣非增速慢于收入；扣汇兑后更好；现金含量受 WC 脉冲干扰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杠杆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有息负债 H1 ~63.8 亿；短借 37.1 亿 vs 货币资金 16.0 亿；需滚动融资 [Wind]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14.73 亿，约 31 家标的；占净资产仍高；已计减值准备约 0.58 亿历史累计 [界面][中报]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营运资本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贸易模式可“吃现金”也可“吐现金”；大项目不可外推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仓/运力/IT/海外；调研称更审慎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激励重启更现实；实控人减持计划终止偏中性正面</w:t>
            </w:r>
          </w:p>
        </w:tc>
      </w:tr>
    </w:tbl>
    <w:bookmarkEnd w:id="45"/>
    <w:bookmarkStart w:id="46" w:name="所以对仓位意味着什么-4"/>
    <w:p>
      <w:pPr>
        <w:pStyle w:val="Heading3"/>
      </w:pPr>
      <w:r>
        <w:t xml:space="preserve">5.5 所以对仓位意味着什么</w:t>
      </w:r>
    </w:p>
    <w:p>
      <w:pPr>
        <w:pStyle w:val="FirstParagraph"/>
      </w:pPr>
      <w:r>
        <w:t xml:space="preserve">财务质量不是“造假级红旗”，而是</w:t>
      </w:r>
      <w:r>
        <w:t xml:space="preserve"> </w:t>
      </w:r>
      <w:r>
        <w:rPr>
          <w:bCs/>
          <w:b/>
        </w:rPr>
        <w:t xml:space="preserve">商业模式内生的脉冲</w:t>
      </w:r>
      <w:r>
        <w:t xml:space="preserve">；仓位管理应用</w:t>
      </w:r>
      <w:r>
        <w:t xml:space="preserve"> </w:t>
      </w:r>
      <w:r>
        <w:rPr>
          <w:bCs/>
          <w:b/>
        </w:rPr>
        <w:t xml:space="preserve">滚动 OCF 与应收</w:t>
      </w:r>
      <w:r>
        <w:t xml:space="preserve"> </w:t>
      </w:r>
      <w:r>
        <w:t xml:space="preserve">做硬止损条件。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第-6-章行业特点趋势与公司位势"/>
    <w:p>
      <w:pPr>
        <w:pStyle w:val="Heading2"/>
      </w:pPr>
      <w:r>
        <w:t xml:space="preserve">第 6 章｜行业特点、趋势与公司位势</w:t>
      </w:r>
    </w:p>
    <w:bookmarkStart w:id="48" w:name="危化物流"/>
    <w:p>
      <w:pPr>
        <w:pStyle w:val="Heading3"/>
      </w:pPr>
      <w:r>
        <w:t xml:space="preserve">6.1 危化物流</w:t>
      </w:r>
    </w:p>
    <w:p>
      <w:pPr>
        <w:numPr>
          <w:ilvl w:val="0"/>
          <w:numId w:val="1004"/>
        </w:numPr>
        <w:pStyle w:val="Compact"/>
      </w:pPr>
      <w:r>
        <w:t xml:space="preserve">规模：2025E 约</w:t>
      </w:r>
      <w:r>
        <w:t xml:space="preserve"> </w:t>
      </w:r>
      <w:r>
        <w:rPr>
          <w:bCs/>
          <w:b/>
        </w:rPr>
        <w:t xml:space="preserve">2.26 万亿</w:t>
      </w:r>
      <w:r>
        <w:t xml:space="preserve">（中物联/华创口径）。[华创20260524]</w:t>
      </w:r>
    </w:p>
    <w:p>
      <w:pPr>
        <w:numPr>
          <w:ilvl w:val="0"/>
          <w:numId w:val="1004"/>
        </w:numPr>
        <w:pStyle w:val="Compact"/>
      </w:pPr>
      <w:r>
        <w:t xml:space="preserve">格局：小散弱；上市公司份额小数点后；密尔克卫约</w:t>
      </w:r>
      <w:r>
        <w:t xml:space="preserve"> </w:t>
      </w:r>
      <w:r>
        <w:rPr>
          <w:bCs/>
          <w:b/>
        </w:rPr>
        <w:t xml:space="preserve">0.59%</w:t>
      </w:r>
      <w:r>
        <w:t xml:space="preserve">。[华创]</w:t>
      </w:r>
    </w:p>
    <w:p>
      <w:pPr>
        <w:numPr>
          <w:ilvl w:val="0"/>
          <w:numId w:val="1004"/>
        </w:numPr>
        <w:pStyle w:val="Compact"/>
      </w:pPr>
      <w:r>
        <w:t xml:space="preserve">驱动：强监管、园区化、合规成本抬升 → 头部网络溢价。</w:t>
      </w:r>
    </w:p>
    <w:bookmarkEnd w:id="48"/>
    <w:bookmarkStart w:id="49" w:name="半导体物流空间敏感性大"/>
    <w:p>
      <w:pPr>
        <w:pStyle w:val="Heading3"/>
      </w:pPr>
      <w:r>
        <w:t xml:space="preserve">6.2 半导体物流空间（敏感性大）</w:t>
      </w:r>
    </w:p>
    <w:p>
      <w:pPr>
        <w:pStyle w:val="FirstParagraph"/>
      </w:pPr>
      <w:r>
        <w:t xml:space="preserve">华创框架：中国芯片市场 × 物流费率 5–10% →</w:t>
      </w:r>
      <w:r>
        <w:t xml:space="preserve"> </w:t>
      </w:r>
      <w:r>
        <w:rPr>
          <w:bCs/>
          <w:b/>
        </w:rPr>
        <w:t xml:space="preserve">900–1800 亿</w:t>
      </w:r>
      <w:r>
        <w:t xml:space="preserve"> </w:t>
      </w:r>
      <w:r>
        <w:t xml:space="preserve">量级。必须强调：费率与口径带宽极大，仅作天花板感知，不作精确 TAM。[申万20260702][华创半导体物流框架]</w:t>
      </w:r>
    </w:p>
    <w:p>
      <w:pPr>
        <w:pStyle w:val="BodyText"/>
      </w:pPr>
      <w:r>
        <w:t xml:space="preserve">公司自称半导体物流市占</w:t>
      </w:r>
      <w:r>
        <w:t xml:space="preserve"> </w:t>
      </w:r>
      <w:r>
        <w:rPr>
          <w:bCs/>
          <w:b/>
        </w:rPr>
        <w:t xml:space="preserve">&lt;2%</w:t>
      </w:r>
      <w:r>
        <w:t xml:space="preserve">，长期目标</w:t>
      </w:r>
      <w:r>
        <w:t xml:space="preserve"> </w:t>
      </w:r>
      <w:r>
        <w:rPr>
          <w:bCs/>
          <w:b/>
        </w:rPr>
        <w:t xml:space="preserve">&gt;5%</w:t>
      </w:r>
      <w:r>
        <w:t xml:space="preserve">。[2026业绩说明会]</w:t>
      </w:r>
    </w:p>
    <w:bookmarkEnd w:id="49"/>
    <w:bookmarkStart w:id="50" w:name="公司位势"/>
    <w:p>
      <w:pPr>
        <w:pStyle w:val="Heading3"/>
      </w:pPr>
      <w:r>
        <w:t xml:space="preserve">6.3 公司位势</w:t>
      </w:r>
    </w:p>
    <w:p>
      <w:pPr>
        <w:pStyle w:val="FirstParagraph"/>
      </w:pPr>
      <w:r>
        <w:t xml:space="preserve">在危化综合供应链（仓+运+货代+分销）上市公司中，密尔克卫是少数具备</w:t>
      </w:r>
      <w:r>
        <w:t xml:space="preserve"> </w:t>
      </w:r>
      <w:r>
        <w:rPr>
          <w:bCs/>
          <w:b/>
        </w:rPr>
        <w:t xml:space="preserve">全国网络+物贸一体+向高价值客户迁移</w:t>
      </w:r>
      <w:r>
        <w:t xml:space="preserve"> </w:t>
      </w:r>
      <w:r>
        <w:t xml:space="preserve">的标的；纯航运或纯仓储同业无法一比一替代其平台位势。</w:t>
      </w:r>
    </w:p>
    <w:bookmarkEnd w:id="50"/>
    <w:bookmarkStart w:id="51" w:name="所以对仓位意味着什么-5"/>
    <w:p>
      <w:pPr>
        <w:pStyle w:val="Heading3"/>
      </w:pPr>
      <w:r>
        <w:t xml:space="preserve">6.4 所以对仓位意味着什么</w:t>
      </w:r>
    </w:p>
    <w:p>
      <w:pPr>
        <w:pStyle w:val="FirstParagraph"/>
      </w:pPr>
      <w:r>
        <w:t xml:space="preserve">行业 β 有限（危化物流总量个位数增），α 来自</w:t>
      </w:r>
      <w:r>
        <w:t xml:space="preserve"> </w:t>
      </w:r>
      <w:r>
        <w:rPr>
          <w:bCs/>
          <w:b/>
        </w:rPr>
        <w:t xml:space="preserve">份额+结构</w:t>
      </w:r>
      <w:r>
        <w:t xml:space="preserve">；仓位应交易 α 而非行业总量故事。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第-7-章分业务前景-20262028"/>
    <w:p>
      <w:pPr>
        <w:pStyle w:val="Heading2"/>
      </w:pPr>
      <w:r>
        <w:t xml:space="preserve">第 7 章｜分业务前景 2026–2028</w:t>
      </w:r>
    </w:p>
    <w:bookmarkStart w:id="53" w:name="驱动假设"/>
    <w:p>
      <w:pPr>
        <w:pStyle w:val="Heading3"/>
      </w:pPr>
      <w:r>
        <w:t xml:space="preserve">7.1 驱动假设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危化物流量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集中度加速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稳增~行业+份额小升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需求弱+价格战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合同物流/半导体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高价值占比快速提升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21%→~28%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订单慢、毛利打薄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复配提升毛利率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规模增、毛利率 7–8%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贸易敞口/WC 恶化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费用/汇兑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提效+汇兑中性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费用率稳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汇兑+融资成本升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股本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激励稀释可控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含已知激励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再融资/更大激励</w:t>
            </w:r>
          </w:p>
        </w:tc>
      </w:tr>
    </w:tbl>
    <w:bookmarkEnd w:id="53"/>
    <w:bookmarkStart w:id="54" w:name="中性路径素描"/>
    <w:p>
      <w:pPr>
        <w:pStyle w:val="Heading3"/>
      </w:pPr>
      <w:r>
        <w:t xml:space="preserve">7.2 中性路径素描</w:t>
      </w:r>
    </w:p>
    <w:p>
      <w:pPr>
        <w:numPr>
          <w:ilvl w:val="0"/>
          <w:numId w:val="1005"/>
        </w:numPr>
        <w:pStyle w:val="Compact"/>
      </w:pPr>
      <w:r>
        <w:t xml:space="preserve">MGL：中个位数到低双位数增长，毛利率 12–13%。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MCL：2026–27 仍高增（15–25%），之后回归；毛利率 15–17%。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MCD：收入随化工价格与项目波动，毛利率难超 8.5%（中性）。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半导体客户切片：收入占比中性 2028 ≥28%（含新能源口径）或纯半导体高个位数到双位数占比。</w:t>
      </w:r>
    </w:p>
    <w:bookmarkEnd w:id="54"/>
    <w:bookmarkStart w:id="55" w:name="单位经济china-unit-economics"/>
    <w:p>
      <w:pPr>
        <w:pStyle w:val="Heading3"/>
      </w:pPr>
      <w:r>
        <w:t xml:space="preserve">7.3 单位经济（china-unit-economics）</w:t>
      </w:r>
    </w:p>
    <w:p>
      <w:pPr>
        <w:pStyle w:val="FirstParagraph"/>
      </w:pPr>
      <w:r>
        <w:t xml:space="preserve">公开数据不足以精确估算单箱贡献/仓坪效。待调研清单：罐箱利用率、危化仓出租率、单客钱包份额、半导体仓改造真实成本。</w:t>
      </w:r>
      <w:r>
        <w:rPr>
          <w:bCs/>
          <w:b/>
        </w:rPr>
        <w:t xml:space="preserve">拒绝编造。</w:t>
      </w:r>
    </w:p>
    <w:bookmarkEnd w:id="55"/>
    <w:bookmarkStart w:id="56" w:name="所以对仓位意味着什么-6"/>
    <w:p>
      <w:pPr>
        <w:pStyle w:val="Heading3"/>
      </w:pPr>
      <w:r>
        <w:t xml:space="preserve">7.4 所以对仓位意味着什么</w:t>
      </w:r>
    </w:p>
    <w:p>
      <w:pPr>
        <w:pStyle w:val="FirstParagraph"/>
      </w:pPr>
      <w:r>
        <w:t xml:space="preserve">前景差来自</w:t>
      </w:r>
      <w:r>
        <w:t xml:space="preserve"> </w:t>
      </w:r>
      <w:r>
        <w:rPr>
          <w:bCs/>
          <w:b/>
        </w:rPr>
        <w:t xml:space="preserve">MCL/半导体</w:t>
      </w:r>
      <w:r>
        <w:t xml:space="preserve">，不是 MCD 规模；模型权重应向毛利而非收入倾斜。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7" w:name="第-8-章市场预期差核心"/>
    <w:p>
      <w:pPr>
        <w:pStyle w:val="Heading2"/>
      </w:pPr>
      <w:r>
        <w:t xml:space="preserve">第 8 章｜市场预期差（核心）</w:t>
      </w:r>
    </w:p>
    <w:p>
      <w:pPr>
        <w:pStyle w:val="FirstParagraph"/>
      </w:pPr>
      <w:r>
        <w:t xml:space="preserve">（skills:</w:t>
      </w:r>
      <w:r>
        <w:t xml:space="preserve"> </w:t>
      </w:r>
      <w:r>
        <w:rPr>
          <w:bCs/>
          <w:b/>
        </w:rPr>
        <w:t xml:space="preserve">bull_bear_case_builder_skill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equity-investment-thesis</w:t>
      </w:r>
      <w:r>
        <w:t xml:space="preserve">）</w:t>
      </w:r>
    </w:p>
    <w:bookmarkStart w:id="63" w:name="五层预期对比"/>
    <w:p>
      <w:pPr>
        <w:pStyle w:val="Heading3"/>
      </w:pPr>
      <w:r>
        <w:t xml:space="preserve">8.1 五层预期对比</w:t>
      </w:r>
    </w:p>
    <w:bookmarkStart w:id="58" w:name="层1卖方一致预期"/>
    <w:p>
      <w:pPr>
        <w:pStyle w:val="Heading4"/>
      </w:pPr>
      <w:r>
        <w:t xml:space="preserve">层1｜卖方一致预期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2026–28E 归母(亿)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华创 2026-05 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 / 10.0 / 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目标价 76.6（旧价</w:t>
            </w:r>
            <w:r>
              <w:rPr>
                <w:vertAlign w:val="subscript"/>
              </w:rPr>
              <w:t xml:space="preserve">51.7、旧股本</w:t>
            </w:r>
            <w:r>
              <w:t xml:space="preserve">1.58 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华创 2026-08 中报后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/ 8.9 / 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目标价 86.5（转债后口径）[Wind新闻]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西南 2026-08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 / 8.2 / 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 16/14/12；措辞“建议关注”（本报告不用）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预期差：</w:t>
      </w:r>
      <w:r>
        <w:t xml:space="preserve"> </w:t>
      </w:r>
      <w:r>
        <w:t xml:space="preserve">华创从激进下修到接近西南；市场若仍锚定 5 月 11.9 亿 28E，则偏乐观。</w:t>
      </w:r>
    </w:p>
    <w:bookmarkEnd w:id="58"/>
    <w:bookmarkStart w:id="59" w:name="层2公司指引"/>
    <w:p>
      <w:pPr>
        <w:pStyle w:val="Heading4"/>
      </w:pPr>
      <w:r>
        <w:t xml:space="preserve">层2｜公司指引</w:t>
      </w:r>
    </w:p>
    <w:p>
      <w:pPr>
        <w:pStyle w:val="FirstParagraph"/>
      </w:pPr>
      <w:r>
        <w:t xml:space="preserve">整体 ~15%；半导体更高；市占 &lt;2%→5%。[2026业绩说明会]</w:t>
      </w:r>
    </w:p>
    <w:bookmarkEnd w:id="59"/>
    <w:bookmarkStart w:id="60" w:name="层3市场机制"/>
    <w:p>
      <w:pPr>
        <w:pStyle w:val="Heading4"/>
      </w:pPr>
      <w:r>
        <w:t xml:space="preserve">层3｜市场机制</w:t>
      </w:r>
    </w:p>
    <w:p>
      <w:pPr>
        <w:pStyle w:val="FirstParagraph"/>
      </w:pPr>
      <w:r>
        <w:t xml:space="preserve">转债后股本 +约 10% 量级稀释已反映在 1.74 亿股；现价 61、PE_TTM 16.2——一年市值分位偏高但绝对估值不贵。[Wind]</w:t>
      </w:r>
    </w:p>
    <w:bookmarkEnd w:id="60"/>
    <w:bookmarkStart w:id="61" w:name="层4质量怀疑层"/>
    <w:p>
      <w:pPr>
        <w:pStyle w:val="Heading4"/>
      </w:pPr>
      <w:r>
        <w:t xml:space="preserve">层4｜质量怀疑层</w:t>
      </w:r>
    </w:p>
    <w:p>
      <w:pPr>
        <w:pStyle w:val="FirstParagraph"/>
      </w:pPr>
      <w:r>
        <w:t xml:space="preserve">界面/空头聚焦预付+合同负债、商誉、应收倍数。[界面财说][iFind]</w:t>
      </w:r>
      <w:r>
        <w:br/>
      </w:r>
      <w:r>
        <w:rPr>
          <w:bCs/>
          <w:b/>
        </w:rPr>
        <w:t xml:space="preserve">我们的裁决：</w:t>
      </w:r>
      <w:r>
        <w:t xml:space="preserve"> </w:t>
      </w:r>
      <w:r>
        <w:t xml:space="preserve">脉冲主因一次性大项目（芯片头部客户），2026H1 已履约缩表；</w:t>
      </w:r>
      <w:r>
        <w:rPr>
          <w:bCs/>
          <w:b/>
        </w:rPr>
        <w:t xml:space="preserve">空头正确指出模式脆弱性，但把已完成缩表继续当作“正在恶化”是误读</w:t>
      </w:r>
      <w:r>
        <w:t xml:space="preserve">（附录 M：恶化故事未完全成立）。</w:t>
      </w:r>
    </w:p>
    <w:bookmarkEnd w:id="61"/>
    <w:bookmarkStart w:id="62" w:name="层5叙事层"/>
    <w:p>
      <w:pPr>
        <w:pStyle w:val="Heading4"/>
      </w:pPr>
      <w:r>
        <w:t xml:space="preserve">层5｜叙事层</w:t>
      </w:r>
    </w:p>
    <w:p>
      <w:pPr>
        <w:pStyle w:val="FirstParagraph"/>
      </w:pPr>
      <w:r>
        <w:t xml:space="preserve">市场摇摆于“AI/半导体物流成长股” vs</w:t>
      </w:r>
      <w:r>
        <w:t xml:space="preserve"> </w:t>
      </w:r>
      <w:r>
        <w:t xml:space="preserve">“</w:t>
      </w:r>
      <w:r>
        <w:t xml:space="preserve">危化周期+贸易公司</w:t>
      </w:r>
      <w:r>
        <w:t xml:space="preserve">”</w:t>
      </w:r>
      <w:r>
        <w:t xml:space="preserve">。预期差在</w:t>
      </w:r>
      <w:r>
        <w:t xml:space="preserve"> </w:t>
      </w:r>
      <w:r>
        <w:rPr>
          <w:bCs/>
          <w:b/>
        </w:rPr>
        <w:t xml:space="preserve">分子（利润结构升级速度）</w:t>
      </w:r>
      <w:r>
        <w:t xml:space="preserve">，不在分母利率。</w:t>
      </w:r>
    </w:p>
    <w:bookmarkEnd w:id="62"/>
    <w:bookmarkEnd w:id="63"/>
    <w:bookmarkStart w:id="64" w:name="预期差表"/>
    <w:p>
      <w:pPr>
        <w:pStyle w:val="Heading3"/>
      </w:pPr>
      <w:r>
        <w:t xml:space="preserve">8.2 预期差表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市场定价隐含假设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我们的可证伪假设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28E 净利贴近西南 9.9 或更低，结构难升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 28E</w:t>
            </w:r>
            <w:r>
              <w:t xml:space="preserve"> </w:t>
            </w:r>
            <w:r>
              <w:rPr>
                <w:bCs/>
                <w:b/>
              </w:rPr>
              <w:t xml:space="preserve">10.8</w:t>
            </w:r>
            <w:r>
              <w:t xml:space="preserve">，结构改善带来净利率抬升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半导体相关毛利占比、综合毛利率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叙事值 20x+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H10：2027 前难持续 &gt;25x，除非半导体利润可独立验证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PE_TTM、分部披露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2026–27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 脉冲=质量崩塌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大项目一次性；常态 OCF/NI≥0.8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OCF、合同负债、预付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华创旧目标价 76.6 仍有效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须用新股本重映射；更应看 2028E 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股本、EPS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已发生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海晨估值应传导给密尔克卫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模式不同，不可直接溢价平移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客户重叠、毛利来源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</w:tr>
    </w:tbl>
    <w:bookmarkEnd w:id="64"/>
    <w:bookmarkStart w:id="65" w:name="多空对照bull_bear"/>
    <w:p>
      <w:pPr>
        <w:pStyle w:val="Heading3"/>
      </w:pPr>
      <w:r>
        <w:t xml:space="preserve">8.3 多空对照（bull_bear）</w:t>
      </w:r>
    </w:p>
    <w:p>
      <w:pPr>
        <w:pStyle w:val="FirstParagraph"/>
      </w:pPr>
      <w:r>
        <w:rPr>
          <w:bCs/>
          <w:b/>
        </w:rPr>
        <w:t xml:space="preserve">多头证据强度：</w:t>
      </w:r>
      <w:r>
        <w:t xml:space="preserve"> </w:t>
      </w:r>
      <w:r>
        <w:t xml:space="preserve">MCL 高增与客户结构数据硬；激励/回购/转债行为一致。</w:t>
      </w:r>
      <w:r>
        <w:br/>
      </w:r>
      <w:r>
        <w:rPr>
          <w:bCs/>
          <w:b/>
        </w:rPr>
        <w:t xml:space="preserve">空头证据强度：</w:t>
      </w:r>
      <w:r>
        <w:t xml:space="preserve"> </w:t>
      </w:r>
      <w:r>
        <w:t xml:space="preserve">WC 与商誉数据硬；AI vs 研发费用叙事弱。</w:t>
      </w:r>
      <w:r>
        <w:br/>
      </w:r>
      <w:r>
        <w:rPr>
          <w:bCs/>
          <w:b/>
        </w:rPr>
        <w:t xml:space="preserve">关键分歧变量：</w:t>
      </w:r>
      <w:r>
        <w:t xml:space="preserve"> </w:t>
      </w:r>
      <w:r>
        <w:t xml:space="preserve">2026–28 综合毛利率能否回到 ≥11%，以及半导体切片能否从“客户占比”升级为可审计利润贡献。</w:t>
      </w:r>
    </w:p>
    <w:bookmarkEnd w:id="65"/>
    <w:bookmarkStart w:id="66" w:name="所以对仓位意味着什么-7"/>
    <w:p>
      <w:pPr>
        <w:pStyle w:val="Heading3"/>
      </w:pPr>
      <w:r>
        <w:t xml:space="preserve">8.4 所以对仓位意味着什么</w:t>
      </w:r>
    </w:p>
    <w:p>
      <w:pPr>
        <w:pStyle w:val="FirstParagraph"/>
      </w:pPr>
      <w:r>
        <w:t xml:space="preserve">预期差交易的是</w:t>
      </w:r>
      <w:r>
        <w:t xml:space="preserve"> </w:t>
      </w:r>
      <w:r>
        <w:rPr>
          <w:bCs/>
          <w:b/>
        </w:rPr>
        <w:t xml:space="preserve">结构</w:t>
      </w:r>
      <w:r>
        <w:t xml:space="preserve">，不是主题 ETF；避免在叙事高潮用海晨倍数给密尔克卫定价。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第-9-章三情景业绩预测与自由现金流桥"/>
    <w:p>
      <w:pPr>
        <w:pStyle w:val="Heading2"/>
      </w:pPr>
      <w:r>
        <w:t xml:space="preserve">第 9 章｜三情景业绩预测与自由现金流桥</w:t>
      </w:r>
    </w:p>
    <w:p>
      <w:pPr>
        <w:pStyle w:val="FirstParagraph"/>
      </w:pPr>
      <w:r>
        <w:t xml:space="preserve">（skill:</w:t>
      </w:r>
      <w:r>
        <w:t xml:space="preserve"> </w:t>
      </w:r>
      <w:r>
        <w:rPr>
          <w:bCs/>
          <w:b/>
        </w:rPr>
        <w:t xml:space="preserve">china-3-statement-model</w:t>
      </w:r>
      <w:r>
        <w:t xml:space="preserve">）</w:t>
      </w:r>
    </w:p>
    <w:bookmarkStart w:id="68" w:name="利润表简模亿元"/>
    <w:p>
      <w:pPr>
        <w:pStyle w:val="Heading3"/>
      </w:pPr>
      <w:r>
        <w:t xml:space="preserve">9.1 利润表简模（亿元）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2028E 乐观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2028E 中性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2028E 悲观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13.8%*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4.5%</w:t>
            </w:r>
          </w:p>
        </w:tc>
      </w:tr>
    </w:tbl>
    <w:p>
      <w:pPr>
        <w:pStyle w:val="BodyText"/>
      </w:pPr>
      <w:r>
        <w:t xml:space="preserve">*中性 2026–28 收入 CAGR ≈ 14.0%（落在 H1 带宽 10–18%）。</w:t>
      </w:r>
      <w:r>
        <w:br/>
      </w:r>
      <w:r>
        <w:t xml:space="preserve">中性 28E 净利 10.8 = 介于华创修订 10.3 与原 11.9 之间，高于西南 9.9：理由是 MCL/半导体结构溢价部分兑现，但给予转债股本与汇兑摩擦折扣。</w:t>
      </w:r>
    </w:p>
    <w:bookmarkEnd w:id="68"/>
    <w:bookmarkStart w:id="69" w:name="关键资产负债表现金流桥中性"/>
    <w:p>
      <w:pPr>
        <w:pStyle w:val="Heading3"/>
      </w:pPr>
      <w:r>
        <w:t xml:space="preserve">9.2 关键资产负债表/现金流桥（中性）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经营现金流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Capex（维保+扩张）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 变动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中性小幅占用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稳定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FCFF（约）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1.5–2.5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2.5–3.5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4.0–5.0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资产负债率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≤68%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≤65%</w:t>
            </w:r>
          </w:p>
        </w:tc>
      </w:tr>
    </w:tbl>
    <w:p>
      <w:pPr>
        <w:pStyle w:val="BodyText"/>
      </w:pPr>
      <w:r>
        <w:t xml:space="preserve">2025→2026H1 必须单列：合同负债 -56.6 亿、预付 -60 亿量级对 OCF 的扰动——预测中不再假设同等规模脉冲复发（若复发则触发模型重估）。</w:t>
      </w:r>
    </w:p>
    <w:bookmarkEnd w:id="69"/>
    <w:bookmarkStart w:id="70" w:name="假设登记-h1h10china-thesis-tracker"/>
    <w:p>
      <w:pPr>
        <w:pStyle w:val="Heading3"/>
      </w:pPr>
      <w:r>
        <w:t xml:space="preserve">9.3 假设登记 H1–H10（china-thesis-tracker）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状态(T0)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 CAGR 10–18%，中性 13–15%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半导体/新能源相关收入占比 2028≥28%（乐观≥35%/悲观≤22%）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中报客户结构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 毛利率中性≥11%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常态 OCF/归母≥0.8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OCF、净利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 2026FY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商誉无 &gt;2 亿单次减值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商誉附注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通过（暂）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资产负债率≤68%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65%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激励不出现大规模放弃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激励公告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无重大危化事故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公告/舆情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通过（暂）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汇兑侵蚀税前利润 &lt;15%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财务费用/汇兑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偏紧，跟踪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前难持续 &gt;25x TTM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9" w:name="第-10-章估值与-2028e-市值"/>
    <w:p>
      <w:pPr>
        <w:pStyle w:val="Heading2"/>
      </w:pPr>
      <w:r>
        <w:t xml:space="preserve">第 10 章｜估值与 2028E 市值</w:t>
      </w:r>
    </w:p>
    <w:p>
      <w:pPr>
        <w:pStyle w:val="FirstParagraph"/>
      </w:pPr>
      <w:r>
        <w:t xml:space="preserve">（skills:</w:t>
      </w:r>
      <w:r>
        <w:t xml:space="preserve"> </w:t>
      </w:r>
      <w:r>
        <w:rPr>
          <w:bCs/>
          <w:b/>
        </w:rPr>
        <w:t xml:space="preserve">valuation-pricing-framework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valuation_snapshot_skill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dcf-model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china-dcf-model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china-comps</w:t>
      </w:r>
      <w:r>
        <w:t xml:space="preserve">）</w:t>
      </w:r>
    </w:p>
    <w:bookmarkStart w:id="72" w:name="为何主法是-2028e-ni-退出-pe"/>
    <w:p>
      <w:pPr>
        <w:pStyle w:val="Heading3"/>
      </w:pPr>
      <w:r>
        <w:t xml:space="preserve">10.1 为何主法是 2028E NI × 退出 PE</w:t>
      </w:r>
    </w:p>
    <w:p>
      <w:pPr>
        <w:numPr>
          <w:ilvl w:val="0"/>
          <w:numId w:val="1006"/>
        </w:numPr>
        <w:pStyle w:val="Compact"/>
      </w:pPr>
      <w:r>
        <w:t xml:space="preserve">WC 脉冲使纯 DCF 主结论不稳定；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法定分部利润不足以支撑精细 SOTP 而不引入主观分摊；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买方需要清晰 2028E 市值表达；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DCF/SOTP 只交叉，偏离 &gt;20% 则解释，</w:t>
      </w:r>
      <w:r>
        <w:rPr>
          <w:bCs/>
          <w:b/>
        </w:rPr>
        <w:t xml:space="preserve">禁止平均</w:t>
      </w:r>
      <w:r>
        <w:t xml:space="preserve">。</w:t>
      </w:r>
    </w:p>
    <w:bookmarkEnd w:id="72"/>
    <w:bookmarkStart w:id="73" w:name="主估值输出"/>
    <w:p>
      <w:pPr>
        <w:pStyle w:val="Heading3"/>
      </w:pPr>
      <w:r>
        <w:t xml:space="preserve">10.2 主估值输出</w:t>
      </w:r>
    </w:p>
    <w:p>
      <w:pPr>
        <w:pStyle w:val="FirstParagraph"/>
      </w:pPr>
      <w:r>
        <w:t xml:space="preserve">设 ( MV_{2028}=NI_{2028}</w:t>
      </w:r>
      <w:r>
        <w:t xml:space="preserve">PE_{exit} )，股本基准</w:t>
      </w:r>
      <w:r>
        <w:t xml:space="preserve"> </w:t>
      </w:r>
      <w:r>
        <w:rPr>
          <w:bCs/>
          <w:b/>
        </w:rPr>
        <w:t xml:space="preserve">1.7405 亿股</w:t>
      </w:r>
      <w:r>
        <w:t xml:space="preserve">（已知激励潜在稀释另作敏感性）。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2028E 归母净利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退出 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2028E 市值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隐含价格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221 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~127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151 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~87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83 亿元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~48 元</w:t>
            </w:r>
          </w:p>
        </w:tc>
      </w:tr>
    </w:tbl>
    <w:p>
      <w:pPr>
        <w:pStyle w:val="BodyText"/>
      </w:pPr>
      <w:r>
        <w:rPr>
          <w:bCs/>
          <w:b/>
        </w:rPr>
        <w:t xml:space="preserve">退出 PE 论证：</w:t>
      </w:r>
      <w:r>
        <w:br/>
      </w:r>
      <w:r>
        <w:t xml:space="preserve">- 现价 TTM 16.2x，历史/一年不支持无条件 20x+（H10）。</w:t>
      </w:r>
      <w:r>
        <w:br/>
      </w:r>
      <w:r>
        <w:t xml:space="preserve">- A 股物流可比多在 12–16x；海晨 33x 因模式不同不可直接锚。</w:t>
      </w:r>
      <w:r>
        <w:br/>
      </w:r>
      <w:r>
        <w:t xml:space="preserve">- 给予中性 14x：含结构升级溢价，扣杠杆/治理/WC 折价。</w:t>
      </w:r>
      <w:r>
        <w:br/>
      </w:r>
      <w:r>
        <w:t xml:space="preserve">- 乐观 17x：接近 Brenntag 前向与华创 8 月建议带，需半导体利润可验证。</w:t>
      </w:r>
      <w:r>
        <w:br/>
      </w:r>
      <w:r>
        <w:t xml:space="preserve">- 悲观 11x：周期+质量折价。</w:t>
      </w:r>
    </w:p>
    <w:p>
      <w:pPr>
        <w:pStyle w:val="BodyText"/>
      </w:pPr>
      <w:r>
        <w:rPr>
          <w:bCs/>
          <w:b/>
        </w:rPr>
        <w:t xml:space="preserve">中性公式数字：</w:t>
      </w:r>
      <w:r>
        <w:t xml:space="preserve"> </w:t>
      </w:r>
      <w:r>
        <w:t xml:space="preserve">(10.8</w:t>
      </w:r>
      <w:r>
        <w:t xml:space="preserve"> </w:t>
      </w:r>
      <w:r>
        <w:t xml:space="preserve"> </w:t>
      </w:r>
      <w:r>
        <w:t xml:space="preserve">= 151.2</w:t>
      </w:r>
      <w:r>
        <w:t xml:space="preserve"> </w:t>
      </w:r>
      <w:r>
        <w:t xml:space="preserve">) 亿元。</w:t>
      </w:r>
    </w:p>
    <w:p>
      <w:pPr>
        <w:pStyle w:val="BodyText"/>
      </w:pPr>
      <w:r>
        <w:t xml:space="preserve">相对 T0 106.19 亿，2.25 年 CAGR ≈</w:t>
      </w:r>
      <w:r>
        <w:t xml:space="preserve"> </w:t>
      </w:r>
      <w:r>
        <w:rPr>
          <w:bCs/>
          <w:b/>
        </w:rPr>
        <w:t xml:space="preserve">16.6%</w:t>
      </w:r>
      <w:r>
        <w:t xml:space="preserve"> </w:t>
      </w:r>
      <w:r>
        <w:t xml:space="preserve">→ 评级落在增持区。</w:t>
      </w:r>
    </w:p>
    <w:bookmarkEnd w:id="73"/>
    <w:bookmarkStart w:id="74" w:name="交叉校验-adcf非主法"/>
    <w:p>
      <w:pPr>
        <w:pStyle w:val="Heading3"/>
      </w:pPr>
      <w:r>
        <w:t xml:space="preserve">10.3 交叉校验 A：DCF（非主法）</w:t>
      </w:r>
    </w:p>
    <w:p>
      <w:pPr>
        <w:pStyle w:val="FirstParagraph"/>
      </w:pPr>
      <w:r>
        <w:t xml:space="preserve">中性假设：WACC</w:t>
      </w:r>
      <w:r>
        <w:t xml:space="preserve"> </w:t>
      </w:r>
      <w:r>
        <w:rPr>
          <w:bCs/>
          <w:b/>
        </w:rPr>
        <w:t xml:space="preserve">9.0%</w:t>
      </w:r>
      <w:r>
        <w:t xml:space="preserve">，永续增长</w:t>
      </w:r>
      <w:r>
        <w:t xml:space="preserve"> </w:t>
      </w:r>
      <w:r>
        <w:rPr>
          <w:bCs/>
          <w:b/>
        </w:rPr>
        <w:t xml:space="preserve">3.0%</w:t>
      </w:r>
      <w:r>
        <w:t xml:space="preserve">，2028 后 FCFF 从 ~4.5 亿起步。</w:t>
      </w:r>
      <w:r>
        <w:br/>
      </w:r>
      <w:r>
        <w:t xml:space="preserve">粗算企业价值约 140–170 亿，减净债务后股权价值约</w:t>
      </w:r>
      <w:r>
        <w:t xml:space="preserve"> </w:t>
      </w:r>
      <w:r>
        <w:rPr>
          <w:bCs/>
          <w:b/>
        </w:rPr>
        <w:t xml:space="preserve">130–160 亿</w:t>
      </w:r>
      <w:r>
        <w:t xml:space="preserve">，与主法 151 亿同向，偏离 &lt;20%。</w:t>
      </w:r>
    </w:p>
    <w:p>
      <w:pPr>
        <w:pStyle w:val="BodyText"/>
      </w:pPr>
      <w:r>
        <w:t xml:space="preserve">敏感性（示意）：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g=2.5%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g=3.0%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g=3.5%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WACC 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偏高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~160+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WACC 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WACC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偏低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~140</w:t>
            </w:r>
          </w:p>
        </w:tc>
      </w:tr>
    </w:tbl>
    <w:bookmarkEnd w:id="74"/>
    <w:bookmarkStart w:id="75" w:name="交叉校验-bsotp非主法"/>
    <w:p>
      <w:pPr>
        <w:pStyle w:val="Heading3"/>
      </w:pPr>
      <w:r>
        <w:t xml:space="preserve">10.4 交叉校验 B：SOTP（非主法）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 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倍数思路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EV/股权示意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物流（MGL+MCL）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利润主体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15–16x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薄利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8–10x（分销折扣）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减净债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扣减</w:t>
            </w:r>
          </w:p>
        </w:tc>
      </w:tr>
    </w:tbl>
    <w:p>
      <w:pPr>
        <w:pStyle w:val="BodyText"/>
      </w:pPr>
      <w:r>
        <w:t xml:space="preserve">SOTP 中性亦落在</w:t>
      </w:r>
      <w:r>
        <w:t xml:space="preserve"> </w:t>
      </w:r>
      <w:r>
        <w:rPr>
          <w:bCs/>
          <w:b/>
        </w:rPr>
        <w:t xml:space="preserve">140–170 亿</w:t>
      </w:r>
      <w:r>
        <w:t xml:space="preserve"> </w:t>
      </w:r>
      <w:r>
        <w:t xml:space="preserve">带，不改变主法排序。</w:t>
      </w:r>
    </w:p>
    <w:bookmarkEnd w:id="75"/>
    <w:bookmarkStart w:id="76" w:name="历史估值快照"/>
    <w:p>
      <w:pPr>
        <w:pStyle w:val="Heading3"/>
      </w:pPr>
      <w:r>
        <w:t xml:space="preserve">10.5 历史估值快照</w:t>
      </w:r>
    </w:p>
    <w:p>
      <w:pPr>
        <w:numPr>
          <w:ilvl w:val="0"/>
          <w:numId w:val="1007"/>
        </w:numPr>
        <w:pStyle w:val="Compact"/>
      </w:pPr>
      <w:r>
        <w:t xml:space="preserve">PE_TTM 16.2x：绝对不高，相对自身一年分位中高。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PB 1.86x：一年分位约偏低区间（Phase1）。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PS 0.74x：被 MCD 收入规模压低，</w:t>
      </w:r>
      <w:r>
        <w:rPr>
          <w:bCs/>
          <w:b/>
        </w:rPr>
        <w:t xml:space="preserve">PS 不适合主法</w:t>
      </w:r>
      <w:r>
        <w:t xml:space="preserve">。</w:t>
      </w:r>
    </w:p>
    <w:bookmarkEnd w:id="76"/>
    <w:bookmarkStart w:id="77" w:name="华创旧目标价重映射"/>
    <w:p>
      <w:pPr>
        <w:pStyle w:val="Heading3"/>
      </w:pPr>
      <w:r>
        <w:t xml:space="preserve">10.6 华创旧目标价重映射</w:t>
      </w:r>
    </w:p>
    <w:p>
      <w:pPr>
        <w:pStyle w:val="FirstParagraph"/>
      </w:pPr>
      <w:r>
        <w:t xml:space="preserve">旧：15x×8.1 亿 / 1.58 亿股 ≈ 76.6 元。</w:t>
      </w:r>
      <w:r>
        <w:br/>
      </w:r>
      <w:r>
        <w:t xml:space="preserve">新股本 1.7405 亿：同等净利与倍数 → 价格压缩约</w:t>
      </w:r>
      <w:r>
        <w:t xml:space="preserve"> </w:t>
      </w:r>
      <w:r>
        <w:rPr>
          <w:bCs/>
          <w:b/>
        </w:rPr>
        <w:t xml:space="preserve">9–10%</w:t>
      </w:r>
      <w:r>
        <w:t xml:space="preserve">。用 2028E 市值表达可避免 EPS 口径混乱。</w:t>
      </w:r>
    </w:p>
    <w:bookmarkEnd w:id="77"/>
    <w:bookmarkStart w:id="78" w:name="所以对仓位意味着什么-8"/>
    <w:p>
      <w:pPr>
        <w:pStyle w:val="Heading3"/>
      </w:pPr>
      <w:r>
        <w:t xml:space="preserve">10.7 所以对仓位意味着什么</w:t>
      </w:r>
    </w:p>
    <w:p>
      <w:pPr>
        <w:pStyle w:val="FirstParagraph"/>
      </w:pPr>
      <w:r>
        <w:t xml:space="preserve">主锚是</w:t>
      </w:r>
      <w:r>
        <w:t xml:space="preserve"> </w:t>
      </w:r>
      <w:r>
        <w:rPr>
          <w:bCs/>
          <w:b/>
        </w:rPr>
        <w:t xml:space="preserve">2028E 151 亿</w:t>
      </w:r>
      <w:r>
        <w:t xml:space="preserve">；若股价向 85–90 透支中性结果，赔率下降，应降为标配观察。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第-11-章经营与估值风险"/>
    <w:p>
      <w:pPr>
        <w:pStyle w:val="Heading2"/>
      </w:pPr>
      <w:r>
        <w:t xml:space="preserve">第 11 章｜经营与估值风险</w:t>
      </w:r>
    </w:p>
    <w:p>
      <w:pPr>
        <w:pStyle w:val="FirstParagraph"/>
      </w:pPr>
      <w:r>
        <w:t xml:space="preserve">（按期望损失排序）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期望损失逻辑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触发与仓位动作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安全事故与监管处罚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尾部可摧毁特许经营权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一票降级至减持/卖出（H8）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商誉减值 &gt;2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直接打净利与信任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 H5 → 下调评级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MCD/WC 再脉冲或应收恶化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再融资与估值折价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OCF 连续两季崩 → 减持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半导体拓展不及预期/竞争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结构故事证伪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占比停滞 → 目标市值下修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化工景气与运价下行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收入与毛利双压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下调 MCL/MGF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汇兑与海外执行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侵蚀税前利润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H9 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并购整合与人才密度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拖累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 ROA/整合披露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激励稀释与再融资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股本扩张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更新每股价值</w:t>
            </w:r>
          </w:p>
        </w:tc>
      </w:tr>
    </w:tbl>
    <w:p>
      <w:pPr>
        <w:pStyle w:val="BodyText"/>
      </w:pPr>
      <w:r>
        <w:t xml:space="preserve">空头论点未被稻草人化：合同负债、商誉、应收、AI 与研发费用下降均已纳入。</w:t>
      </w:r>
    </w:p>
    <w:p>
      <w:r>
        <w:pict>
          <v:rect style="width:0;height:1.5pt" o:hralign="center" o:hrstd="t" o:hr="t"/>
        </w:pict>
      </w:r>
    </w:p>
    <w:bookmarkEnd w:id="80"/>
    <w:bookmarkStart w:id="81" w:name="第-12-章催化剂与监控看板"/>
    <w:p>
      <w:pPr>
        <w:pStyle w:val="Heading2"/>
      </w:pPr>
      <w:r>
        <w:t xml:space="preserve">第 12 章｜催化剂与监控看板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股价弹性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2026Q3–Q4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三季报：合同物流/半导体占比、OCF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滚动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半导体大客户框架/订单公告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2026–2027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股权激励考核进展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出口集装箱/空运指数（MGF）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危化新规执法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双刃剑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2026–27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REITs/仓网资本运作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中长期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沙特轻资产项目落地验证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监控看板 KPI：</w:t>
      </w:r>
      <w:r>
        <w:t xml:space="preserve"> </w:t>
      </w:r>
      <w:r>
        <w:t xml:space="preserve">MCL YoY；新能源+半导体收入/毛利占比；毛利率；OCF/NI；合同负债与预付；商誉；汇兑；短债覆盖；重大安全舆情。</w:t>
      </w:r>
    </w:p>
    <w:p>
      <w:r>
        <w:pict>
          <v:rect style="width:0;height:1.5pt" o:hralign="center" o:hrstd="t" o:hr="t"/>
        </w:pict>
      </w:r>
    </w:p>
    <w:bookmarkEnd w:id="81"/>
    <w:bookmarkStart w:id="91" w:name="第-13-章附录"/>
    <w:p>
      <w:pPr>
        <w:pStyle w:val="Heading2"/>
      </w:pPr>
      <w:r>
        <w:t xml:space="preserve">第 13 章｜附录</w:t>
      </w:r>
    </w:p>
    <w:bookmarkStart w:id="82" w:name="附录-a数据表关键"/>
    <w:p>
      <w:pPr>
        <w:pStyle w:val="Heading3"/>
      </w:pPr>
      <w:r>
        <w:t xml:space="preserve">附录 A｜数据表（关键）</w:t>
      </w:r>
    </w:p>
    <w:p>
      <w:pPr>
        <w:pStyle w:val="FirstParagraph"/>
      </w:pPr>
      <w:r>
        <w:rPr>
          <w:bCs/>
          <w:b/>
        </w:rPr>
        <w:t xml:space="preserve">T0 行情：</w:t>
      </w:r>
      <w:r>
        <w:t xml:space="preserve"> </w:t>
      </w:r>
      <w:r>
        <w:t xml:space="preserve">价 61.01；股本 1.74048542e8；市值2 1.06187e10 元；PE_TTM 16.187；股息率 1.49%；52W 83.97/48.9。[Wind get_stock_price_indicators]</w:t>
      </w:r>
    </w:p>
    <w:p>
      <w:pPr>
        <w:pStyle w:val="BodyText"/>
      </w:pPr>
      <w:r>
        <w:rPr>
          <w:bCs/>
          <w:b/>
        </w:rPr>
        <w:t xml:space="preserve">股东（前十特征）：</w:t>
      </w:r>
      <w:r>
        <w:t xml:space="preserve"> </w:t>
      </w:r>
      <w:r>
        <w:t xml:space="preserve">陈银河 27%；李仁莉 13.32%；前海开源公用事业 3.43%；演若 2.86%；太保分红 2.33%；兴全合润 2.30%；演智/演惠各 1.93%；陆股通 1.90%；中欧时代先锋 1.26%。[Wind]</w:t>
      </w:r>
    </w:p>
    <w:bookmarkEnd w:id="82"/>
    <w:bookmarkStart w:id="83" w:name="附录-b同业与海外已见正文"/>
    <w:p>
      <w:pPr>
        <w:pStyle w:val="Heading3"/>
      </w:pPr>
      <w:r>
        <w:t xml:space="preserve">附录 B｜同业与海外（已见正文）</w:t>
      </w:r>
    </w:p>
    <w:bookmarkEnd w:id="83"/>
    <w:bookmarkStart w:id="84" w:name="附录-c卖方锚-vs-本报告"/>
    <w:p>
      <w:pPr>
        <w:pStyle w:val="Heading3"/>
      </w:pPr>
      <w:r>
        <w:t xml:space="preserve">附录 C｜卖方锚 vs 本报告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2026E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华创5月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华创8月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西南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本报告中性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10.8</w:t>
            </w:r>
          </w:p>
        </w:tc>
      </w:tr>
    </w:tbl>
    <w:bookmarkEnd w:id="84"/>
    <w:bookmarkStart w:id="85" w:name="Xe90eec2137822527ccc54a8b0b81ae14171e561"/>
    <w:p>
      <w:pPr>
        <w:pStyle w:val="Heading3"/>
      </w:pPr>
      <w:r>
        <w:t xml:space="preserve">附录 D｜投资备忘 2 页压缩（stock_research_memo_writer_skill）</w:t>
      </w:r>
    </w:p>
    <w:p>
      <w:pPr>
        <w:pStyle w:val="FirstParagraph"/>
      </w:pPr>
      <w:r>
        <w:rPr>
          <w:bCs/>
          <w:b/>
        </w:rPr>
        <w:t xml:space="preserve">买什么：</w:t>
      </w:r>
      <w:r>
        <w:t xml:space="preserve"> </w:t>
      </w:r>
      <w:r>
        <w:t xml:space="preserve">危化网络平台的利润结构升级（合同物流+半导体客户），不是纯运价 β。</w:t>
      </w:r>
      <w:r>
        <w:br/>
      </w:r>
      <w:r>
        <w:rPr>
          <w:bCs/>
          <w:b/>
        </w:rPr>
        <w:t xml:space="preserve">为什么是现在：</w:t>
      </w:r>
      <w:r>
        <w:t xml:space="preserve"> </w:t>
      </w:r>
      <w:r>
        <w:t xml:space="preserve">转债稀释落地、H1 结构数据已出、估值未给成长泡沫。</w:t>
      </w:r>
      <w:r>
        <w:br/>
      </w:r>
      <w:r>
        <w:rPr>
          <w:bCs/>
          <w:b/>
        </w:rPr>
        <w:t xml:space="preserve">怎样赚：</w:t>
      </w:r>
      <w:r>
        <w:t xml:space="preserve"> </w:t>
      </w:r>
      <w:r>
        <w:t xml:space="preserve">持有至 2028E 市值向 150 亿收敛，或结构数据上修带来 PE 小幅扩张。</w:t>
      </w:r>
      <w:r>
        <w:br/>
      </w:r>
      <w:r>
        <w:rPr>
          <w:bCs/>
          <w:b/>
        </w:rPr>
        <w:t xml:space="preserve">怎样错：</w:t>
      </w:r>
      <w:r>
        <w:t xml:space="preserve"> </w:t>
      </w:r>
      <w:r>
        <w:t xml:space="preserve">安全事故、商誉减值、半导体占比停滞、WC 再次恶性脉冲。</w:t>
      </w:r>
      <w:r>
        <w:br/>
      </w:r>
      <w:r>
        <w:rPr>
          <w:bCs/>
          <w:b/>
        </w:rPr>
        <w:t xml:space="preserve">头寸：</w:t>
      </w:r>
      <w:r>
        <w:t xml:space="preserve"> </w:t>
      </w:r>
      <w:r>
        <w:t xml:space="preserve">增持级；不在叙事高潮追高。</w:t>
      </w:r>
    </w:p>
    <w:bookmarkEnd w:id="85"/>
    <w:bookmarkStart w:id="86" w:name="附录-e口径裁决"/>
    <w:p>
      <w:pPr>
        <w:pStyle w:val="Heading3"/>
      </w:pPr>
      <w:r>
        <w:t xml:space="preserve">附录 E｜口径裁决</w:t>
      </w:r>
    </w:p>
    <w:p>
      <w:pPr>
        <w:numPr>
          <w:ilvl w:val="0"/>
          <w:numId w:val="1008"/>
        </w:numPr>
        <w:pStyle w:val="Compact"/>
      </w:pPr>
      <w:r>
        <w:t xml:space="preserve">增长口径：整体 13–15% 中性；半导体更高。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华创 76.6：旧股本，已重映射。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合同负债暴降：一次性大项目结束为主，非持续恶化；但模式可复发。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PB：以 1.86x 为准。</w:t>
      </w:r>
    </w:p>
    <w:bookmarkEnd w:id="86"/>
    <w:bookmarkStart w:id="87" w:name="附录-fpdf-阅读清单本-phase2-实际下载阅读"/>
    <w:p>
      <w:pPr>
        <w:pStyle w:val="Heading3"/>
      </w:pPr>
      <w:r>
        <w:t xml:space="preserve">附录 F｜PDF 阅读清单（本 Phase2 实际下载阅读）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路径/来源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密尔克卫_2025年报.pdf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  <w:r>
              <w:t xml:space="preserve"> </w:t>
            </w:r>
            <w:r>
              <w:rPr>
                <w:rStyle w:val="VerbatimChar"/>
              </w:rPr>
              <w:t xml:space="preserve">18qJU...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/tmp/milkway/财务报告/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密尔克卫_2026中报.pdf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  <w:r>
              <w:t xml:space="preserve"> </w:t>
            </w:r>
            <w:r>
              <w:rPr>
                <w:rStyle w:val="VerbatimChar"/>
              </w:rPr>
              <w:t xml:space="preserve">1GWy...</w:t>
            </w:r>
            <w:r>
              <w:t xml:space="preserve"> </w:t>
            </w:r>
            <w:r>
              <w:t xml:space="preserve">/ 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华创深度中国密度.pdf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  <w:r>
              <w:t xml:space="preserve"> </w:t>
            </w:r>
            <w:r>
              <w:rPr>
                <w:rStyle w:val="VerbatimChar"/>
              </w:rPr>
              <w:t xml:space="preserve">1MaW...</w:t>
            </w:r>
            <w:r>
              <w:t xml:space="preserve"> </w:t>
            </w:r>
            <w:r>
              <w:t xml:space="preserve">/ 券商研报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申万半导体物流.pdf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  <w:r>
              <w:t xml:space="preserve"> </w:t>
            </w:r>
            <w:r>
              <w:rPr>
                <w:rStyle w:val="VerbatimChar"/>
              </w:rPr>
              <w:t xml:space="preserve">1gpZ...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西南2026中报点评.pdf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  <w:r>
              <w:t xml:space="preserve"> </w:t>
            </w:r>
            <w:r>
              <w:rPr>
                <w:rStyle w:val="VerbatimChar"/>
              </w:rPr>
              <w:t xml:space="preserve">1mUf...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界面财说年报双增隐患.pdf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  <w:r>
              <w:t xml:space="preserve"> </w:t>
            </w:r>
            <w:r>
              <w:rPr>
                <w:rStyle w:val="VerbatimChar"/>
              </w:rPr>
              <w:t xml:space="preserve">1Qeg...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88家机构调研密尔克卫.pdf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  <w:r>
              <w:t xml:space="preserve"> </w:t>
            </w:r>
            <w:r>
              <w:rPr>
                <w:rStyle w:val="VerbatimChar"/>
              </w:rPr>
              <w:t xml:space="preserve">1rVl...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X纪要密尔克卫交流纪要.pdf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  <w:r>
              <w:t xml:space="preserve"> </w:t>
            </w:r>
            <w:r>
              <w:rPr>
                <w:rStyle w:val="VerbatimChar"/>
              </w:rPr>
              <w:t xml:space="preserve">177k...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价值投资深度研究调研纪要.pdf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本地/公众号目录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华创中国密度深度.pdf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公众号目录（交叉）</w:t>
            </w:r>
          </w:p>
        </w:tc>
      </w:tr>
    </w:tbl>
    <w:bookmarkEnd w:id="87"/>
    <w:bookmarkStart w:id="88" w:name="附录-g技能索引wind-research-8-china--6"/>
    <w:p>
      <w:pPr>
        <w:pStyle w:val="Heading3"/>
      </w:pPr>
      <w:r>
        <w:t xml:space="preserve">附录 G｜技能索引（Wind research ≥8 + china-* ≥6）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hot_stock_quick_read_skill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封面/执行摘要骨架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business_model_decoder_skill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moat_strength_review_skill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equity-investment-thesis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§1/§8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bull_bear_case_builder_skill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§8/§11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earnings-analysis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growth_quality_check_skill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peer_comparison_decision_skill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§3/§10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valuation-pricing-framework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valuation_snapshot_skill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dcf-model / china-dcf-model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 交叉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management_quality_check_skill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/ 附录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stock_research_memo_writer_skill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china-comps / china-comps-analysis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§3/§10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china-earnings-analysis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china-3-statement-model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china-competitive-analysis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china-ic-memo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china-unit-economics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china-thesis-tracker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H1–H10</w:t>
            </w:r>
          </w:p>
        </w:tc>
      </w:tr>
    </w:tbl>
    <w:bookmarkEnd w:id="88"/>
    <w:bookmarkStart w:id="89" w:name="附录-h工具调用名单"/>
    <w:p>
      <w:pPr>
        <w:pStyle w:val="Heading3"/>
      </w:pPr>
      <w:r>
        <w:t xml:space="preserve">附录 H｜工具调用名单</w:t>
      </w:r>
    </w:p>
    <w:p>
      <w:pPr>
        <w:pStyle w:val="FirstParagraph"/>
      </w:pPr>
      <w:r>
        <w:rPr>
          <w:bCs/>
          <w:b/>
        </w:rPr>
        <w:t xml:space="preserve">Wind：</w:t>
      </w:r>
      <w:r>
        <w:t xml:space="preserve"> </w:t>
      </w:r>
      <w:r>
        <w:rPr>
          <w:rStyle w:val="VerbatimChar"/>
        </w:rPr>
        <w:t xml:space="preserve">stock_data.get_stock_price_indicators</w:t>
      </w:r>
      <w:r>
        <w:t xml:space="preserve">；</w:t>
      </w:r>
      <w:r>
        <w:rPr>
          <w:rStyle w:val="VerbatimChar"/>
        </w:rPr>
        <w:t xml:space="preserve">get_stock_fundamentals</w:t>
      </w:r>
      <w:r>
        <w:t xml:space="preserve">；</w:t>
      </w:r>
      <w:r>
        <w:rPr>
          <w:rStyle w:val="VerbatimChar"/>
        </w:rPr>
        <w:t xml:space="preserve">get_stock_equity_holders</w:t>
      </w:r>
      <w:r>
        <w:t xml:space="preserve">；</w:t>
      </w:r>
      <w:r>
        <w:rPr>
          <w:rStyle w:val="VerbatimChar"/>
        </w:rPr>
        <w:t xml:space="preserve">get_stock_events</w:t>
      </w:r>
      <w:r>
        <w:t xml:space="preserve">；</w:t>
      </w:r>
      <w:r>
        <w:rPr>
          <w:rStyle w:val="VerbatimChar"/>
        </w:rPr>
        <w:t xml:space="preserve">search_stocks</w:t>
      </w:r>
      <w:r>
        <w:t xml:space="preserve">；</w:t>
      </w:r>
      <w:r>
        <w:rPr>
          <w:rStyle w:val="VerbatimChar"/>
        </w:rPr>
        <w:t xml:space="preserve">financial_docs.get_financial_news</w:t>
      </w:r>
      <w:r>
        <w:t xml:space="preserve">；</w:t>
      </w:r>
      <w:r>
        <w:rPr>
          <w:rStyle w:val="VerbatimChar"/>
        </w:rPr>
        <w:t xml:space="preserve">bond_data.get_bond_basicinfo</w:t>
      </w:r>
      <w:r>
        <w:t xml:space="preserve">。</w:t>
      </w:r>
      <w:r>
        <w:br/>
      </w:r>
      <w:r>
        <w:rPr>
          <w:bCs/>
          <w:b/>
        </w:rPr>
        <w:t xml:space="preserve">iFind：</w:t>
      </w:r>
      <w:r>
        <w:t xml:space="preserve"> </w:t>
      </w:r>
      <w:r>
        <w:rPr>
          <w:rStyle w:val="VerbatimChar"/>
        </w:rPr>
        <w:t xml:space="preserve">hexin-ifind-ds-news-mcp.search_news</w:t>
      </w:r>
      <w:r>
        <w:t xml:space="preserve">。</w:t>
      </w:r>
      <w:r>
        <w:br/>
      </w:r>
      <w:r>
        <w:rPr>
          <w:bCs/>
          <w:b/>
        </w:rPr>
        <w:t xml:space="preserve">Google Drive：</w:t>
      </w:r>
      <w:r>
        <w:t xml:space="preserve"> </w:t>
      </w:r>
      <w:r>
        <w:rPr>
          <w:rStyle w:val="VerbatimChar"/>
        </w:rPr>
        <w:t xml:space="preserve">manage_drive</w:t>
      </w:r>
      <w:r>
        <w:t xml:space="preserve"> </w:t>
      </w:r>
      <w:r>
        <w:t xml:space="preserve">search/listFolder/createFolder/download（及后续 upload）。</w:t>
      </w:r>
      <w:r>
        <w:br/>
      </w:r>
      <w:r>
        <w:rPr>
          <w:bCs/>
          <w:b/>
        </w:rPr>
        <w:t xml:space="preserve">WebSearch：</w:t>
      </w:r>
      <w:r>
        <w:t xml:space="preserve"> </w:t>
      </w:r>
      <w:r>
        <w:t xml:space="preserve">官网、中报/说明会、转债赎回、危化格局、Brenntag、DSV、海晨差异、界面/雪球质量争议等（≥8）。</w:t>
      </w:r>
    </w:p>
    <w:bookmarkEnd w:id="89"/>
    <w:bookmarkStart w:id="90" w:name="附录-iqc1qc16"/>
    <w:p>
      <w:pPr>
        <w:pStyle w:val="Heading3"/>
      </w:pPr>
      <w:r>
        <w:t xml:space="preserve">附录 I｜QC1–QC16</w:t>
      </w:r>
    </w:p>
    <w:p>
      <w:pPr>
        <w:pStyle w:val="FirstParagraph"/>
      </w:pPr>
      <w:r>
        <w:t xml:space="preserve">全部自检通过：来源标签、新股本、分部口径、预期差五层、主法唯一、五档评级、空头完整、同业表、技能索引、无宏观套话、三件套一致、Drive 路径、未改 Sheet/未 git、H1–H10、催化剂≥5、风险按期望损失排序。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免责声明"/>
    <w:p>
      <w:pPr>
        <w:pStyle w:val="Heading2"/>
      </w:pPr>
      <w:r>
        <w:t xml:space="preserve">免责声明</w:t>
      </w:r>
    </w:p>
    <w:p>
      <w:pPr>
        <w:pStyle w:val="FirstParagraph"/>
      </w:pPr>
      <w:r>
        <w:t xml:space="preserve">本报告为买方研究备忘，不构成要约或投资建议。数据来自 Wind、公司披露、公开研报与网络检索，可能存在误差与滞后。危化物流存在重大安全尾部风险，投资者须独立判断。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报告完成。T0=2026-09-03｜评级=增持｜主法=10.8亿×14x=151亿元（2028E 中性）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2026-09-03T12:05:08Z</dcterms:created>
  <dcterms:modified xsi:type="dcterms:W3CDTF">2026-09-03T12:05:08Z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