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565C0"/>
          <w:sz w:val="40"/>
          <w:szCs w:val="40"/>
        </w:rPr>
        <w:t xml:space="preserve">Third-Party CRM Evaluation &amp; Recommendation</w:t>
      </w:r>
    </w:p>
    <w:p>
      <w:pPr>
        <w:spacing w:after="300"/>
      </w:pPr>
      <w:r>
        <w:rPr>
          <w:i/>
          <w:iCs/>
          <w:color w:val="6B7280"/>
          <w:sz w:val="22"/>
          <w:szCs w:val="22"/>
        </w:rPr>
        <w:t xml:space="preserve">Prepared for GeneralLink — embedding vs. building a CRM module</w:t>
      </w:r>
    </w:p>
    <w:p>
      <w:pPr>
        <w:pStyle w:val="Heading1"/>
        <w:spacing w:after="150" w:before="300"/>
      </w:pPr>
      <w:r>
        <w:t xml:space="preserve">1. Objective &amp; Approach</w:t>
      </w:r>
    </w:p>
    <w:p>
      <w:pPr>
        <w:spacing w:after="140"/>
      </w:pPr>
      <w:r>
        <w:rPr>
          <w:color w:val="1F2937"/>
          <w:sz w:val="21"/>
          <w:szCs w:val="21"/>
        </w:rPr>
        <w:t xml:space="preserve">You asked for an evaluation of third-party CRM platforms that could be embedded into GeneralLink instead of building a CRM module from scratch, covering Customer 360, contact/lead management, opportunity and sales pipeline, communication history, email and WhatsApp integration, task/calendar management, follow-up and workflow automation, reporting, open API, role-based access control, audit logs, mobile support, and AI features.</w:t>
      </w:r>
    </w:p>
    <w:p>
      <w:pPr>
        <w:spacing w:after="140"/>
      </w:pPr>
      <w:r>
        <w:rPr>
          <w:color w:val="1F2937"/>
          <w:sz w:val="21"/>
          <w:szCs w:val="21"/>
        </w:rPr>
        <w:t xml:space="preserve">Seven platforms were evaluated across two groups, because the realistic integration model is genuinely different between them:</w:t>
      </w:r>
    </w:p>
    <w:p>
      <w:pPr>
        <w:pStyle w:val="ListParagraph"/>
        <w:numPr>
          <w:ilvl w:val="0"/>
          <w:numId w:val="1"/>
        </w:numPr>
        <w:spacing w:after="60"/>
      </w:pPr>
      <w:r>
        <w:t xml:space="preserve">Commercial SaaS CRMs — HubSpot, Salesforce, Zoho CRM, Freshsales (Freshworks). These are cloud-only; you integrate via their APIs, you do not get to reskin or fully embed their screens.</w:t>
      </w:r>
    </w:p>
    <w:p>
      <w:pPr>
        <w:pStyle w:val="ListParagraph"/>
        <w:numPr>
          <w:ilvl w:val="0"/>
          <w:numId w:val="1"/>
        </w:numPr>
        <w:spacing w:after="60"/>
      </w:pPr>
      <w:r>
        <w:t xml:space="preserve">Open-source, self-hosted CRMs — SuiteCRM, EspoCRM, Twenty CRM. These run on your own server, so true visual embedding (or at least much deeper integration) is realistic.</w:t>
      </w:r>
    </w:p>
    <w:p>
      <w:pPr>
        <w:pStyle w:val="Heading1"/>
        <w:spacing w:after="150" w:before="300"/>
      </w:pPr>
      <w:r>
        <w:t xml:space="preserve">2. Important reality check on "embedding"</w:t>
      </w:r>
    </w:p>
    <w:p>
      <w:pPr>
        <w:spacing w:after="140"/>
      </w:pPr>
      <w:r>
        <w:rPr>
          <w:color w:val="1F2937"/>
          <w:sz w:val="21"/>
          <w:szCs w:val="21"/>
        </w:rPr>
        <w:t xml:space="preserve">None of the commercial SaaS CRMs (HubSpot, Salesforce, Zoho, Freshsales) let you embed their whole application inside another product the way you might expect — they block this for security reasons (clickjacking protection) and only expose small widgets or "cards" that appear inside their own CRM, not the reverse. So for any SaaS option, the realistic path is a headless integration: GeneralLink keeps its own Blade UI (matching your existing no-scroll, blue-pill navigation standards) and talks to the vendor’s REST API behind the scenes for data.</w:t>
      </w:r>
    </w:p>
    <w:p>
      <w:pPr>
        <w:spacing w:after="140"/>
      </w:pPr>
      <w:r>
        <w:rPr>
          <w:color w:val="1F2937"/>
          <w:sz w:val="21"/>
          <w:szCs w:val="21"/>
        </w:rPr>
        <w:t xml:space="preserve">Only the self-hosted, open-source options (SuiteCRM, EspoCRM) genuinely support a "fully embedded, seamless" experience, because you control the server and code — you can single-sign-on into it, iframe specific screens, or over time reskin it closer to GeneralLink’s look.</w:t>
      </w:r>
    </w:p>
    <w:p>
      <w:pPr>
        <w:pStyle w:val="Heading1"/>
        <w:spacing w:after="150" w:before="300"/>
      </w:pPr>
      <w:r>
        <w:t xml:space="preserve">3. Comparison — Commercial SaaS CRMs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6"/>
        <w:gridCol w:w="1806"/>
        <w:gridCol w:w="1806"/>
        <w:gridCol w:w="1808"/>
      </w:tblGrid>
      <w:tr>
        <w:trPr>
          <w:tblHeader/>
        </w:trPr>
        <w:tc>
          <w:tcPr>
            <w:tcW w:type="dxa" w:w="1800"/>
            <w:shd w:fill="1565C0" w:val="clear"/>
            <w:tcMar>
              <w:top w:type="dxa" w:w="80"/>
              <w:left w:type="dxa" w:w="100"/>
              <w:bottom w:type="dxa" w:w="80"/>
              <w:right w:type="dxa" w:w="100"/>
            </w:tcMar>
            <w:vAlign w:val="top"/>
          </w:tcPr>
          <w:p>
            <w:r>
              <w:rPr>
                <w:b/>
                <w:bCs/>
                <w:color w:val="FFFFFF"/>
                <w:sz w:val="18"/>
                <w:szCs w:val="18"/>
              </w:rPr>
              <w:t xml:space="preserve">Criteria</w:t>
            </w:r>
          </w:p>
        </w:tc>
        <w:tc>
          <w:tcPr>
            <w:tcW w:type="dxa" w:w="1806"/>
            <w:shd w:fill="1565C0" w:val="clear"/>
            <w:tcMar>
              <w:top w:type="dxa" w:w="80"/>
              <w:left w:type="dxa" w:w="100"/>
              <w:bottom w:type="dxa" w:w="80"/>
              <w:right w:type="dxa" w:w="100"/>
            </w:tcMar>
            <w:vAlign w:val="top"/>
          </w:tcPr>
          <w:p>
            <w:r>
              <w:rPr>
                <w:b/>
                <w:bCs/>
                <w:color w:val="FFFFFF"/>
                <w:sz w:val="18"/>
                <w:szCs w:val="18"/>
              </w:rPr>
              <w:t xml:space="preserve">HubSpot CRM</w:t>
            </w:r>
          </w:p>
        </w:tc>
        <w:tc>
          <w:tcPr>
            <w:tcW w:type="dxa" w:w="1806"/>
            <w:shd w:fill="1565C0" w:val="clear"/>
            <w:tcMar>
              <w:top w:type="dxa" w:w="80"/>
              <w:left w:type="dxa" w:w="100"/>
              <w:bottom w:type="dxa" w:w="80"/>
              <w:right w:type="dxa" w:w="100"/>
            </w:tcMar>
            <w:vAlign w:val="top"/>
          </w:tcPr>
          <w:p>
            <w:r>
              <w:rPr>
                <w:b/>
                <w:bCs/>
                <w:color w:val="FFFFFF"/>
                <w:sz w:val="18"/>
                <w:szCs w:val="18"/>
              </w:rPr>
              <w:t xml:space="preserve">Salesforce (Sales/Service Cloud)</w:t>
            </w:r>
          </w:p>
        </w:tc>
        <w:tc>
          <w:tcPr>
            <w:tcW w:type="dxa" w:w="1806"/>
            <w:shd w:fill="1565C0" w:val="clear"/>
            <w:tcMar>
              <w:top w:type="dxa" w:w="80"/>
              <w:left w:type="dxa" w:w="100"/>
              <w:bottom w:type="dxa" w:w="80"/>
              <w:right w:type="dxa" w:w="100"/>
            </w:tcMar>
            <w:vAlign w:val="top"/>
          </w:tcPr>
          <w:p>
            <w:r>
              <w:rPr>
                <w:b/>
                <w:bCs/>
                <w:color w:val="FFFFFF"/>
                <w:sz w:val="18"/>
                <w:szCs w:val="18"/>
              </w:rPr>
              <w:t xml:space="preserve">Zoho CRM</w:t>
            </w:r>
          </w:p>
        </w:tc>
        <w:tc>
          <w:tcPr>
            <w:tcW w:type="dxa" w:w="1808"/>
            <w:shd w:fill="1565C0" w:val="clear"/>
            <w:tcMar>
              <w:top w:type="dxa" w:w="80"/>
              <w:left w:type="dxa" w:w="100"/>
              <w:bottom w:type="dxa" w:w="80"/>
              <w:right w:type="dxa" w:w="100"/>
            </w:tcMar>
            <w:vAlign w:val="top"/>
          </w:tcPr>
          <w:p>
            <w:r>
              <w:rPr>
                <w:b/>
                <w:bCs/>
                <w:color w:val="FFFFFF"/>
                <w:sz w:val="18"/>
                <w:szCs w:val="18"/>
              </w:rPr>
              <w:t xml:space="preserve">Freshsales (Freshworks)</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Deployment</w:t>
            </w:r>
          </w:p>
        </w:tc>
        <w:tc>
          <w:tcPr>
            <w:tcW w:type="dxa" w:w="1806"/>
            <w:tcMar>
              <w:top w:type="dxa" w:w="80"/>
              <w:left w:type="dxa" w:w="100"/>
              <w:bottom w:type="dxa" w:w="80"/>
              <w:right w:type="dxa" w:w="100"/>
            </w:tcMar>
            <w:vAlign w:val="top"/>
          </w:tcPr>
          <w:p>
            <w:r>
              <w:rPr>
                <w:b w:val="false"/>
                <w:bCs w:val="false"/>
                <w:color w:val="1F2937"/>
                <w:sz w:val="17"/>
                <w:szCs w:val="17"/>
              </w:rPr>
              <w:t xml:space="preserve">Cloud SaaS only</w:t>
            </w:r>
          </w:p>
        </w:tc>
        <w:tc>
          <w:tcPr>
            <w:tcW w:type="dxa" w:w="1806"/>
            <w:tcMar>
              <w:top w:type="dxa" w:w="80"/>
              <w:left w:type="dxa" w:w="100"/>
              <w:bottom w:type="dxa" w:w="80"/>
              <w:right w:type="dxa" w:w="100"/>
            </w:tcMar>
            <w:vAlign w:val="top"/>
          </w:tcPr>
          <w:p>
            <w:r>
              <w:rPr>
                <w:b w:val="false"/>
                <w:bCs w:val="false"/>
                <w:color w:val="1F2937"/>
                <w:sz w:val="17"/>
                <w:szCs w:val="17"/>
              </w:rPr>
              <w:t xml:space="preserve">Cloud SaaS only</w:t>
            </w:r>
          </w:p>
        </w:tc>
        <w:tc>
          <w:tcPr>
            <w:tcW w:type="dxa" w:w="1806"/>
            <w:tcMar>
              <w:top w:type="dxa" w:w="80"/>
              <w:left w:type="dxa" w:w="100"/>
              <w:bottom w:type="dxa" w:w="80"/>
              <w:right w:type="dxa" w:w="100"/>
            </w:tcMar>
            <w:vAlign w:val="top"/>
          </w:tcPr>
          <w:p>
            <w:r>
              <w:rPr>
                <w:b w:val="false"/>
                <w:bCs w:val="false"/>
                <w:color w:val="1F2937"/>
                <w:sz w:val="17"/>
                <w:szCs w:val="17"/>
              </w:rPr>
              <w:t xml:space="preserve">Cloud SaaS only</w:t>
            </w:r>
          </w:p>
        </w:tc>
        <w:tc>
          <w:tcPr>
            <w:tcW w:type="dxa" w:w="1808"/>
            <w:tcMar>
              <w:top w:type="dxa" w:w="80"/>
              <w:left w:type="dxa" w:w="100"/>
              <w:bottom w:type="dxa" w:w="80"/>
              <w:right w:type="dxa" w:w="100"/>
            </w:tcMar>
            <w:vAlign w:val="top"/>
          </w:tcPr>
          <w:p>
            <w:r>
              <w:rPr>
                <w:b w:val="false"/>
                <w:bCs w:val="false"/>
                <w:color w:val="1F2937"/>
                <w:sz w:val="17"/>
                <w:szCs w:val="17"/>
              </w:rPr>
              <w:t xml:space="preserve">Cloud SaaS only</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True UI embedding into GeneralLink</w:t>
            </w:r>
          </w:p>
        </w:tc>
        <w:tc>
          <w:tcPr>
            <w:tcW w:type="dxa" w:w="1806"/>
            <w:tcMar>
              <w:top w:type="dxa" w:w="80"/>
              <w:left w:type="dxa" w:w="100"/>
              <w:bottom w:type="dxa" w:w="80"/>
              <w:right w:type="dxa" w:w="100"/>
            </w:tcMar>
            <w:vAlign w:val="top"/>
          </w:tcPr>
          <w:p>
            <w:r>
              <w:rPr>
                <w:b w:val="false"/>
                <w:bCs w:val="false"/>
                <w:color w:val="1F2937"/>
                <w:sz w:val="17"/>
                <w:szCs w:val="17"/>
              </w:rPr>
              <w:t xml:space="preserve">Not supported as a full app; only small "CRM cards"/custom cards can appear inside HubSpot itself — the reverse (embedding HubSpot into another app) is not offered</w:t>
            </w:r>
          </w:p>
        </w:tc>
        <w:tc>
          <w:tcPr>
            <w:tcW w:type="dxa" w:w="1806"/>
            <w:tcMar>
              <w:top w:type="dxa" w:w="80"/>
              <w:left w:type="dxa" w:w="100"/>
              <w:bottom w:type="dxa" w:w="80"/>
              <w:right w:type="dxa" w:w="100"/>
            </w:tcMar>
            <w:vAlign w:val="top"/>
          </w:tcPr>
          <w:p>
            <w:r>
              <w:rPr>
                <w:b w:val="false"/>
                <w:bCs w:val="false"/>
                <w:color w:val="1F2937"/>
                <w:sz w:val="17"/>
                <w:szCs w:val="17"/>
              </w:rPr>
              <w:t xml:space="preserve">Not supported as a full app; "Lightning Out" only exposes small Lightning components as widgets, not the whole CRM</w:t>
            </w:r>
          </w:p>
        </w:tc>
        <w:tc>
          <w:tcPr>
            <w:tcW w:type="dxa" w:w="1806"/>
            <w:tcMar>
              <w:top w:type="dxa" w:w="80"/>
              <w:left w:type="dxa" w:w="100"/>
              <w:bottom w:type="dxa" w:w="80"/>
              <w:right w:type="dxa" w:w="100"/>
            </w:tcMar>
            <w:vAlign w:val="top"/>
          </w:tcPr>
          <w:p>
            <w:r>
              <w:rPr>
                <w:b w:val="false"/>
                <w:bCs w:val="false"/>
                <w:color w:val="1F2937"/>
                <w:sz w:val="17"/>
                <w:szCs w:val="17"/>
              </w:rPr>
              <w:t xml:space="preserve">Similar — Zoho's "Widgets" let you embed your app inside Zoho CRM, not the other way around; only isolated views are iframe-able</w:t>
            </w:r>
          </w:p>
        </w:tc>
        <w:tc>
          <w:tcPr>
            <w:tcW w:type="dxa" w:w="1808"/>
            <w:tcMar>
              <w:top w:type="dxa" w:w="80"/>
              <w:left w:type="dxa" w:w="100"/>
              <w:bottom w:type="dxa" w:w="80"/>
              <w:right w:type="dxa" w:w="100"/>
            </w:tcMar>
            <w:vAlign w:val="top"/>
          </w:tcPr>
          <w:p>
            <w:r>
              <w:rPr>
                <w:b w:val="false"/>
                <w:bCs w:val="false"/>
                <w:color w:val="1F2937"/>
                <w:sz w:val="17"/>
                <w:szCs w:val="17"/>
              </w:rPr>
              <w:t xml:space="preserve">Not supported as a full app; integrates via API/Marketplace apps, not iframe embedding</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Realistic integration model</w:t>
            </w:r>
          </w:p>
        </w:tc>
        <w:tc>
          <w:tcPr>
            <w:tcW w:type="dxa" w:w="1806"/>
            <w:tcMar>
              <w:top w:type="dxa" w:w="80"/>
              <w:left w:type="dxa" w:w="100"/>
              <w:bottom w:type="dxa" w:w="80"/>
              <w:right w:type="dxa" w:w="100"/>
            </w:tcMar>
            <w:vAlign w:val="top"/>
          </w:tcPr>
          <w:p>
            <w:r>
              <w:rPr>
                <w:b w:val="false"/>
                <w:bCs w:val="false"/>
                <w:color w:val="1F2937"/>
                <w:sz w:val="17"/>
                <w:szCs w:val="17"/>
              </w:rPr>
              <w:t xml:space="preserve">API-only (headless): GeneralLink keeps its own UI, calls HubSpot REST API for data</w:t>
            </w:r>
          </w:p>
        </w:tc>
        <w:tc>
          <w:tcPr>
            <w:tcW w:type="dxa" w:w="1806"/>
            <w:tcMar>
              <w:top w:type="dxa" w:w="80"/>
              <w:left w:type="dxa" w:w="100"/>
              <w:bottom w:type="dxa" w:w="80"/>
              <w:right w:type="dxa" w:w="100"/>
            </w:tcMar>
            <w:vAlign w:val="top"/>
          </w:tcPr>
          <w:p>
            <w:r>
              <w:rPr>
                <w:b w:val="false"/>
                <w:bCs w:val="false"/>
                <w:color w:val="1F2937"/>
                <w:sz w:val="17"/>
                <w:szCs w:val="17"/>
              </w:rPr>
              <w:t xml:space="preserve">API-only (headless): REST/SOAP/Bulk APIs; typically needs a Salesforce integrator</w:t>
            </w:r>
          </w:p>
        </w:tc>
        <w:tc>
          <w:tcPr>
            <w:tcW w:type="dxa" w:w="1806"/>
            <w:tcMar>
              <w:top w:type="dxa" w:w="80"/>
              <w:left w:type="dxa" w:w="100"/>
              <w:bottom w:type="dxa" w:w="80"/>
              <w:right w:type="dxa" w:w="100"/>
            </w:tcMar>
            <w:vAlign w:val="top"/>
          </w:tcPr>
          <w:p>
            <w:r>
              <w:rPr>
                <w:b w:val="false"/>
                <w:bCs w:val="false"/>
                <w:color w:val="1F2937"/>
                <w:sz w:val="17"/>
                <w:szCs w:val="17"/>
              </w:rPr>
              <w:t xml:space="preserve">API-only (headless), well-documented REST v3/v8 + OAuth2; existing community Laravel packages</w:t>
            </w:r>
          </w:p>
        </w:tc>
        <w:tc>
          <w:tcPr>
            <w:tcW w:type="dxa" w:w="1808"/>
            <w:tcMar>
              <w:top w:type="dxa" w:w="80"/>
              <w:left w:type="dxa" w:w="100"/>
              <w:bottom w:type="dxa" w:w="80"/>
              <w:right w:type="dxa" w:w="100"/>
            </w:tcMar>
            <w:vAlign w:val="top"/>
          </w:tcPr>
          <w:p>
            <w:r>
              <w:rPr>
                <w:b w:val="false"/>
                <w:bCs w:val="false"/>
                <w:color w:val="1F2937"/>
                <w:sz w:val="17"/>
                <w:szCs w:val="17"/>
              </w:rPr>
              <w:t xml:space="preserve">API-only (headless): REST API + Freshworks Marketplace connectors</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Customer 360 / contact &amp; lead mgmt</w:t>
            </w:r>
          </w:p>
        </w:tc>
        <w:tc>
          <w:tcPr>
            <w:tcW w:type="dxa" w:w="1806"/>
            <w:tcMar>
              <w:top w:type="dxa" w:w="80"/>
              <w:left w:type="dxa" w:w="100"/>
              <w:bottom w:type="dxa" w:w="80"/>
              <w:right w:type="dxa" w:w="100"/>
            </w:tcMar>
            <w:vAlign w:val="top"/>
          </w:tcPr>
          <w:p>
            <w:r>
              <w:rPr>
                <w:b w:val="false"/>
                <w:bCs w:val="false"/>
                <w:color w:val="1F2937"/>
                <w:sz w:val="17"/>
                <w:szCs w:val="17"/>
              </w:rPr>
              <w:t xml:space="preserve">Strong, mature</w:t>
            </w:r>
          </w:p>
        </w:tc>
        <w:tc>
          <w:tcPr>
            <w:tcW w:type="dxa" w:w="1806"/>
            <w:tcMar>
              <w:top w:type="dxa" w:w="80"/>
              <w:left w:type="dxa" w:w="100"/>
              <w:bottom w:type="dxa" w:w="80"/>
              <w:right w:type="dxa" w:w="100"/>
            </w:tcMar>
            <w:vAlign w:val="top"/>
          </w:tcPr>
          <w:p>
            <w:r>
              <w:rPr>
                <w:b w:val="false"/>
                <w:bCs w:val="false"/>
                <w:color w:val="1F2937"/>
                <w:sz w:val="17"/>
                <w:szCs w:val="17"/>
              </w:rPr>
              <w:t xml:space="preserve">Strong, most configurable of all options</w:t>
            </w:r>
          </w:p>
        </w:tc>
        <w:tc>
          <w:tcPr>
            <w:tcW w:type="dxa" w:w="1806"/>
            <w:tcMar>
              <w:top w:type="dxa" w:w="80"/>
              <w:left w:type="dxa" w:w="100"/>
              <w:bottom w:type="dxa" w:w="80"/>
              <w:right w:type="dxa" w:w="100"/>
            </w:tcMar>
            <w:vAlign w:val="top"/>
          </w:tcPr>
          <w:p>
            <w:r>
              <w:rPr>
                <w:b w:val="false"/>
                <w:bCs w:val="false"/>
                <w:color w:val="1F2937"/>
                <w:sz w:val="17"/>
                <w:szCs w:val="17"/>
              </w:rPr>
              <w:t xml:space="preserve">Strong, good balance of depth and usability</w:t>
            </w:r>
          </w:p>
        </w:tc>
        <w:tc>
          <w:tcPr>
            <w:tcW w:type="dxa" w:w="1808"/>
            <w:tcMar>
              <w:top w:type="dxa" w:w="80"/>
              <w:left w:type="dxa" w:w="100"/>
              <w:bottom w:type="dxa" w:w="80"/>
              <w:right w:type="dxa" w:w="100"/>
            </w:tcMar>
            <w:vAlign w:val="top"/>
          </w:tcPr>
          <w:p>
            <w:r>
              <w:rPr>
                <w:b w:val="false"/>
                <w:bCs w:val="false"/>
                <w:color w:val="1F2937"/>
                <w:sz w:val="17"/>
                <w:szCs w:val="17"/>
              </w:rPr>
              <w:t xml:space="preserve">Good, slightly lighter than Zoho</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Opportunity / sales pipeline</w:t>
            </w:r>
          </w:p>
        </w:tc>
        <w:tc>
          <w:tcPr>
            <w:tcW w:type="dxa" w:w="1806"/>
            <w:tcMar>
              <w:top w:type="dxa" w:w="80"/>
              <w:left w:type="dxa" w:w="100"/>
              <w:bottom w:type="dxa" w:w="80"/>
              <w:right w:type="dxa" w:w="100"/>
            </w:tcMar>
            <w:vAlign w:val="top"/>
          </w:tcPr>
          <w:p>
            <w:r>
              <w:rPr>
                <w:b w:val="false"/>
                <w:bCs w:val="false"/>
                <w:color w:val="1F2937"/>
                <w:sz w:val="17"/>
                <w:szCs w:val="17"/>
              </w:rPr>
              <w:t xml:space="preserve">Yes (Deals)</w:t>
            </w:r>
          </w:p>
        </w:tc>
        <w:tc>
          <w:tcPr>
            <w:tcW w:type="dxa" w:w="1806"/>
            <w:tcMar>
              <w:top w:type="dxa" w:w="80"/>
              <w:left w:type="dxa" w:w="100"/>
              <w:bottom w:type="dxa" w:w="80"/>
              <w:right w:type="dxa" w:w="100"/>
            </w:tcMar>
            <w:vAlign w:val="top"/>
          </w:tcPr>
          <w:p>
            <w:r>
              <w:rPr>
                <w:b w:val="false"/>
                <w:bCs w:val="false"/>
                <w:color w:val="1F2937"/>
                <w:sz w:val="17"/>
                <w:szCs w:val="17"/>
              </w:rPr>
              <w:t xml:space="preserve">Yes (Opportunities) — industry benchmark</w:t>
            </w:r>
          </w:p>
        </w:tc>
        <w:tc>
          <w:tcPr>
            <w:tcW w:type="dxa" w:w="1806"/>
            <w:tcMar>
              <w:top w:type="dxa" w:w="80"/>
              <w:left w:type="dxa" w:w="100"/>
              <w:bottom w:type="dxa" w:w="80"/>
              <w:right w:type="dxa" w:w="100"/>
            </w:tcMar>
            <w:vAlign w:val="top"/>
          </w:tcPr>
          <w:p>
            <w:r>
              <w:rPr>
                <w:b w:val="false"/>
                <w:bCs w:val="false"/>
                <w:color w:val="1F2937"/>
                <w:sz w:val="17"/>
                <w:szCs w:val="17"/>
              </w:rPr>
              <w:t xml:space="preserve">Yes (Deals)</w:t>
            </w:r>
          </w:p>
        </w:tc>
        <w:tc>
          <w:tcPr>
            <w:tcW w:type="dxa" w:w="1808"/>
            <w:tcMar>
              <w:top w:type="dxa" w:w="80"/>
              <w:left w:type="dxa" w:w="100"/>
              <w:bottom w:type="dxa" w:w="80"/>
              <w:right w:type="dxa" w:w="100"/>
            </w:tcMar>
            <w:vAlign w:val="top"/>
          </w:tcPr>
          <w:p>
            <w:r>
              <w:rPr>
                <w:b w:val="false"/>
                <w:bCs w:val="false"/>
                <w:color w:val="1F2937"/>
                <w:sz w:val="17"/>
                <w:szCs w:val="17"/>
              </w:rPr>
              <w:t xml:space="preserve">Yes (Deals)</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Communication history / email integration</w:t>
            </w:r>
          </w:p>
        </w:tc>
        <w:tc>
          <w:tcPr>
            <w:tcW w:type="dxa" w:w="1806"/>
            <w:tcMar>
              <w:top w:type="dxa" w:w="80"/>
              <w:left w:type="dxa" w:w="100"/>
              <w:bottom w:type="dxa" w:w="80"/>
              <w:right w:type="dxa" w:w="100"/>
            </w:tcMar>
            <w:vAlign w:val="top"/>
          </w:tcPr>
          <w:p>
            <w:r>
              <w:rPr>
                <w:b w:val="false"/>
                <w:bCs w:val="false"/>
                <w:color w:val="1F2937"/>
                <w:sz w:val="17"/>
                <w:szCs w:val="17"/>
              </w:rPr>
              <w:t xml:space="preserve">Native email tracking, templates, shared inbox</w:t>
            </w:r>
          </w:p>
        </w:tc>
        <w:tc>
          <w:tcPr>
            <w:tcW w:type="dxa" w:w="1806"/>
            <w:tcMar>
              <w:top w:type="dxa" w:w="80"/>
              <w:left w:type="dxa" w:w="100"/>
              <w:bottom w:type="dxa" w:w="80"/>
              <w:right w:type="dxa" w:w="100"/>
            </w:tcMar>
            <w:vAlign w:val="top"/>
          </w:tcPr>
          <w:p>
            <w:r>
              <w:rPr>
                <w:b w:val="false"/>
                <w:bCs w:val="false"/>
                <w:color w:val="1F2937"/>
                <w:sz w:val="17"/>
                <w:szCs w:val="17"/>
              </w:rPr>
              <w:t xml:space="preserve">Native (Email/Activity timeline), deep with Outlook/Gmail</w:t>
            </w:r>
          </w:p>
        </w:tc>
        <w:tc>
          <w:tcPr>
            <w:tcW w:type="dxa" w:w="1806"/>
            <w:tcMar>
              <w:top w:type="dxa" w:w="80"/>
              <w:left w:type="dxa" w:w="100"/>
              <w:bottom w:type="dxa" w:w="80"/>
              <w:right w:type="dxa" w:w="100"/>
            </w:tcMar>
            <w:vAlign w:val="top"/>
          </w:tcPr>
          <w:p>
            <w:r>
              <w:rPr>
                <w:b w:val="false"/>
                <w:bCs w:val="false"/>
                <w:color w:val="1F2937"/>
                <w:sz w:val="17"/>
                <w:szCs w:val="17"/>
              </w:rPr>
              <w:t xml:space="preserve">Native email sync + SalesInbox</w:t>
            </w:r>
          </w:p>
        </w:tc>
        <w:tc>
          <w:tcPr>
            <w:tcW w:type="dxa" w:w="1808"/>
            <w:tcMar>
              <w:top w:type="dxa" w:w="80"/>
              <w:left w:type="dxa" w:w="100"/>
              <w:bottom w:type="dxa" w:w="80"/>
              <w:right w:type="dxa" w:w="100"/>
            </w:tcMar>
            <w:vAlign w:val="top"/>
          </w:tcPr>
          <w:p>
            <w:r>
              <w:rPr>
                <w:b w:val="false"/>
                <w:bCs w:val="false"/>
                <w:color w:val="1F2937"/>
                <w:sz w:val="17"/>
                <w:szCs w:val="17"/>
              </w:rPr>
              <w:t xml:space="preserve">Native, plus Freshchat integration</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WhatsApp integration</w:t>
            </w:r>
          </w:p>
        </w:tc>
        <w:tc>
          <w:tcPr>
            <w:tcW w:type="dxa" w:w="1806"/>
            <w:tcMar>
              <w:top w:type="dxa" w:w="80"/>
              <w:left w:type="dxa" w:w="100"/>
              <w:bottom w:type="dxa" w:w="80"/>
              <w:right w:type="dxa" w:w="100"/>
            </w:tcMar>
            <w:vAlign w:val="top"/>
          </w:tcPr>
          <w:p>
            <w:r>
              <w:rPr>
                <w:b w:val="false"/>
                <w:bCs w:val="false"/>
                <w:color w:val="1F2937"/>
                <w:sz w:val="17"/>
                <w:szCs w:val="17"/>
              </w:rPr>
              <w:t xml:space="preserve">Not native — needs paid Marketing Hub tier or a 3rd-party connector</w:t>
            </w:r>
          </w:p>
        </w:tc>
        <w:tc>
          <w:tcPr>
            <w:tcW w:type="dxa" w:w="1806"/>
            <w:tcMar>
              <w:top w:type="dxa" w:w="80"/>
              <w:left w:type="dxa" w:w="100"/>
              <w:bottom w:type="dxa" w:w="80"/>
              <w:right w:type="dxa" w:w="100"/>
            </w:tcMar>
            <w:vAlign w:val="top"/>
          </w:tcPr>
          <w:p>
            <w:r>
              <w:rPr>
                <w:b w:val="false"/>
                <w:bCs w:val="false"/>
                <w:color w:val="1F2937"/>
                <w:sz w:val="17"/>
                <w:szCs w:val="17"/>
              </w:rPr>
              <w:t xml:space="preserve">Native two-way WhatsApp messaging added in the Spring '26 release</w:t>
            </w:r>
          </w:p>
        </w:tc>
        <w:tc>
          <w:tcPr>
            <w:tcW w:type="dxa" w:w="1806"/>
            <w:tcMar>
              <w:top w:type="dxa" w:w="80"/>
              <w:left w:type="dxa" w:w="100"/>
              <w:bottom w:type="dxa" w:w="80"/>
              <w:right w:type="dxa" w:w="100"/>
            </w:tcMar>
            <w:vAlign w:val="top"/>
          </w:tcPr>
          <w:p>
            <w:r>
              <w:rPr>
                <w:b w:val="false"/>
                <w:bCs w:val="false"/>
                <w:color w:val="1F2937"/>
                <w:sz w:val="17"/>
                <w:szCs w:val="17"/>
              </w:rPr>
              <w:t xml:space="preserve">Supported via Zoho's own messaging apps (Cliq/SalesIQ) or Marketplace WhatsApp connectors — well documented</w:t>
            </w:r>
          </w:p>
        </w:tc>
        <w:tc>
          <w:tcPr>
            <w:tcW w:type="dxa" w:w="1808"/>
            <w:tcMar>
              <w:top w:type="dxa" w:w="80"/>
              <w:left w:type="dxa" w:w="100"/>
              <w:bottom w:type="dxa" w:w="80"/>
              <w:right w:type="dxa" w:w="100"/>
            </w:tcMar>
            <w:vAlign w:val="top"/>
          </w:tcPr>
          <w:p>
            <w:r>
              <w:rPr>
                <w:b w:val="false"/>
                <w:bCs w:val="false"/>
                <w:color w:val="1F2937"/>
                <w:sz w:val="17"/>
                <w:szCs w:val="17"/>
              </w:rPr>
              <w:t xml:space="preserve">Via Freshchat channel or Zapier/Make bridge to WhatsApp Business Cloud API — not fully native</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Workflow / automation</w:t>
            </w:r>
          </w:p>
        </w:tc>
        <w:tc>
          <w:tcPr>
            <w:tcW w:type="dxa" w:w="1806"/>
            <w:tcMar>
              <w:top w:type="dxa" w:w="80"/>
              <w:left w:type="dxa" w:w="100"/>
              <w:bottom w:type="dxa" w:w="80"/>
              <w:right w:type="dxa" w:w="100"/>
            </w:tcMar>
            <w:vAlign w:val="top"/>
          </w:tcPr>
          <w:p>
            <w:r>
              <w:rPr>
                <w:b w:val="false"/>
                <w:bCs w:val="false"/>
                <w:color w:val="1F2937"/>
                <w:sz w:val="17"/>
                <w:szCs w:val="17"/>
              </w:rPr>
              <w:t xml:space="preserve">Strong (Workflows), gated to paid tiers</w:t>
            </w:r>
          </w:p>
        </w:tc>
        <w:tc>
          <w:tcPr>
            <w:tcW w:type="dxa" w:w="1806"/>
            <w:tcMar>
              <w:top w:type="dxa" w:w="80"/>
              <w:left w:type="dxa" w:w="100"/>
              <w:bottom w:type="dxa" w:w="80"/>
              <w:right w:type="dxa" w:w="100"/>
            </w:tcMar>
            <w:vAlign w:val="top"/>
          </w:tcPr>
          <w:p>
            <w:r>
              <w:rPr>
                <w:b w:val="false"/>
                <w:bCs w:val="false"/>
                <w:color w:val="1F2937"/>
                <w:sz w:val="17"/>
                <w:szCs w:val="17"/>
              </w:rPr>
              <w:t xml:space="preserve">Very strong (Flow Builder)</w:t>
            </w:r>
          </w:p>
        </w:tc>
        <w:tc>
          <w:tcPr>
            <w:tcW w:type="dxa" w:w="1806"/>
            <w:tcMar>
              <w:top w:type="dxa" w:w="80"/>
              <w:left w:type="dxa" w:w="100"/>
              <w:bottom w:type="dxa" w:w="80"/>
              <w:right w:type="dxa" w:w="100"/>
            </w:tcMar>
            <w:vAlign w:val="top"/>
          </w:tcPr>
          <w:p>
            <w:r>
              <w:rPr>
                <w:b w:val="false"/>
                <w:bCs w:val="false"/>
                <w:color w:val="1F2937"/>
                <w:sz w:val="17"/>
                <w:szCs w:val="17"/>
              </w:rPr>
              <w:t xml:space="preserve">Strong (Blueprint + Workflow Rules)</w:t>
            </w:r>
          </w:p>
        </w:tc>
        <w:tc>
          <w:tcPr>
            <w:tcW w:type="dxa" w:w="1808"/>
            <w:tcMar>
              <w:top w:type="dxa" w:w="80"/>
              <w:left w:type="dxa" w:w="100"/>
              <w:bottom w:type="dxa" w:w="80"/>
              <w:right w:type="dxa" w:w="100"/>
            </w:tcMar>
            <w:vAlign w:val="top"/>
          </w:tcPr>
          <w:p>
            <w:r>
              <w:rPr>
                <w:b w:val="false"/>
                <w:bCs w:val="false"/>
                <w:color w:val="1F2937"/>
                <w:sz w:val="17"/>
                <w:szCs w:val="17"/>
              </w:rPr>
              <w:t xml:space="preserve">Good (Workflows/Sequences)</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Reporting &amp; dashboards</w:t>
            </w:r>
          </w:p>
        </w:tc>
        <w:tc>
          <w:tcPr>
            <w:tcW w:type="dxa" w:w="1806"/>
            <w:tcMar>
              <w:top w:type="dxa" w:w="80"/>
              <w:left w:type="dxa" w:w="100"/>
              <w:bottom w:type="dxa" w:w="80"/>
              <w:right w:type="dxa" w:w="100"/>
            </w:tcMar>
            <w:vAlign w:val="top"/>
          </w:tcPr>
          <w:p>
            <w:r>
              <w:rPr>
                <w:b w:val="false"/>
                <w:bCs w:val="false"/>
                <w:color w:val="1F2937"/>
                <w:sz w:val="17"/>
                <w:szCs w:val="17"/>
              </w:rPr>
              <w:t xml:space="preserve">Strong, built-in</w:t>
            </w:r>
          </w:p>
        </w:tc>
        <w:tc>
          <w:tcPr>
            <w:tcW w:type="dxa" w:w="1806"/>
            <w:tcMar>
              <w:top w:type="dxa" w:w="80"/>
              <w:left w:type="dxa" w:w="100"/>
              <w:bottom w:type="dxa" w:w="80"/>
              <w:right w:type="dxa" w:w="100"/>
            </w:tcMar>
            <w:vAlign w:val="top"/>
          </w:tcPr>
          <w:p>
            <w:r>
              <w:rPr>
                <w:b w:val="false"/>
                <w:bCs w:val="false"/>
                <w:color w:val="1F2937"/>
                <w:sz w:val="17"/>
                <w:szCs w:val="17"/>
              </w:rPr>
              <w:t xml:space="preserve">Best-in-class</w:t>
            </w:r>
          </w:p>
        </w:tc>
        <w:tc>
          <w:tcPr>
            <w:tcW w:type="dxa" w:w="1806"/>
            <w:tcMar>
              <w:top w:type="dxa" w:w="80"/>
              <w:left w:type="dxa" w:w="100"/>
              <w:bottom w:type="dxa" w:w="80"/>
              <w:right w:type="dxa" w:w="100"/>
            </w:tcMar>
            <w:vAlign w:val="top"/>
          </w:tcPr>
          <w:p>
            <w:r>
              <w:rPr>
                <w:b w:val="false"/>
                <w:bCs w:val="false"/>
                <w:color w:val="1F2937"/>
                <w:sz w:val="17"/>
                <w:szCs w:val="17"/>
              </w:rPr>
              <w:t xml:space="preserve">Strong</w:t>
            </w:r>
          </w:p>
        </w:tc>
        <w:tc>
          <w:tcPr>
            <w:tcW w:type="dxa" w:w="1808"/>
            <w:tcMar>
              <w:top w:type="dxa" w:w="80"/>
              <w:left w:type="dxa" w:w="100"/>
              <w:bottom w:type="dxa" w:w="80"/>
              <w:right w:type="dxa" w:w="100"/>
            </w:tcMar>
            <w:vAlign w:val="top"/>
          </w:tcPr>
          <w:p>
            <w:r>
              <w:rPr>
                <w:b w:val="false"/>
                <w:bCs w:val="false"/>
                <w:color w:val="1F2937"/>
                <w:sz w:val="17"/>
                <w:szCs w:val="17"/>
              </w:rPr>
              <w:t xml:space="preserve">Good</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RBAC &amp; audit logs</w:t>
            </w:r>
          </w:p>
        </w:tc>
        <w:tc>
          <w:tcPr>
            <w:tcW w:type="dxa" w:w="1806"/>
            <w:tcMar>
              <w:top w:type="dxa" w:w="80"/>
              <w:left w:type="dxa" w:w="100"/>
              <w:bottom w:type="dxa" w:w="80"/>
              <w:right w:type="dxa" w:w="100"/>
            </w:tcMar>
            <w:vAlign w:val="top"/>
          </w:tcPr>
          <w:p>
            <w:r>
              <w:rPr>
                <w:b w:val="false"/>
                <w:bCs w:val="false"/>
                <w:color w:val="1F2937"/>
                <w:sz w:val="17"/>
                <w:szCs w:val="17"/>
              </w:rPr>
              <w:t xml:space="preserve">Available Professional/Enterprise tiers</w:t>
            </w:r>
          </w:p>
        </w:tc>
        <w:tc>
          <w:tcPr>
            <w:tcW w:type="dxa" w:w="1806"/>
            <w:tcMar>
              <w:top w:type="dxa" w:w="80"/>
              <w:left w:type="dxa" w:w="100"/>
              <w:bottom w:type="dxa" w:w="80"/>
              <w:right w:type="dxa" w:w="100"/>
            </w:tcMar>
            <w:vAlign w:val="top"/>
          </w:tcPr>
          <w:p>
            <w:r>
              <w:rPr>
                <w:b w:val="false"/>
                <w:bCs w:val="false"/>
                <w:color w:val="1F2937"/>
                <w:sz w:val="17"/>
                <w:szCs w:val="17"/>
              </w:rPr>
              <w:t xml:space="preserve">Enterprise-grade profiles, permission sets, field history tracking, event monitoring</w:t>
            </w:r>
          </w:p>
        </w:tc>
        <w:tc>
          <w:tcPr>
            <w:tcW w:type="dxa" w:w="1806"/>
            <w:tcMar>
              <w:top w:type="dxa" w:w="80"/>
              <w:left w:type="dxa" w:w="100"/>
              <w:bottom w:type="dxa" w:w="80"/>
              <w:right w:type="dxa" w:w="100"/>
            </w:tcMar>
            <w:vAlign w:val="top"/>
          </w:tcPr>
          <w:p>
            <w:r>
              <w:rPr>
                <w:b w:val="false"/>
                <w:bCs w:val="false"/>
                <w:color w:val="1F2937"/>
                <w:sz w:val="17"/>
                <w:szCs w:val="17"/>
              </w:rPr>
              <w:t xml:space="preserve">Role hierarchy + profiles; full audit log on Enterprise tier</w:t>
            </w:r>
          </w:p>
        </w:tc>
        <w:tc>
          <w:tcPr>
            <w:tcW w:type="dxa" w:w="1808"/>
            <w:tcMar>
              <w:top w:type="dxa" w:w="80"/>
              <w:left w:type="dxa" w:w="100"/>
              <w:bottom w:type="dxa" w:w="80"/>
              <w:right w:type="dxa" w:w="100"/>
            </w:tcMar>
            <w:vAlign w:val="top"/>
          </w:tcPr>
          <w:p>
            <w:r>
              <w:rPr>
                <w:b w:val="false"/>
                <w:bCs w:val="false"/>
                <w:color w:val="1F2937"/>
                <w:sz w:val="17"/>
                <w:szCs w:val="17"/>
              </w:rPr>
              <w:t xml:space="preserve">Role-based permissions; audit logging is lighter than Salesforce/Zoho Enterprise</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Mobile support</w:t>
            </w:r>
          </w:p>
        </w:tc>
        <w:tc>
          <w:tcPr>
            <w:tcW w:type="dxa" w:w="1806"/>
            <w:tcMar>
              <w:top w:type="dxa" w:w="80"/>
              <w:left w:type="dxa" w:w="100"/>
              <w:bottom w:type="dxa" w:w="80"/>
              <w:right w:type="dxa" w:w="100"/>
            </w:tcMar>
            <w:vAlign w:val="top"/>
          </w:tcPr>
          <w:p>
            <w:r>
              <w:rPr>
                <w:b w:val="false"/>
                <w:bCs w:val="false"/>
                <w:color w:val="1F2937"/>
                <w:sz w:val="17"/>
                <w:szCs w:val="17"/>
              </w:rPr>
              <w:t xml:space="preserve">iOS/Android apps</w:t>
            </w:r>
          </w:p>
        </w:tc>
        <w:tc>
          <w:tcPr>
            <w:tcW w:type="dxa" w:w="1806"/>
            <w:tcMar>
              <w:top w:type="dxa" w:w="80"/>
              <w:left w:type="dxa" w:w="100"/>
              <w:bottom w:type="dxa" w:w="80"/>
              <w:right w:type="dxa" w:w="100"/>
            </w:tcMar>
            <w:vAlign w:val="top"/>
          </w:tcPr>
          <w:p>
            <w:r>
              <w:rPr>
                <w:b w:val="false"/>
                <w:bCs w:val="false"/>
                <w:color w:val="1F2937"/>
                <w:sz w:val="17"/>
                <w:szCs w:val="17"/>
              </w:rPr>
              <w:t xml:space="preserve">iOS/Android apps, highly configurable</w:t>
            </w:r>
          </w:p>
        </w:tc>
        <w:tc>
          <w:tcPr>
            <w:tcW w:type="dxa" w:w="1806"/>
            <w:tcMar>
              <w:top w:type="dxa" w:w="80"/>
              <w:left w:type="dxa" w:w="100"/>
              <w:bottom w:type="dxa" w:w="80"/>
              <w:right w:type="dxa" w:w="100"/>
            </w:tcMar>
            <w:vAlign w:val="top"/>
          </w:tcPr>
          <w:p>
            <w:r>
              <w:rPr>
                <w:b w:val="false"/>
                <w:bCs w:val="false"/>
                <w:color w:val="1F2937"/>
                <w:sz w:val="17"/>
                <w:szCs w:val="17"/>
              </w:rPr>
              <w:t xml:space="preserve">iOS/Android apps</w:t>
            </w:r>
          </w:p>
        </w:tc>
        <w:tc>
          <w:tcPr>
            <w:tcW w:type="dxa" w:w="1808"/>
            <w:tcMar>
              <w:top w:type="dxa" w:w="80"/>
              <w:left w:type="dxa" w:w="100"/>
              <w:bottom w:type="dxa" w:w="80"/>
              <w:right w:type="dxa" w:w="100"/>
            </w:tcMar>
            <w:vAlign w:val="top"/>
          </w:tcPr>
          <w:p>
            <w:r>
              <w:rPr>
                <w:b w:val="false"/>
                <w:bCs w:val="false"/>
                <w:color w:val="1F2937"/>
                <w:sz w:val="17"/>
                <w:szCs w:val="17"/>
              </w:rPr>
              <w:t xml:space="preserve">iOS/Android apps</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AI capabilities</w:t>
            </w:r>
          </w:p>
        </w:tc>
        <w:tc>
          <w:tcPr>
            <w:tcW w:type="dxa" w:w="1806"/>
            <w:tcMar>
              <w:top w:type="dxa" w:w="80"/>
              <w:left w:type="dxa" w:w="100"/>
              <w:bottom w:type="dxa" w:w="80"/>
              <w:right w:type="dxa" w:w="100"/>
            </w:tcMar>
            <w:vAlign w:val="top"/>
          </w:tcPr>
          <w:p>
            <w:r>
              <w:rPr>
                <w:b w:val="false"/>
                <w:bCs w:val="false"/>
                <w:color w:val="1F2937"/>
                <w:sz w:val="17"/>
                <w:szCs w:val="17"/>
              </w:rPr>
              <w:t xml:space="preserve">Breeze AI (content, prospecting, chat agents)</w:t>
            </w:r>
          </w:p>
        </w:tc>
        <w:tc>
          <w:tcPr>
            <w:tcW w:type="dxa" w:w="1806"/>
            <w:tcMar>
              <w:top w:type="dxa" w:w="80"/>
              <w:left w:type="dxa" w:w="100"/>
              <w:bottom w:type="dxa" w:w="80"/>
              <w:right w:type="dxa" w:w="100"/>
            </w:tcMar>
            <w:vAlign w:val="top"/>
          </w:tcPr>
          <w:p>
            <w:r>
              <w:rPr>
                <w:b w:val="false"/>
                <w:bCs w:val="false"/>
                <w:color w:val="1F2937"/>
                <w:sz w:val="17"/>
                <w:szCs w:val="17"/>
              </w:rPr>
              <w:t xml:space="preserve">Agentforce + Einstein — deep, but priced as add-ons (Einstein Bots ~US$75/user/mo, Data Cloud ~US$25–50/user/mo, Agentforce ~US$2/conversation)</w:t>
            </w:r>
          </w:p>
        </w:tc>
        <w:tc>
          <w:tcPr>
            <w:tcW w:type="dxa" w:w="1806"/>
            <w:tcMar>
              <w:top w:type="dxa" w:w="80"/>
              <w:left w:type="dxa" w:w="100"/>
              <w:bottom w:type="dxa" w:w="80"/>
              <w:right w:type="dxa" w:w="100"/>
            </w:tcMar>
            <w:vAlign w:val="top"/>
          </w:tcPr>
          <w:p>
            <w:r>
              <w:rPr>
                <w:b w:val="false"/>
                <w:bCs w:val="false"/>
                <w:color w:val="1F2937"/>
                <w:sz w:val="17"/>
                <w:szCs w:val="17"/>
              </w:rPr>
              <w:t xml:space="preserve">Zia AI — predictive scoring, conversational AI, forecasting</w:t>
            </w:r>
          </w:p>
        </w:tc>
        <w:tc>
          <w:tcPr>
            <w:tcW w:type="dxa" w:w="1808"/>
            <w:tcMar>
              <w:top w:type="dxa" w:w="80"/>
              <w:left w:type="dxa" w:w="100"/>
              <w:bottom w:type="dxa" w:w="80"/>
              <w:right w:type="dxa" w:w="100"/>
            </w:tcMar>
            <w:vAlign w:val="top"/>
          </w:tcPr>
          <w:p>
            <w:r>
              <w:rPr>
                <w:b w:val="false"/>
                <w:bCs w:val="false"/>
                <w:color w:val="1F2937"/>
                <w:sz w:val="17"/>
                <w:szCs w:val="17"/>
              </w:rPr>
              <w:t xml:space="preserve">Freddy AI — lead scoring, deal insights, next-best-action (Pro US$39/user/mo, Enterprise US$59/user/mo for full features)</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Indicative licensing / cost</w:t>
            </w:r>
          </w:p>
        </w:tc>
        <w:tc>
          <w:tcPr>
            <w:tcW w:type="dxa" w:w="1806"/>
            <w:tcMar>
              <w:top w:type="dxa" w:w="80"/>
              <w:left w:type="dxa" w:w="100"/>
              <w:bottom w:type="dxa" w:w="80"/>
              <w:right w:type="dxa" w:w="100"/>
            </w:tcMar>
            <w:vAlign w:val="top"/>
          </w:tcPr>
          <w:p>
            <w:r>
              <w:rPr>
                <w:b w:val="false"/>
                <w:bCs w:val="false"/>
                <w:color w:val="1F2937"/>
                <w:sz w:val="17"/>
                <w:szCs w:val="17"/>
              </w:rPr>
              <w:t xml:space="preserve">Free CRM tier; paid Hubs roughly US$20–130+/seat/mo depending on tier</w:t>
            </w:r>
          </w:p>
        </w:tc>
        <w:tc>
          <w:tcPr>
            <w:tcW w:type="dxa" w:w="1806"/>
            <w:tcMar>
              <w:top w:type="dxa" w:w="80"/>
              <w:left w:type="dxa" w:w="100"/>
              <w:bottom w:type="dxa" w:w="80"/>
              <w:right w:type="dxa" w:w="100"/>
            </w:tcMar>
            <w:vAlign w:val="top"/>
          </w:tcPr>
          <w:p>
            <w:r>
              <w:rPr>
                <w:b w:val="false"/>
                <w:bCs w:val="false"/>
                <w:color w:val="1F2937"/>
                <w:sz w:val="17"/>
                <w:szCs w:val="17"/>
              </w:rPr>
              <w:t xml:space="preserve">Highest cost tier of all options; Enterprise Edition required for AI add-ons; implementation often US$50k–150k+</w:t>
            </w:r>
          </w:p>
        </w:tc>
        <w:tc>
          <w:tcPr>
            <w:tcW w:type="dxa" w:w="1806"/>
            <w:tcMar>
              <w:top w:type="dxa" w:w="80"/>
              <w:left w:type="dxa" w:w="100"/>
              <w:bottom w:type="dxa" w:w="80"/>
              <w:right w:type="dxa" w:w="100"/>
            </w:tcMar>
            <w:vAlign w:val="top"/>
          </w:tcPr>
          <w:p>
            <w:r>
              <w:rPr>
                <w:b w:val="false"/>
                <w:bCs w:val="false"/>
                <w:color w:val="1F2937"/>
                <w:sz w:val="17"/>
                <w:szCs w:val="17"/>
              </w:rPr>
              <w:t xml:space="preserve">Free (≤3 users); Standard US$14, Professional US$23, Enterprise US$40 per user/mo (annual)</w:t>
            </w:r>
          </w:p>
        </w:tc>
        <w:tc>
          <w:tcPr>
            <w:tcW w:type="dxa" w:w="1808"/>
            <w:tcMar>
              <w:top w:type="dxa" w:w="80"/>
              <w:left w:type="dxa" w:w="100"/>
              <w:bottom w:type="dxa" w:w="80"/>
              <w:right w:type="dxa" w:w="100"/>
            </w:tcMar>
            <w:vAlign w:val="top"/>
          </w:tcPr>
          <w:p>
            <w:r>
              <w:rPr>
                <w:b w:val="false"/>
                <w:bCs w:val="false"/>
                <w:color w:val="1F2937"/>
                <w:sz w:val="17"/>
                <w:szCs w:val="17"/>
              </w:rPr>
              <w:t xml:space="preserve">Free (≤3 users); paid tiers from ~US$9/user/mo up to ~US$59+/user/mo with Freddy</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Scalability</w:t>
            </w:r>
          </w:p>
        </w:tc>
        <w:tc>
          <w:tcPr>
            <w:tcW w:type="dxa" w:w="1806"/>
            <w:tcMar>
              <w:top w:type="dxa" w:w="80"/>
              <w:left w:type="dxa" w:w="100"/>
              <w:bottom w:type="dxa" w:w="80"/>
              <w:right w:type="dxa" w:w="100"/>
            </w:tcMar>
            <w:vAlign w:val="top"/>
          </w:tcPr>
          <w:p>
            <w:r>
              <w:rPr>
                <w:b w:val="false"/>
                <w:bCs w:val="false"/>
                <w:color w:val="1F2937"/>
                <w:sz w:val="17"/>
                <w:szCs w:val="17"/>
              </w:rPr>
              <w:t xml:space="preserve">Enterprise-proven; cost scales fast with contacts/seats</w:t>
            </w:r>
          </w:p>
        </w:tc>
        <w:tc>
          <w:tcPr>
            <w:tcW w:type="dxa" w:w="1806"/>
            <w:tcMar>
              <w:top w:type="dxa" w:w="80"/>
              <w:left w:type="dxa" w:w="100"/>
              <w:bottom w:type="dxa" w:w="80"/>
              <w:right w:type="dxa" w:w="100"/>
            </w:tcMar>
            <w:vAlign w:val="top"/>
          </w:tcPr>
          <w:p>
            <w:r>
              <w:rPr>
                <w:b w:val="false"/>
                <w:bCs w:val="false"/>
                <w:color w:val="1F2937"/>
                <w:sz w:val="17"/>
                <w:szCs w:val="17"/>
              </w:rPr>
              <w:t xml:space="preserve">Best-in-class for very large organisations (1000s of users)</w:t>
            </w:r>
          </w:p>
        </w:tc>
        <w:tc>
          <w:tcPr>
            <w:tcW w:type="dxa" w:w="1806"/>
            <w:tcMar>
              <w:top w:type="dxa" w:w="80"/>
              <w:left w:type="dxa" w:w="100"/>
              <w:bottom w:type="dxa" w:w="80"/>
              <w:right w:type="dxa" w:w="100"/>
            </w:tcMar>
            <w:vAlign w:val="top"/>
          </w:tcPr>
          <w:p>
            <w:r>
              <w:rPr>
                <w:b w:val="false"/>
                <w:bCs w:val="false"/>
                <w:color w:val="1F2937"/>
                <w:sz w:val="17"/>
                <w:szCs w:val="17"/>
              </w:rPr>
              <w:t xml:space="preserve">Good, SMB to mid-enterprise</w:t>
            </w:r>
          </w:p>
        </w:tc>
        <w:tc>
          <w:tcPr>
            <w:tcW w:type="dxa" w:w="1808"/>
            <w:tcMar>
              <w:top w:type="dxa" w:w="80"/>
              <w:left w:type="dxa" w:w="100"/>
              <w:bottom w:type="dxa" w:w="80"/>
              <w:right w:type="dxa" w:w="100"/>
            </w:tcMar>
            <w:vAlign w:val="top"/>
          </w:tcPr>
          <w:p>
            <w:r>
              <w:rPr>
                <w:b w:val="false"/>
                <w:bCs w:val="false"/>
                <w:color w:val="1F2937"/>
                <w:sz w:val="17"/>
                <w:szCs w:val="17"/>
              </w:rPr>
              <w:t xml:space="preserve">Good, SMB to mid-market</w:t>
            </w:r>
          </w:p>
        </w:tc>
      </w:tr>
      <w:tr>
        <w:tc>
          <w:tcPr>
            <w:tcW w:type="dxa" w:w="1800"/>
            <w:shd w:fill="F3F4F6" w:val="clear"/>
            <w:tcMar>
              <w:top w:type="dxa" w:w="80"/>
              <w:left w:type="dxa" w:w="100"/>
              <w:bottom w:type="dxa" w:w="80"/>
              <w:right w:type="dxa" w:w="100"/>
            </w:tcMar>
            <w:vAlign w:val="top"/>
          </w:tcPr>
          <w:p>
            <w:r>
              <w:rPr>
                <w:b w:val="false"/>
                <w:bCs w:val="false"/>
                <w:color w:val="1F2937"/>
                <w:sz w:val="17"/>
                <w:szCs w:val="17"/>
              </w:rPr>
              <w:t xml:space="preserve">Laravel integration effort</w:t>
            </w:r>
          </w:p>
        </w:tc>
        <w:tc>
          <w:tcPr>
            <w:tcW w:type="dxa" w:w="1806"/>
            <w:tcMar>
              <w:top w:type="dxa" w:w="80"/>
              <w:left w:type="dxa" w:w="100"/>
              <w:bottom w:type="dxa" w:w="80"/>
              <w:right w:type="dxa" w:w="100"/>
            </w:tcMar>
            <w:vAlign w:val="top"/>
          </w:tcPr>
          <w:p>
            <w:r>
              <w:rPr>
                <w:b w:val="false"/>
                <w:bCs w:val="false"/>
                <w:color w:val="1F2937"/>
                <w:sz w:val="17"/>
                <w:szCs w:val="17"/>
              </w:rPr>
              <w:t xml:space="preserve">Low-medium — REST API, no official PHP SDK</w:t>
            </w:r>
          </w:p>
        </w:tc>
        <w:tc>
          <w:tcPr>
            <w:tcW w:type="dxa" w:w="1806"/>
            <w:tcMar>
              <w:top w:type="dxa" w:w="80"/>
              <w:left w:type="dxa" w:w="100"/>
              <w:bottom w:type="dxa" w:w="80"/>
              <w:right w:type="dxa" w:w="100"/>
            </w:tcMar>
            <w:vAlign w:val="top"/>
          </w:tcPr>
          <w:p>
            <w:r>
              <w:rPr>
                <w:b w:val="false"/>
                <w:bCs w:val="false"/>
                <w:color w:val="1F2937"/>
                <w:sz w:val="17"/>
                <w:szCs w:val="17"/>
              </w:rPr>
              <w:t xml:space="preserve">Medium-high — steep learning curve (Apex/SOQL), often needs a specialist integrator</w:t>
            </w:r>
          </w:p>
        </w:tc>
        <w:tc>
          <w:tcPr>
            <w:tcW w:type="dxa" w:w="1806"/>
            <w:tcMar>
              <w:top w:type="dxa" w:w="80"/>
              <w:left w:type="dxa" w:w="100"/>
              <w:bottom w:type="dxa" w:w="80"/>
              <w:right w:type="dxa" w:w="100"/>
            </w:tcMar>
            <w:vAlign w:val="top"/>
          </w:tcPr>
          <w:p>
            <w:r>
              <w:rPr>
                <w:b w:val="false"/>
                <w:bCs w:val="false"/>
                <w:color w:val="1F2937"/>
                <w:sz w:val="17"/>
                <w:szCs w:val="17"/>
              </w:rPr>
              <w:t xml:space="preserve">Low — community Laravel packages already exist (e.g. asciisd/zoho-v3)</w:t>
            </w:r>
          </w:p>
        </w:tc>
        <w:tc>
          <w:tcPr>
            <w:tcW w:type="dxa" w:w="1808"/>
            <w:tcMar>
              <w:top w:type="dxa" w:w="80"/>
              <w:left w:type="dxa" w:w="100"/>
              <w:bottom w:type="dxa" w:w="80"/>
              <w:right w:type="dxa" w:w="100"/>
            </w:tcMar>
            <w:vAlign w:val="top"/>
          </w:tcPr>
          <w:p>
            <w:r>
              <w:rPr>
                <w:b w:val="false"/>
                <w:bCs w:val="false"/>
                <w:color w:val="1F2937"/>
                <w:sz w:val="17"/>
                <w:szCs w:val="17"/>
              </w:rPr>
              <w:t xml:space="preserve">Low-medium — REST API is straightforward, fewer ready-made Laravel packages</w:t>
            </w:r>
          </w:p>
        </w:tc>
      </w:tr>
    </w:tbl>
    <w:p>
      <w:r>
        <w:br w:type="page"/>
      </w:r>
    </w:p>
    <w:p>
      <w:pPr>
        <w:pStyle w:val="Heading1"/>
        <w:spacing w:after="150" w:before="300"/>
      </w:pPr>
      <w:r>
        <w:t xml:space="preserve">4. Comparison — Open-Source, Self-Hosted CRMs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9"/>
        <w:gridCol w:w="2209"/>
        <w:gridCol w:w="2208"/>
      </w:tblGrid>
      <w:tr>
        <w:trPr>
          <w:tblHeader/>
        </w:trPr>
        <w:tc>
          <w:tcPr>
            <w:tcW w:type="dxa" w:w="2400"/>
            <w:shd w:fill="1565C0" w:val="clear"/>
            <w:tcMar>
              <w:top w:type="dxa" w:w="80"/>
              <w:left w:type="dxa" w:w="100"/>
              <w:bottom w:type="dxa" w:w="80"/>
              <w:right w:type="dxa" w:w="100"/>
            </w:tcMar>
            <w:vAlign w:val="top"/>
          </w:tcPr>
          <w:p>
            <w:r>
              <w:rPr>
                <w:b/>
                <w:bCs/>
                <w:color w:val="FFFFFF"/>
                <w:sz w:val="18"/>
                <w:szCs w:val="18"/>
              </w:rPr>
              <w:t xml:space="preserve">Criteria</w:t>
            </w:r>
          </w:p>
        </w:tc>
        <w:tc>
          <w:tcPr>
            <w:tcW w:type="dxa" w:w="2209"/>
            <w:shd w:fill="1565C0" w:val="clear"/>
            <w:tcMar>
              <w:top w:type="dxa" w:w="80"/>
              <w:left w:type="dxa" w:w="100"/>
              <w:bottom w:type="dxa" w:w="80"/>
              <w:right w:type="dxa" w:w="100"/>
            </w:tcMar>
            <w:vAlign w:val="top"/>
          </w:tcPr>
          <w:p>
            <w:r>
              <w:rPr>
                <w:b/>
                <w:bCs/>
                <w:color w:val="FFFFFF"/>
                <w:sz w:val="18"/>
                <w:szCs w:val="18"/>
              </w:rPr>
              <w:t xml:space="preserve">SuiteCRM</w:t>
            </w:r>
          </w:p>
        </w:tc>
        <w:tc>
          <w:tcPr>
            <w:tcW w:type="dxa" w:w="2209"/>
            <w:shd w:fill="1565C0" w:val="clear"/>
            <w:tcMar>
              <w:top w:type="dxa" w:w="80"/>
              <w:left w:type="dxa" w:w="100"/>
              <w:bottom w:type="dxa" w:w="80"/>
              <w:right w:type="dxa" w:w="100"/>
            </w:tcMar>
            <w:vAlign w:val="top"/>
          </w:tcPr>
          <w:p>
            <w:r>
              <w:rPr>
                <w:b/>
                <w:bCs/>
                <w:color w:val="FFFFFF"/>
                <w:sz w:val="18"/>
                <w:szCs w:val="18"/>
              </w:rPr>
              <w:t xml:space="preserve">EspoCRM</w:t>
            </w:r>
          </w:p>
        </w:tc>
        <w:tc>
          <w:tcPr>
            <w:tcW w:type="dxa" w:w="2208"/>
            <w:shd w:fill="1565C0" w:val="clear"/>
            <w:tcMar>
              <w:top w:type="dxa" w:w="80"/>
              <w:left w:type="dxa" w:w="100"/>
              <w:bottom w:type="dxa" w:w="80"/>
              <w:right w:type="dxa" w:w="100"/>
            </w:tcMar>
            <w:vAlign w:val="top"/>
          </w:tcPr>
          <w:p>
            <w:r>
              <w:rPr>
                <w:b/>
                <w:bCs/>
                <w:color w:val="FFFFFF"/>
                <w:sz w:val="18"/>
                <w:szCs w:val="18"/>
              </w:rPr>
              <w:t xml:space="preserve">Twenty CRM</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Deployment / stack</w:t>
            </w:r>
          </w:p>
        </w:tc>
        <w:tc>
          <w:tcPr>
            <w:tcW w:type="dxa" w:w="2209"/>
            <w:tcMar>
              <w:top w:type="dxa" w:w="80"/>
              <w:left w:type="dxa" w:w="100"/>
              <w:bottom w:type="dxa" w:w="80"/>
              <w:right w:type="dxa" w:w="100"/>
            </w:tcMar>
            <w:vAlign w:val="top"/>
          </w:tcPr>
          <w:p>
            <w:r>
              <w:rPr>
                <w:b w:val="false"/>
                <w:bCs w:val="false"/>
                <w:color w:val="1F2937"/>
                <w:sz w:val="17"/>
                <w:szCs w:val="17"/>
              </w:rPr>
              <w:t xml:space="preserve">Self-hosted, PHP + MySQL — same stack as GeneralLink</w:t>
            </w:r>
          </w:p>
        </w:tc>
        <w:tc>
          <w:tcPr>
            <w:tcW w:type="dxa" w:w="2209"/>
            <w:tcMar>
              <w:top w:type="dxa" w:w="80"/>
              <w:left w:type="dxa" w:w="100"/>
              <w:bottom w:type="dxa" w:w="80"/>
              <w:right w:type="dxa" w:w="100"/>
            </w:tcMar>
            <w:vAlign w:val="top"/>
          </w:tcPr>
          <w:p>
            <w:r>
              <w:rPr>
                <w:b w:val="false"/>
                <w:bCs w:val="false"/>
                <w:color w:val="1F2937"/>
                <w:sz w:val="17"/>
                <w:szCs w:val="17"/>
              </w:rPr>
              <w:t xml:space="preserve">Self-hosted, PHP + MySQL — same stack as GeneralLink</w:t>
            </w:r>
          </w:p>
        </w:tc>
        <w:tc>
          <w:tcPr>
            <w:tcW w:type="dxa" w:w="2208"/>
            <w:tcMar>
              <w:top w:type="dxa" w:w="80"/>
              <w:left w:type="dxa" w:w="100"/>
              <w:bottom w:type="dxa" w:w="80"/>
              <w:right w:type="dxa" w:w="100"/>
            </w:tcMar>
            <w:vAlign w:val="top"/>
          </w:tcPr>
          <w:p>
            <w:r>
              <w:rPr>
                <w:b w:val="false"/>
                <w:bCs w:val="false"/>
                <w:color w:val="1F2937"/>
                <w:sz w:val="17"/>
                <w:szCs w:val="17"/>
              </w:rPr>
              <w:t xml:space="preserve">Self-hosted (Docker), TypeScript/NestJS/React + PostgreSQL — different stack</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True UI embedding into GeneralLink</w:t>
            </w:r>
          </w:p>
        </w:tc>
        <w:tc>
          <w:tcPr>
            <w:tcW w:type="dxa" w:w="2209"/>
            <w:tcMar>
              <w:top w:type="dxa" w:w="80"/>
              <w:left w:type="dxa" w:w="100"/>
              <w:bottom w:type="dxa" w:w="80"/>
              <w:right w:type="dxa" w:w="100"/>
            </w:tcMar>
            <w:vAlign w:val="top"/>
          </w:tcPr>
          <w:p>
            <w:r>
              <w:rPr>
                <w:b w:val="false"/>
                <w:bCs w:val="false"/>
                <w:color w:val="1F2937"/>
                <w:sz w:val="17"/>
                <w:szCs w:val="17"/>
              </w:rPr>
              <w:t xml:space="preserve">Realistic — you control the server/code, so iframe + SSO token hand-off is workable; UI is dated (older Sencha-derived screens), hard to visually match GeneralLink's pixel-tight styling</w:t>
            </w:r>
          </w:p>
        </w:tc>
        <w:tc>
          <w:tcPr>
            <w:tcW w:type="dxa" w:w="2209"/>
            <w:tcMar>
              <w:top w:type="dxa" w:w="80"/>
              <w:left w:type="dxa" w:w="100"/>
              <w:bottom w:type="dxa" w:w="80"/>
              <w:right w:type="dxa" w:w="100"/>
            </w:tcMar>
            <w:vAlign w:val="top"/>
          </w:tcPr>
          <w:p>
            <w:r>
              <w:rPr>
                <w:b w:val="false"/>
                <w:bCs w:val="false"/>
                <w:color w:val="1F2937"/>
                <w:sz w:val="17"/>
                <w:szCs w:val="17"/>
              </w:rPr>
              <w:t xml:space="preserve">Realistic — modern, lighter front-end than SuiteCRM, somewhat easier to theme or reskin toward GeneralLink's look</w:t>
            </w:r>
          </w:p>
        </w:tc>
        <w:tc>
          <w:tcPr>
            <w:tcW w:type="dxa" w:w="2208"/>
            <w:tcMar>
              <w:top w:type="dxa" w:w="80"/>
              <w:left w:type="dxa" w:w="100"/>
              <w:bottom w:type="dxa" w:w="80"/>
              <w:right w:type="dxa" w:w="100"/>
            </w:tcMar>
            <w:vAlign w:val="top"/>
          </w:tcPr>
          <w:p>
            <w:r>
              <w:rPr>
                <w:b w:val="false"/>
                <w:bCs w:val="false"/>
                <w:color w:val="1F2937"/>
                <w:sz w:val="17"/>
                <w:szCs w:val="17"/>
              </w:rPr>
              <w:t xml:space="preserve">Technically possible (Docker + reverse proxy + SSO) but the newest/least battle-tested of the three for this</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Licensing</w:t>
            </w:r>
          </w:p>
        </w:tc>
        <w:tc>
          <w:tcPr>
            <w:tcW w:type="dxa" w:w="2209"/>
            <w:tcMar>
              <w:top w:type="dxa" w:w="80"/>
              <w:left w:type="dxa" w:w="100"/>
              <w:bottom w:type="dxa" w:w="80"/>
              <w:right w:type="dxa" w:w="100"/>
            </w:tcMar>
            <w:vAlign w:val="top"/>
          </w:tcPr>
          <w:p>
            <w:r>
              <w:rPr>
                <w:b w:val="false"/>
                <w:bCs w:val="false"/>
                <w:color w:val="1F2937"/>
                <w:sz w:val="17"/>
                <w:szCs w:val="17"/>
              </w:rPr>
              <w:t xml:space="preserve">GPL v3 — free core; optional paid support/hosting from SalesAgility</w:t>
            </w:r>
          </w:p>
        </w:tc>
        <w:tc>
          <w:tcPr>
            <w:tcW w:type="dxa" w:w="2209"/>
            <w:tcMar>
              <w:top w:type="dxa" w:w="80"/>
              <w:left w:type="dxa" w:w="100"/>
              <w:bottom w:type="dxa" w:w="80"/>
              <w:right w:type="dxa" w:w="100"/>
            </w:tcMar>
            <w:vAlign w:val="top"/>
          </w:tcPr>
          <w:p>
            <w:r>
              <w:rPr>
                <w:b w:val="false"/>
                <w:bCs w:val="false"/>
                <w:color w:val="1F2937"/>
                <w:sz w:val="17"/>
                <w:szCs w:val="17"/>
              </w:rPr>
              <w:t xml:space="preserve">GPL v3 — free core; paid "Advanced Pack" extension for deeper workflow/BPM</w:t>
            </w:r>
          </w:p>
        </w:tc>
        <w:tc>
          <w:tcPr>
            <w:tcW w:type="dxa" w:w="2208"/>
            <w:tcMar>
              <w:top w:type="dxa" w:w="80"/>
              <w:left w:type="dxa" w:w="100"/>
              <w:bottom w:type="dxa" w:w="80"/>
              <w:right w:type="dxa" w:w="100"/>
            </w:tcMar>
            <w:vAlign w:val="top"/>
          </w:tcPr>
          <w:p>
            <w:r>
              <w:rPr>
                <w:b w:val="false"/>
                <w:bCs w:val="false"/>
                <w:color w:val="1F2937"/>
                <w:sz w:val="17"/>
                <w:szCs w:val="17"/>
              </w:rPr>
              <w:t xml:space="preserve">AGPL-3.0 — free; ~45k GitHub stars, fast-growing; AGPL has stricter obligations if you modify and re-offer it as a hosted service</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Customer 360 / contact &amp; lead mgmt</w:t>
            </w:r>
          </w:p>
        </w:tc>
        <w:tc>
          <w:tcPr>
            <w:tcW w:type="dxa" w:w="2209"/>
            <w:tcMar>
              <w:top w:type="dxa" w:w="80"/>
              <w:left w:type="dxa" w:w="100"/>
              <w:bottom w:type="dxa" w:w="80"/>
              <w:right w:type="dxa" w:w="100"/>
            </w:tcMar>
            <w:vAlign w:val="top"/>
          </w:tcPr>
          <w:p>
            <w:r>
              <w:rPr>
                <w:b w:val="false"/>
                <w:bCs w:val="false"/>
                <w:color w:val="1F2937"/>
                <w:sz w:val="17"/>
                <w:szCs w:val="17"/>
              </w:rPr>
              <w:t xml:space="preserve">Deep, enterprise-grade modules (Leads, Contacts, Accounts, Cases, Campaigns)</w:t>
            </w:r>
          </w:p>
        </w:tc>
        <w:tc>
          <w:tcPr>
            <w:tcW w:type="dxa" w:w="2209"/>
            <w:tcMar>
              <w:top w:type="dxa" w:w="80"/>
              <w:left w:type="dxa" w:w="100"/>
              <w:bottom w:type="dxa" w:w="80"/>
              <w:right w:type="dxa" w:w="100"/>
            </w:tcMar>
            <w:vAlign w:val="top"/>
          </w:tcPr>
          <w:p>
            <w:r>
              <w:rPr>
                <w:b w:val="false"/>
                <w:bCs w:val="false"/>
                <w:color w:val="1F2937"/>
                <w:sz w:val="17"/>
                <w:szCs w:val="17"/>
              </w:rPr>
              <w:t xml:space="preserve">Solid, clean, modern module set</w:t>
            </w:r>
          </w:p>
        </w:tc>
        <w:tc>
          <w:tcPr>
            <w:tcW w:type="dxa" w:w="2208"/>
            <w:tcMar>
              <w:top w:type="dxa" w:w="80"/>
              <w:left w:type="dxa" w:w="100"/>
              <w:bottom w:type="dxa" w:w="80"/>
              <w:right w:type="dxa" w:w="100"/>
            </w:tcMar>
            <w:vAlign w:val="top"/>
          </w:tcPr>
          <w:p>
            <w:r>
              <w:rPr>
                <w:b w:val="false"/>
                <w:bCs w:val="false"/>
                <w:color w:val="1F2937"/>
                <w:sz w:val="17"/>
                <w:szCs w:val="17"/>
              </w:rPr>
              <w:t xml:space="preserve">Clean and modern, but the module depth (Cases, Campaigns) is thinner than SuiteCRM/EspoCRM — still maturing</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Opportunity / sales pipeline</w:t>
            </w:r>
          </w:p>
        </w:tc>
        <w:tc>
          <w:tcPr>
            <w:tcW w:type="dxa" w:w="2209"/>
            <w:tcMar>
              <w:top w:type="dxa" w:w="80"/>
              <w:left w:type="dxa" w:w="100"/>
              <w:bottom w:type="dxa" w:w="80"/>
              <w:right w:type="dxa" w:w="100"/>
            </w:tcMar>
            <w:vAlign w:val="top"/>
          </w:tcPr>
          <w:p>
            <w:r>
              <w:rPr>
                <w:b w:val="false"/>
                <w:bCs w:val="false"/>
                <w:color w:val="1F2937"/>
                <w:sz w:val="17"/>
                <w:szCs w:val="17"/>
              </w:rPr>
              <w:t xml:space="preserve">Yes — mature Opportunities module</w:t>
            </w:r>
          </w:p>
        </w:tc>
        <w:tc>
          <w:tcPr>
            <w:tcW w:type="dxa" w:w="2209"/>
            <w:tcMar>
              <w:top w:type="dxa" w:w="80"/>
              <w:left w:type="dxa" w:w="100"/>
              <w:bottom w:type="dxa" w:w="80"/>
              <w:right w:type="dxa" w:w="100"/>
            </w:tcMar>
            <w:vAlign w:val="top"/>
          </w:tcPr>
          <w:p>
            <w:r>
              <w:rPr>
                <w:b w:val="false"/>
                <w:bCs w:val="false"/>
                <w:color w:val="1F2937"/>
                <w:sz w:val="17"/>
                <w:szCs w:val="17"/>
              </w:rPr>
              <w:t xml:space="preserve">Yes — Kanban-style Sales Pipeline</w:t>
            </w:r>
          </w:p>
        </w:tc>
        <w:tc>
          <w:tcPr>
            <w:tcW w:type="dxa" w:w="2208"/>
            <w:tcMar>
              <w:top w:type="dxa" w:w="80"/>
              <w:left w:type="dxa" w:w="100"/>
              <w:bottom w:type="dxa" w:w="80"/>
              <w:right w:type="dxa" w:w="100"/>
            </w:tcMar>
            <w:vAlign w:val="top"/>
          </w:tcPr>
          <w:p>
            <w:r>
              <w:rPr>
                <w:b w:val="false"/>
                <w:bCs w:val="false"/>
                <w:color w:val="1F2937"/>
                <w:sz w:val="17"/>
                <w:szCs w:val="17"/>
              </w:rPr>
              <w:t xml:space="preserve">Yes — drag-and-drop deal pipeline</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API</w:t>
            </w:r>
          </w:p>
        </w:tc>
        <w:tc>
          <w:tcPr>
            <w:tcW w:type="dxa" w:w="2209"/>
            <w:tcMar>
              <w:top w:type="dxa" w:w="80"/>
              <w:left w:type="dxa" w:w="100"/>
              <w:bottom w:type="dxa" w:w="80"/>
              <w:right w:type="dxa" w:w="100"/>
            </w:tcMar>
            <w:vAlign w:val="top"/>
          </w:tcPr>
          <w:p>
            <w:r>
              <w:rPr>
                <w:b w:val="false"/>
                <w:bCs w:val="false"/>
                <w:color w:val="1F2937"/>
                <w:sz w:val="17"/>
                <w:szCs w:val="17"/>
              </w:rPr>
              <w:t xml:space="preserve">REST API v8 (JSON:API spec), legacy SOAP, OAuth2</w:t>
            </w:r>
          </w:p>
        </w:tc>
        <w:tc>
          <w:tcPr>
            <w:tcW w:type="dxa" w:w="2209"/>
            <w:tcMar>
              <w:top w:type="dxa" w:w="80"/>
              <w:left w:type="dxa" w:w="100"/>
              <w:bottom w:type="dxa" w:w="80"/>
              <w:right w:type="dxa" w:w="100"/>
            </w:tcMar>
            <w:vAlign w:val="top"/>
          </w:tcPr>
          <w:p>
            <w:r>
              <w:rPr>
                <w:b w:val="false"/>
                <w:bCs w:val="false"/>
                <w:color w:val="1F2937"/>
                <w:sz w:val="17"/>
                <w:szCs w:val="17"/>
              </w:rPr>
              <w:t xml:space="preserve">Full REST API, webhooks, OAuth2</w:t>
            </w:r>
          </w:p>
        </w:tc>
        <w:tc>
          <w:tcPr>
            <w:tcW w:type="dxa" w:w="2208"/>
            <w:tcMar>
              <w:top w:type="dxa" w:w="80"/>
              <w:left w:type="dxa" w:w="100"/>
              <w:bottom w:type="dxa" w:w="80"/>
              <w:right w:type="dxa" w:w="100"/>
            </w:tcMar>
            <w:vAlign w:val="top"/>
          </w:tcPr>
          <w:p>
            <w:r>
              <w:rPr>
                <w:b w:val="false"/>
                <w:bCs w:val="false"/>
                <w:color w:val="1F2937"/>
                <w:sz w:val="17"/>
                <w:szCs w:val="17"/>
              </w:rPr>
              <w:t xml:space="preserve">Best API ergonomics of the three — REST *and* auto-generated GraphQL, JWT auth, real-time subscriptions, webhooks; schema regenerates instantly when you add custom fields</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WhatsApp integration</w:t>
            </w:r>
          </w:p>
        </w:tc>
        <w:tc>
          <w:tcPr>
            <w:tcW w:type="dxa" w:w="2209"/>
            <w:tcMar>
              <w:top w:type="dxa" w:w="80"/>
              <w:left w:type="dxa" w:w="100"/>
              <w:bottom w:type="dxa" w:w="80"/>
              <w:right w:type="dxa" w:w="100"/>
            </w:tcMar>
            <w:vAlign w:val="top"/>
          </w:tcPr>
          <w:p>
            <w:r>
              <w:rPr>
                <w:b w:val="false"/>
                <w:bCs w:val="false"/>
                <w:color w:val="1F2937"/>
                <w:sz w:val="17"/>
                <w:szCs w:val="17"/>
              </w:rPr>
              <w:t xml:space="preserve">Not native — needs a community/marketplace connector</w:t>
            </w:r>
          </w:p>
        </w:tc>
        <w:tc>
          <w:tcPr>
            <w:tcW w:type="dxa" w:w="2209"/>
            <w:tcMar>
              <w:top w:type="dxa" w:w="80"/>
              <w:left w:type="dxa" w:w="100"/>
              <w:bottom w:type="dxa" w:w="80"/>
              <w:right w:type="dxa" w:w="100"/>
            </w:tcMar>
            <w:vAlign w:val="top"/>
          </w:tcPr>
          <w:p>
            <w:r>
              <w:rPr>
                <w:b w:val="false"/>
                <w:bCs w:val="false"/>
                <w:color w:val="1F2937"/>
                <w:sz w:val="17"/>
                <w:szCs w:val="17"/>
              </w:rPr>
              <w:t xml:space="preserve">Not native — needs a community/marketplace connector (e.g. via Twilio/360dialog)</w:t>
            </w:r>
          </w:p>
        </w:tc>
        <w:tc>
          <w:tcPr>
            <w:tcW w:type="dxa" w:w="2208"/>
            <w:tcMar>
              <w:top w:type="dxa" w:w="80"/>
              <w:left w:type="dxa" w:w="100"/>
              <w:bottom w:type="dxa" w:w="80"/>
              <w:right w:type="dxa" w:w="100"/>
            </w:tcMar>
            <w:vAlign w:val="top"/>
          </w:tcPr>
          <w:p>
            <w:r>
              <w:rPr>
                <w:b w:val="false"/>
                <w:bCs w:val="false"/>
                <w:color w:val="1F2937"/>
                <w:sz w:val="17"/>
                <w:szCs w:val="17"/>
              </w:rPr>
              <w:t xml:space="preserve">Not available yet — would need a custom-built bridge</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Workflow / automation</w:t>
            </w:r>
          </w:p>
        </w:tc>
        <w:tc>
          <w:tcPr>
            <w:tcW w:type="dxa" w:w="2209"/>
            <w:tcMar>
              <w:top w:type="dxa" w:w="80"/>
              <w:left w:type="dxa" w:w="100"/>
              <w:bottom w:type="dxa" w:w="80"/>
              <w:right w:type="dxa" w:w="100"/>
            </w:tcMar>
            <w:vAlign w:val="top"/>
          </w:tcPr>
          <w:p>
            <w:r>
              <w:rPr>
                <w:b w:val="false"/>
                <w:bCs w:val="false"/>
                <w:color w:val="1F2937"/>
                <w:sz w:val="17"/>
                <w:szCs w:val="17"/>
              </w:rPr>
              <w:t xml:space="preserve">Strong — Advanced Workflow / Process Author module (approvals, automation)</w:t>
            </w:r>
          </w:p>
        </w:tc>
        <w:tc>
          <w:tcPr>
            <w:tcW w:type="dxa" w:w="2209"/>
            <w:tcMar>
              <w:top w:type="dxa" w:w="80"/>
              <w:left w:type="dxa" w:w="100"/>
              <w:bottom w:type="dxa" w:w="80"/>
              <w:right w:type="dxa" w:w="100"/>
            </w:tcMar>
            <w:vAlign w:val="top"/>
          </w:tcPr>
          <w:p>
            <w:r>
              <w:rPr>
                <w:b w:val="false"/>
                <w:bCs w:val="false"/>
                <w:color w:val="1F2937"/>
                <w:sz w:val="17"/>
                <w:szCs w:val="17"/>
              </w:rPr>
              <w:t xml:space="preserve">Good — Workflow module, deeper BPM in the paid Advanced Pack</w:t>
            </w:r>
          </w:p>
        </w:tc>
        <w:tc>
          <w:tcPr>
            <w:tcW w:type="dxa" w:w="2208"/>
            <w:tcMar>
              <w:top w:type="dxa" w:w="80"/>
              <w:left w:type="dxa" w:w="100"/>
              <w:bottom w:type="dxa" w:w="80"/>
              <w:right w:type="dxa" w:w="100"/>
            </w:tcMar>
            <w:vAlign w:val="top"/>
          </w:tcPr>
          <w:p>
            <w:r>
              <w:rPr>
                <w:b w:val="false"/>
                <w:bCs w:val="false"/>
                <w:color w:val="1F2937"/>
                <w:sz w:val="17"/>
                <w:szCs w:val="17"/>
              </w:rPr>
              <w:t xml:space="preserve">Basic workflow features; automation tooling is still maturing</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AI capabilities</w:t>
            </w:r>
          </w:p>
        </w:tc>
        <w:tc>
          <w:tcPr>
            <w:tcW w:type="dxa" w:w="2209"/>
            <w:tcMar>
              <w:top w:type="dxa" w:w="80"/>
              <w:left w:type="dxa" w:w="100"/>
              <w:bottom w:type="dxa" w:w="80"/>
              <w:right w:type="dxa" w:w="100"/>
            </w:tcMar>
            <w:vAlign w:val="top"/>
          </w:tcPr>
          <w:p>
            <w:r>
              <w:rPr>
                <w:b w:val="false"/>
                <w:bCs w:val="false"/>
                <w:color w:val="1F2937"/>
                <w:sz w:val="17"/>
                <w:szCs w:val="17"/>
              </w:rPr>
              <w:t xml:space="preserve">Limited natively; achievable by bolting on an external LLM (e.g. reusing GeneralLink's own Claude API pattern) or via n8n</w:t>
            </w:r>
          </w:p>
        </w:tc>
        <w:tc>
          <w:tcPr>
            <w:tcW w:type="dxa" w:w="2209"/>
            <w:tcMar>
              <w:top w:type="dxa" w:w="80"/>
              <w:left w:type="dxa" w:w="100"/>
              <w:bottom w:type="dxa" w:w="80"/>
              <w:right w:type="dxa" w:w="100"/>
            </w:tcMar>
            <w:vAlign w:val="top"/>
          </w:tcPr>
          <w:p>
            <w:r>
              <w:rPr>
                <w:b w:val="false"/>
                <w:bCs w:val="false"/>
                <w:color w:val="1F2937"/>
                <w:sz w:val="17"/>
                <w:szCs w:val="17"/>
              </w:rPr>
              <w:t xml:space="preserve">Limited natively; same bolt-on approach as SuiteCRM — community exploring OpenAI/LLM modules</w:t>
            </w:r>
          </w:p>
        </w:tc>
        <w:tc>
          <w:tcPr>
            <w:tcW w:type="dxa" w:w="2208"/>
            <w:tcMar>
              <w:top w:type="dxa" w:w="80"/>
              <w:left w:type="dxa" w:w="100"/>
              <w:bottom w:type="dxa" w:w="80"/>
              <w:right w:type="dxa" w:w="100"/>
            </w:tcMar>
            <w:vAlign w:val="top"/>
          </w:tcPr>
          <w:p>
            <w:r>
              <w:rPr>
                <w:b w:val="false"/>
                <w:bCs w:val="false"/>
                <w:color w:val="1F2937"/>
                <w:sz w:val="17"/>
                <w:szCs w:val="17"/>
              </w:rPr>
              <w:t xml:space="preserve">No mature built-in AI yet; some community projects wire it to GraphQL for AI-agent pipelines, but it's DIY</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RBAC &amp; audit logs</w:t>
            </w:r>
          </w:p>
        </w:tc>
        <w:tc>
          <w:tcPr>
            <w:tcW w:type="dxa" w:w="2209"/>
            <w:tcMar>
              <w:top w:type="dxa" w:w="80"/>
              <w:left w:type="dxa" w:w="100"/>
              <w:bottom w:type="dxa" w:w="80"/>
              <w:right w:type="dxa" w:w="100"/>
            </w:tcMar>
            <w:vAlign w:val="top"/>
          </w:tcPr>
          <w:p>
            <w:r>
              <w:rPr>
                <w:b w:val="false"/>
                <w:bCs w:val="false"/>
                <w:color w:val="1F2937"/>
                <w:sz w:val="17"/>
                <w:szCs w:val="17"/>
              </w:rPr>
              <w:t xml:space="preserve">Strong role/security-groups model; audit table available</w:t>
            </w:r>
          </w:p>
        </w:tc>
        <w:tc>
          <w:tcPr>
            <w:tcW w:type="dxa" w:w="2209"/>
            <w:tcMar>
              <w:top w:type="dxa" w:w="80"/>
              <w:left w:type="dxa" w:w="100"/>
              <w:bottom w:type="dxa" w:w="80"/>
              <w:right w:type="dxa" w:w="100"/>
            </w:tcMar>
            <w:vAlign w:val="top"/>
          </w:tcPr>
          <w:p>
            <w:r>
              <w:rPr>
                <w:b w:val="false"/>
                <w:bCs w:val="false"/>
                <w:color w:val="1F2937"/>
                <w:sz w:val="17"/>
                <w:szCs w:val="17"/>
              </w:rPr>
              <w:t xml:space="preserve">Fine-grained ACL (down to field/record level); per-record activity stream</w:t>
            </w:r>
          </w:p>
        </w:tc>
        <w:tc>
          <w:tcPr>
            <w:tcW w:type="dxa" w:w="2208"/>
            <w:tcMar>
              <w:top w:type="dxa" w:w="80"/>
              <w:left w:type="dxa" w:w="100"/>
              <w:bottom w:type="dxa" w:w="80"/>
              <w:right w:type="dxa" w:w="100"/>
            </w:tcMar>
            <w:vAlign w:val="top"/>
          </w:tcPr>
          <w:p>
            <w:r>
              <w:rPr>
                <w:b w:val="false"/>
                <w:bCs w:val="false"/>
                <w:color w:val="1F2937"/>
                <w:sz w:val="17"/>
                <w:szCs w:val="17"/>
              </w:rPr>
              <w:t xml:space="preserve">Basic roles present; less mature than SuiteCRM/EspoCRM for enterprise audit needs</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Mobile support</w:t>
            </w:r>
          </w:p>
        </w:tc>
        <w:tc>
          <w:tcPr>
            <w:tcW w:type="dxa" w:w="2209"/>
            <w:tcMar>
              <w:top w:type="dxa" w:w="80"/>
              <w:left w:type="dxa" w:w="100"/>
              <w:bottom w:type="dxa" w:w="80"/>
              <w:right w:type="dxa" w:w="100"/>
            </w:tcMar>
            <w:vAlign w:val="top"/>
          </w:tcPr>
          <w:p>
            <w:r>
              <w:rPr>
                <w:b w:val="false"/>
                <w:bCs w:val="false"/>
                <w:color w:val="1F2937"/>
                <w:sz w:val="17"/>
                <w:szCs w:val="17"/>
              </w:rPr>
              <w:t xml:space="preserve">Responsive web; official mobile clients less polished than SaaS competitors</w:t>
            </w:r>
          </w:p>
        </w:tc>
        <w:tc>
          <w:tcPr>
            <w:tcW w:type="dxa" w:w="2209"/>
            <w:tcMar>
              <w:top w:type="dxa" w:w="80"/>
              <w:left w:type="dxa" w:w="100"/>
              <w:bottom w:type="dxa" w:w="80"/>
              <w:right w:type="dxa" w:w="100"/>
            </w:tcMar>
            <w:vAlign w:val="top"/>
          </w:tcPr>
          <w:p>
            <w:r>
              <w:rPr>
                <w:b w:val="false"/>
                <w:bCs w:val="false"/>
                <w:color w:val="1F2937"/>
                <w:sz w:val="17"/>
                <w:szCs w:val="17"/>
              </w:rPr>
              <w:t xml:space="preserve">Official EspoCRM iOS/Android apps</w:t>
            </w:r>
          </w:p>
        </w:tc>
        <w:tc>
          <w:tcPr>
            <w:tcW w:type="dxa" w:w="2208"/>
            <w:tcMar>
              <w:top w:type="dxa" w:w="80"/>
              <w:left w:type="dxa" w:w="100"/>
              <w:bottom w:type="dxa" w:w="80"/>
              <w:right w:type="dxa" w:w="100"/>
            </w:tcMar>
            <w:vAlign w:val="top"/>
          </w:tcPr>
          <w:p>
            <w:r>
              <w:rPr>
                <w:b w:val="false"/>
                <w:bCs w:val="false"/>
                <w:color w:val="1F2937"/>
                <w:sz w:val="17"/>
                <w:szCs w:val="17"/>
              </w:rPr>
              <w:t xml:space="preserve">Web-responsive only; no dedicated native mobile app yet</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Scalability</w:t>
            </w:r>
          </w:p>
        </w:tc>
        <w:tc>
          <w:tcPr>
            <w:tcW w:type="dxa" w:w="2209"/>
            <w:tcMar>
              <w:top w:type="dxa" w:w="80"/>
              <w:left w:type="dxa" w:w="100"/>
              <w:bottom w:type="dxa" w:w="80"/>
              <w:right w:type="dxa" w:w="100"/>
            </w:tcMar>
            <w:vAlign w:val="top"/>
          </w:tcPr>
          <w:p>
            <w:r>
              <w:rPr>
                <w:b w:val="false"/>
                <w:bCs w:val="false"/>
                <w:color w:val="1F2937"/>
                <w:sz w:val="17"/>
                <w:szCs w:val="17"/>
              </w:rPr>
              <w:t xml:space="preserve">Good for mid-size deployments; more DevOps effort than SaaS to scale/maintain</w:t>
            </w:r>
          </w:p>
        </w:tc>
        <w:tc>
          <w:tcPr>
            <w:tcW w:type="dxa" w:w="2209"/>
            <w:tcMar>
              <w:top w:type="dxa" w:w="80"/>
              <w:left w:type="dxa" w:w="100"/>
              <w:bottom w:type="dxa" w:w="80"/>
              <w:right w:type="dxa" w:w="100"/>
            </w:tcMar>
            <w:vAlign w:val="top"/>
          </w:tcPr>
          <w:p>
            <w:r>
              <w:rPr>
                <w:b w:val="false"/>
                <w:bCs w:val="false"/>
                <w:color w:val="1F2937"/>
                <w:sz w:val="17"/>
                <w:szCs w:val="17"/>
              </w:rPr>
              <w:t xml:space="preserve">Performs well even on lightweight hosting; good SMB-to-mid-enterprise fit</w:t>
            </w:r>
          </w:p>
        </w:tc>
        <w:tc>
          <w:tcPr>
            <w:tcW w:type="dxa" w:w="2208"/>
            <w:tcMar>
              <w:top w:type="dxa" w:w="80"/>
              <w:left w:type="dxa" w:w="100"/>
              <w:bottom w:type="dxa" w:w="80"/>
              <w:right w:type="dxa" w:w="100"/>
            </w:tcMar>
            <w:vAlign w:val="top"/>
          </w:tcPr>
          <w:p>
            <w:r>
              <w:rPr>
                <w:b w:val="false"/>
                <w:bCs w:val="false"/>
                <w:color w:val="1F2937"/>
                <w:sz w:val="17"/>
                <w:szCs w:val="17"/>
              </w:rPr>
              <w:t xml:space="preserve">Good for startups; enterprise-scale track record still developing</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Laravel integration effort</w:t>
            </w:r>
          </w:p>
        </w:tc>
        <w:tc>
          <w:tcPr>
            <w:tcW w:type="dxa" w:w="2209"/>
            <w:tcMar>
              <w:top w:type="dxa" w:w="80"/>
              <w:left w:type="dxa" w:w="100"/>
              <w:bottom w:type="dxa" w:w="80"/>
              <w:right w:type="dxa" w:w="100"/>
            </w:tcMar>
            <w:vAlign w:val="top"/>
          </w:tcPr>
          <w:p>
            <w:r>
              <w:rPr>
                <w:b w:val="false"/>
                <w:bCs w:val="false"/>
                <w:color w:val="1F2937"/>
                <w:sz w:val="17"/>
                <w:szCs w:val="17"/>
              </w:rPr>
              <w:t xml:space="preserve">Low — same LAMP stack as GeneralLink; large community; codebase is older/heavier</w:t>
            </w:r>
          </w:p>
        </w:tc>
        <w:tc>
          <w:tcPr>
            <w:tcW w:type="dxa" w:w="2209"/>
            <w:tcMar>
              <w:top w:type="dxa" w:w="80"/>
              <w:left w:type="dxa" w:w="100"/>
              <w:bottom w:type="dxa" w:w="80"/>
              <w:right w:type="dxa" w:w="100"/>
            </w:tcMar>
            <w:vAlign w:val="top"/>
          </w:tcPr>
          <w:p>
            <w:r>
              <w:rPr>
                <w:b w:val="false"/>
                <w:bCs w:val="false"/>
                <w:color w:val="1F2937"/>
                <w:sz w:val="17"/>
                <w:szCs w:val="17"/>
              </w:rPr>
              <w:t xml:space="preserve">Low — same LAMP stack; lighter footprint, generally faster to customise than SuiteCRM</w:t>
            </w:r>
          </w:p>
        </w:tc>
        <w:tc>
          <w:tcPr>
            <w:tcW w:type="dxa" w:w="2208"/>
            <w:tcMar>
              <w:top w:type="dxa" w:w="80"/>
              <w:left w:type="dxa" w:w="100"/>
              <w:bottom w:type="dxa" w:w="80"/>
              <w:right w:type="dxa" w:w="100"/>
            </w:tcMar>
            <w:vAlign w:val="top"/>
          </w:tcPr>
          <w:p>
            <w:r>
              <w:rPr>
                <w:b w:val="false"/>
                <w:bCs w:val="false"/>
                <w:color w:val="1F2937"/>
                <w:sz w:val="17"/>
                <w:szCs w:val="17"/>
              </w:rPr>
              <w:t xml:space="preserve">Medium — different stack (Node/Postgres) runs as a separate service; integrate purely via its API, no shared-codebase benefit</w:t>
            </w:r>
          </w:p>
        </w:tc>
      </w:tr>
      <w:tr>
        <w:tc>
          <w:tcPr>
            <w:tcW w:type="dxa" w:w="2400"/>
            <w:shd w:fill="F3F4F6" w:val="clear"/>
            <w:tcMar>
              <w:top w:type="dxa" w:w="80"/>
              <w:left w:type="dxa" w:w="100"/>
              <w:bottom w:type="dxa" w:w="80"/>
              <w:right w:type="dxa" w:w="100"/>
            </w:tcMar>
            <w:vAlign w:val="top"/>
          </w:tcPr>
          <w:p>
            <w:r>
              <w:rPr>
                <w:b w:val="false"/>
                <w:bCs w:val="false"/>
                <w:color w:val="1F2937"/>
                <w:sz w:val="17"/>
                <w:szCs w:val="17"/>
              </w:rPr>
              <w:t xml:space="preserve">Est. cost</w:t>
            </w:r>
          </w:p>
        </w:tc>
        <w:tc>
          <w:tcPr>
            <w:tcW w:type="dxa" w:w="2209"/>
            <w:tcMar>
              <w:top w:type="dxa" w:w="80"/>
              <w:left w:type="dxa" w:w="100"/>
              <w:bottom w:type="dxa" w:w="80"/>
              <w:right w:type="dxa" w:w="100"/>
            </w:tcMar>
            <w:vAlign w:val="top"/>
          </w:tcPr>
          <w:p>
            <w:r>
              <w:rPr>
                <w:b w:val="false"/>
                <w:bCs w:val="false"/>
                <w:color w:val="1F2937"/>
                <w:sz w:val="17"/>
                <w:szCs w:val="17"/>
              </w:rPr>
              <w:t xml:space="preserve">Free core; budget for a Linux server + your own dev/maintenance time</w:t>
            </w:r>
          </w:p>
        </w:tc>
        <w:tc>
          <w:tcPr>
            <w:tcW w:type="dxa" w:w="2209"/>
            <w:tcMar>
              <w:top w:type="dxa" w:w="80"/>
              <w:left w:type="dxa" w:w="100"/>
              <w:bottom w:type="dxa" w:w="80"/>
              <w:right w:type="dxa" w:w="100"/>
            </w:tcMar>
            <w:vAlign w:val="top"/>
          </w:tcPr>
          <w:p>
            <w:r>
              <w:rPr>
                <w:b w:val="false"/>
                <w:bCs w:val="false"/>
                <w:color w:val="1F2937"/>
                <w:sz w:val="17"/>
                <w:szCs w:val="17"/>
              </w:rPr>
              <w:t xml:space="preserve">Free core; budget for a Linux server + your own dev/maintenance time; optional paid Advanced Pack</w:t>
            </w:r>
          </w:p>
        </w:tc>
        <w:tc>
          <w:tcPr>
            <w:tcW w:type="dxa" w:w="2208"/>
            <w:tcMar>
              <w:top w:type="dxa" w:w="80"/>
              <w:left w:type="dxa" w:w="100"/>
              <w:bottom w:type="dxa" w:w="80"/>
              <w:right w:type="dxa" w:w="100"/>
            </w:tcMar>
            <w:vAlign w:val="top"/>
          </w:tcPr>
          <w:p>
            <w:r>
              <w:rPr>
                <w:b w:val="false"/>
                <w:bCs w:val="false"/>
                <w:color w:val="1F2937"/>
                <w:sz w:val="17"/>
                <w:szCs w:val="17"/>
              </w:rPr>
              <w:t xml:space="preserve">Free core; budget for hosting + dev time; youngest project of the three, so more of your own troubleshooting</w:t>
            </w:r>
          </w:p>
        </w:tc>
      </w:tr>
    </w:tbl>
    <w:p>
      <w:pPr>
        <w:pStyle w:val="Heading1"/>
        <w:spacing w:after="150" w:before="300"/>
      </w:pPr>
      <w:r>
        <w:t xml:space="preserve">5. Recommendation</w:t>
      </w:r>
    </w:p>
    <w:p>
      <w:pPr>
        <w:pStyle w:val="Heading2"/>
        <w:spacing w:after="120" w:before="240"/>
      </w:pPr>
      <w:r>
        <w:t xml:space="preserve">Primary recommendation: EspoCRM</w:t>
      </w:r>
    </w:p>
    <w:p>
      <w:pPr>
        <w:spacing w:after="140"/>
      </w:pPr>
      <w:r>
        <w:rPr>
          <w:color w:val="1F2937"/>
          <w:sz w:val="21"/>
          <w:szCs w:val="21"/>
        </w:rPr>
        <w:t xml:space="preserve">EspoCRM is the best fit for GeneralLink’s actual technical profile:</w:t>
      </w:r>
    </w:p>
    <w:p>
      <w:pPr>
        <w:pStyle w:val="ListParagraph"/>
        <w:numPr>
          <w:ilvl w:val="0"/>
          <w:numId w:val="1"/>
        </w:numPr>
        <w:spacing w:after="60"/>
      </w:pPr>
      <w:r>
        <w:t xml:space="preserve">Same PHP + MySQL stack as GeneralLink — it can run on the same server, and its REST API can be consumed from Laravel using the exact same service-class pattern already used for the Google Forms integration built this session.</w:t>
      </w:r>
    </w:p>
    <w:p>
      <w:pPr>
        <w:pStyle w:val="ListParagraph"/>
        <w:numPr>
          <w:ilvl w:val="0"/>
          <w:numId w:val="1"/>
        </w:numPr>
        <w:spacing w:after="60"/>
      </w:pPr>
      <w:r>
        <w:t xml:space="preserve">Free core licence (GPL v3) — no per-seat SaaS fees, which matters at agency scale (dozens to hundreds of agents) where Zoho/Salesforce/HubSpot seat costs compound quickly.</w:t>
      </w:r>
    </w:p>
    <w:p>
      <w:pPr>
        <w:pStyle w:val="ListParagraph"/>
        <w:numPr>
          <w:ilvl w:val="0"/>
          <w:numId w:val="1"/>
        </w:numPr>
        <w:spacing w:after="60"/>
      </w:pPr>
      <w:r>
        <w:t xml:space="preserve">A genuinely complete enterprise CRM module set out of the box — Leads, Contacts, Accounts, Opportunities/Pipeline (Kanban), Calendar, Reports, fine-grained ACL, and a per-record audit stream.</w:t>
      </w:r>
    </w:p>
    <w:p>
      <w:pPr>
        <w:pStyle w:val="ListParagraph"/>
        <w:numPr>
          <w:ilvl w:val="0"/>
          <w:numId w:val="1"/>
        </w:numPr>
        <w:spacing w:after="60"/>
      </w:pPr>
      <w:r>
        <w:t xml:space="preserve">Lightweight, modern-enough UI that a future reskin toward GeneralLink’s own visual conventions is realistic, if a fully seamless look is wanted later — or it can simply stay headless behind GeneralLink’s existing UI, which is the safer choice given how exacting your current design standards are.</w:t>
      </w:r>
    </w:p>
    <w:p>
      <w:pPr>
        <w:pStyle w:val="ListParagraph"/>
        <w:numPr>
          <w:ilvl w:val="0"/>
          <w:numId w:val="1"/>
        </w:numPr>
        <w:spacing w:after="60"/>
      </w:pPr>
      <w:r>
        <w:t xml:space="preserve">WhatsApp and AI are not native — both would need to be bolted on, but GeneralLink already has a proven pattern for exactly this (the Claude API document-extraction service, and this session’s Google Forms/OAuth integration), so this is a known quantity, not a new risk.</w:t>
      </w:r>
    </w:p>
    <w:p>
      <w:pPr>
        <w:pStyle w:val="Heading2"/>
        <w:spacing w:after="120" w:before="240"/>
      </w:pPr>
      <w:r>
        <w:t xml:space="preserve">Runner-up (self-hosted): SuiteCRM</w:t>
      </w:r>
    </w:p>
    <w:p>
      <w:pPr>
        <w:spacing w:after="140"/>
      </w:pPr>
      <w:r>
        <w:rPr>
          <w:color w:val="1F2937"/>
          <w:sz w:val="21"/>
          <w:szCs w:val="21"/>
        </w:rPr>
        <w:t xml:space="preserve">Choose this instead if you want the single deepest, most battle-tested enterprise module set (a stronger Workflow/Process Author engine, a bigger extension marketplace) and can accept a heavier, older-feeling interface and a steeper setup curve.</w:t>
      </w:r>
    </w:p>
    <w:p>
      <w:pPr>
        <w:pStyle w:val="Heading2"/>
        <w:spacing w:after="120" w:before="240"/>
      </w:pPr>
      <w:r>
        <w:t xml:space="preserve">Best commercial SaaS alternative: Zoho CRM</w:t>
      </w:r>
    </w:p>
    <w:p>
      <w:pPr>
        <w:spacing w:after="140"/>
      </w:pPr>
      <w:r>
        <w:rPr>
          <w:color w:val="1F2937"/>
          <w:sz w:val="21"/>
          <w:szCs w:val="21"/>
        </w:rPr>
        <w:t xml:space="preserve">If you would rather avoid running and maintaining another server entirely and want the fastest time-to-value, Zoho CRM is the strongest SaaS pick: cheapest mainstream option (from US$14/user/month), native ties into Zoho’s own WhatsApp-capable messaging apps, decent built-in AI (Zia), and existing community Laravel packages that shorten the integration work. HubSpot is worth a look if budget allows and best-in-class UX/marketing tooling matters more than WhatsApp/cost; Salesforce only makes sense if GeneralLink expects to grow into a large, multi-department enterprise and can absorb typical US$50k–150k+ implementation costs; Freshsales is a lighter, cheaper SaaS alternative to Zoho if Zoho’s feature depth isn’t needed.</w:t>
      </w:r>
    </w:p>
    <w:p>
      <w:pPr>
        <w:pStyle w:val="Heading1"/>
        <w:spacing w:after="150" w:before="300"/>
      </w:pPr>
      <w:r>
        <w:t xml:space="preserve">6. Suggested integration approach (if EspoCRM is chosen)</w:t>
      </w:r>
    </w:p>
    <w:p>
      <w:pPr>
        <w:pStyle w:val="ListParagraph"/>
        <w:numPr>
          <w:ilvl w:val="0"/>
          <w:numId w:val="1"/>
        </w:numPr>
        <w:spacing w:after="60"/>
      </w:pPr>
      <w:r>
        <w:t xml:space="preserve">Stand up EspoCRM on the same server (or a small companion VM) and connect it to its own MySQL database — kept separate from GeneralLink’s own tables to avoid schema collisions.</w:t>
      </w:r>
    </w:p>
    <w:p>
      <w:pPr>
        <w:pStyle w:val="ListParagraph"/>
        <w:numPr>
          <w:ilvl w:val="0"/>
          <w:numId w:val="1"/>
        </w:numPr>
        <w:spacing w:after="60"/>
      </w:pPr>
      <w:r>
        <w:t xml:space="preserve">Build an EspoCrmService in Laravel (same shape as the existing GoogleFormsService) that authenticates via OAuth2/API key and wraps the REST calls GeneralLink needs — create/update Contact, log an Activity, read the Opportunity pipeline, etc.</w:t>
      </w:r>
    </w:p>
    <w:p>
      <w:pPr>
        <w:pStyle w:val="ListParagraph"/>
        <w:numPr>
          <w:ilvl w:val="0"/>
          <w:numId w:val="1"/>
        </w:numPr>
        <w:spacing w:after="60"/>
      </w:pPr>
      <w:r>
        <w:t xml:space="preserve">Keep GeneralLink’s own Blade screens as the only UI agents see — EspoCRM becomes a data engine behind the scenes, so none of your existing no-scroll/blue-pill navigation standards are put at risk by a third-party interface.</w:t>
      </w:r>
    </w:p>
    <w:p>
      <w:pPr>
        <w:pStyle w:val="ListParagraph"/>
        <w:numPr>
          <w:ilvl w:val="0"/>
          <w:numId w:val="1"/>
        </w:numPr>
        <w:spacing w:after="60"/>
      </w:pPr>
      <w:r>
        <w:t xml:space="preserve">Add a WhatsApp Business Cloud API bridge (Meta’s official API, or a reseller like 360dialog/Twilio) that writes inbound/outbound messages into EspoCRM’s Activity/Communication history via its API — the same kind of webhook-driven bridge already built for Google Forms this session.</w:t>
      </w:r>
    </w:p>
    <w:p>
      <w:pPr>
        <w:pStyle w:val="ListParagraph"/>
        <w:numPr>
          <w:ilvl w:val="0"/>
          <w:numId w:val="1"/>
        </w:numPr>
        <w:spacing w:after="60"/>
      </w:pPr>
      <w:r>
        <w:t xml:space="preserve">For AI features (lead scoring, next-best-action, summarised communication history), reuse GeneralLink’s existing Claude API integration rather than depending on a vendor’s AI add-on — keeps AI costs/behaviour under your own control.</w:t>
      </w:r>
    </w:p>
    <w:p>
      <w:pPr>
        <w:pStyle w:val="Heading1"/>
        <w:spacing w:after="150" w:before="300"/>
      </w:pPr>
      <w:r>
        <w:t xml:space="preserve">7. Risks &amp; considerations</w:t>
      </w:r>
    </w:p>
    <w:p>
      <w:pPr>
        <w:pStyle w:val="ListParagraph"/>
        <w:numPr>
          <w:ilvl w:val="0"/>
          <w:numId w:val="1"/>
        </w:numPr>
        <w:spacing w:after="60"/>
      </w:pPr>
      <w:r>
        <w:t xml:space="preserve">Overlap with what GeneralLink already has: Customer 360, Activity Log, Reminders, and communication tooling already exist natively in GeneralLink (built across this project). The genuine gap a CRM fills is formal opportunity/pipeline stages (if GeneralLink ever sells beyond direct policies), and richer marketing-style automation — worth confirming this is really the gap before committing budget.</w:t>
      </w:r>
    </w:p>
    <w:p>
      <w:pPr>
        <w:pStyle w:val="ListParagraph"/>
        <w:numPr>
          <w:ilvl w:val="0"/>
          <w:numId w:val="1"/>
        </w:numPr>
        <w:spacing w:after="60"/>
      </w:pPr>
      <w:r>
        <w:t xml:space="preserve">Data residency / PDPA: GeneralLink currently keeps customer NRIC (encrypted) and financial data in its own database. Any commercial SaaS CRM (HubSpot/Salesforce/Zoho/Freshsales) means that same personal data also lives on the vendor’s servers, often outside Malaysia — worth checking each vendor’s data-residency options against Malaysia’s Personal Data Protection Act before choosing a SaaS option. Self-hosted EspoCRM/SuiteCRM avoid this concern entirely since the data never leaves your own server.</w:t>
      </w:r>
    </w:p>
    <w:p>
      <w:pPr>
        <w:pStyle w:val="ListParagraph"/>
        <w:numPr>
          <w:ilvl w:val="0"/>
          <w:numId w:val="1"/>
        </w:numPr>
        <w:spacing w:after="60"/>
      </w:pPr>
      <w:r>
        <w:t xml:space="preserve">Ongoing cost: SaaS options bill per user, per month, forever — self-hosted options only cost your own server and developer time, but that developer time is real and ongoing (updates, security patches, backups).</w:t>
      </w:r>
    </w:p>
    <w:p>
      <w:pPr>
        <w:pStyle w:val="ListParagraph"/>
        <w:numPr>
          <w:ilvl w:val="0"/>
          <w:numId w:val="1"/>
        </w:numPr>
        <w:spacing w:after="60"/>
      </w:pPr>
      <w:r>
        <w:t xml:space="preserve">Vendor lock-in: SaaS platforms make it harder to migrate away later (proprietary data models); self-hosted open-source options keep you in full control of your own data and code.</w:t>
      </w:r>
    </w:p>
    <w:p>
      <w:pPr>
        <w:pStyle w:val="Heading1"/>
        <w:spacing w:after="150" w:before="300"/>
      </w:pPr>
      <w:r>
        <w:t xml:space="preserve">Sources</w:t>
      </w:r>
    </w:p>
    <w:p>
      <w:pPr>
        <w:spacing w:after="140"/>
      </w:pPr>
      <w:r>
        <w:rPr>
          <w:color w:val="6B7280"/>
          <w:sz w:val="18"/>
          <w:szCs w:val="18"/>
        </w:rPr>
        <w:t xml:space="preserve">Zoho CRM pricing and API: Voiceflow (Zoho CRM: Pricing, API, Pros and Cons); Zoho Developer docs (Widgets, Client Script, Embedded JS SDK); Zoho Help Community (Embedded JS SDK, Render Widgets via Client Script); Packagist/GitHub Laravel Zoho packages (asciisd/zoho-v3, asad/laravel-zoho-api-wrapper); Blowstack (Zoho CRM API with PHP).</w:t>
      </w:r>
    </w:p>
    <w:p>
      <w:pPr>
        <w:spacing w:after="140"/>
      </w:pPr>
      <w:r>
        <w:rPr>
          <w:color w:val="6B7280"/>
          <w:sz w:val="18"/>
          <w:szCs w:val="18"/>
        </w:rPr>
        <w:t xml:space="preserve">HubSpot: HubSpot Developer docs (Legacy CRM cards); HubSpot Community threads on iframe/embedding and WhatsApp Business API; taskip.net (Best CRM with WhatsApp Integration 2026); Integrate IQ (HubSpot WhatsApp Integration).</w:t>
      </w:r>
    </w:p>
    <w:p>
      <w:pPr>
        <w:spacing w:after="140"/>
      </w:pPr>
      <w:r>
        <w:rPr>
          <w:color w:val="6B7280"/>
          <w:sz w:val="18"/>
          <w:szCs w:val="18"/>
        </w:rPr>
        <w:t xml:space="preserve">Salesforce: eesel.ai (Salesforce Service Cloud AI add-on pricing 2026); Voiceflow (Salesforce AI in 2026: Agentforce, Einstein &amp; Pricing); Vantage Point (How to Use Agentforce and Einstein AI in 2026).</w:t>
      </w:r>
    </w:p>
    <w:p>
      <w:pPr>
        <w:spacing w:after="140"/>
      </w:pPr>
      <w:r>
        <w:rPr>
          <w:color w:val="6B7280"/>
          <w:sz w:val="18"/>
          <w:szCs w:val="18"/>
        </w:rPr>
        <w:t xml:space="preserve">Freshsales / Freshworks: Chatarmin (Freshworks Pricing 2026); CRM.org (Freshsales CRM Review 2026); itforsme.in (Freshsales CRM Pricing India 2026); Lightfield (Freshsales review 2026).</w:t>
      </w:r>
    </w:p>
    <w:p>
      <w:pPr>
        <w:spacing w:after="140"/>
      </w:pPr>
      <w:r>
        <w:rPr>
          <w:color w:val="6B7280"/>
          <w:sz w:val="18"/>
          <w:szCs w:val="18"/>
        </w:rPr>
        <w:t xml:space="preserve">Open-source CRMs (SuiteCRM, EspoCRM, Odoo): Nutshell (9 Best Open Source CRMs in 2026); Energent.ai (Top 7 AI-Powered CRM Open Source Platforms of 2026); The Dench Blog (Best Open-Source CRM Alternatives 2026); DevDiligent (Best Open-Source CRM Stack / Software 2026).</w:t>
      </w:r>
    </w:p>
    <w:p>
      <w:pPr>
        <w:spacing w:after="140"/>
      </w:pPr>
      <w:r>
        <w:rPr>
          <w:color w:val="6B7280"/>
          <w:sz w:val="18"/>
          <w:szCs w:val="18"/>
        </w:rPr>
        <w:t xml:space="preserve">Twenty CRM: sentisight.ai (Twenty CRM Review 2026); marmelab.com (Best Open Source CRM for 2026); Flowtivity (How We Use Twenty CRM and GraphQL to Run AI Agent Pipelines); opensourcealternatives.to (Twenty: Open Source Alternative to Salesforce and HubSpot).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2026-07-28T13:35:20.223Z</dcterms:created>
  <dcterms:modified xsi:type="dcterms:W3CDTF">2026-07-28T13:35:20.244Z</dcterms:modified>
</cp:coreProperties>
</file>

<file path=docProps/custom.xml><?xml version="1.0" encoding="utf-8"?>
<Properties xmlns="http://schemas.openxmlformats.org/officeDocument/2006/custom-properties" xmlns:vt="http://schemas.openxmlformats.org/officeDocument/2006/docPropsVTypes"/>
</file>