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20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[COVERAGE_TYPE]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plan/class of cover, e.g. Comprehensive, Third Party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sales_transaction_attributes (COVERAGE_TYPE)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[ADD_ONS]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add-on/extension list, e.g. “Tambahan” section — Flood, Windscreen, LLP to Passengers, etc.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sales_transaction_attributes (ADD_ONS)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vehicle registration number (motor policies only — skip for fire/medical/travel/etc.)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[VEHICLE_MAKE_MODEL]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Make &amp; Type of Body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insurance_renewal_schedules.vehicle_make_model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[CUBIC_CAPACITY]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Cubic Capacity / engine size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insurance_renewal_schedules.cubic_capacity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[YEAR_OF_MANUFACTURE]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Year of Manufacture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insurance_renewal_schedules.year_of_manufacture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[SEATING_CAPACITY]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Seating Capacity, including driver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insurance_renewal_schedules.seating_capacity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[ENGINE_NUMBER]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Engine No.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insurance_renewal_schedules.engine_number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[CHASSIS_NUMBER]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Chassis No.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insurance_renewal_schedules.chassis_number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[TRAILER_CHASSIS_NUMBER]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Trailer Chassis No. (motor only, rare)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insurance_renewal_schedules.trailer_chassis_number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[NAMED_DRIVERS]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Named Driver(s) authorised to drive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insurance_renewal_schedules.named_drivers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8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200"/>
      </w:pPr>
      <w:r>
        <w:rPr>
          <w:b/>
          <w:bCs/>
        </w:rPr>
        <w:t xml:space="preserve">SST Registration No.</w:t>
      </w:r>
      <w:r>
        <w:t xml:space="preserve"> — this is the vendor company's own tax number, the same on every one of their policies. Set it once on that vendor's record in Vendor Maintenance — don't label it on individual documents.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2026-07-18T06:49:23.490Z</dcterms:created>
  <dcterms:modified xsi:type="dcterms:W3CDTF">2026-07-18T06:49:23.497Z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