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CB5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 GeneralLink CBE — Financial Accounting Module</w:t>
      </w:r>
    </w:p>
    <w:p w14:paraId="48DE3215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 Comprehensive Feature Checklist</w:t>
      </w:r>
    </w:p>
    <w:p w14:paraId="0F34292C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5F1C32C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Compiled 30 Aug 2026. This is independent research into what a comprehensive financial/accounting module should contain, grounded in standard accounting software practice (the core/non-core module breakdown used industry-wide) and nonprofit fund accounting standards (relevant because GLADE/CBE temples hold donor-restricted funds, not just ordinary commercial revenue). This is not based on guesses about what Chris wants — it is the standard feature set any comprehensive financial module is expected to have, against which GeneralLink's current build is honestly marked.</w:t>
      </w:r>
    </w:p>
    <w:p w14:paraId="57D50C87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234E8A23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**Status key:**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 and working · </w:t>
      </w:r>
      <w:r w:rsidRPr="00ED74B2">
        <w:rPr>
          <w:rFonts w:ascii="Segoe UI Emoji" w:hAnsi="Segoe UI Emoji" w:cs="Segoe UI Emoji"/>
        </w:rPr>
        <w:t>🟡</w:t>
      </w:r>
      <w:r w:rsidRPr="00ED74B2">
        <w:rPr>
          <w:rFonts w:ascii="Courier New" w:hAnsi="Courier New" w:cs="Courier New"/>
        </w:rPr>
        <w:t xml:space="preserve"> Partially built ·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17161432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45116D7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---</w:t>
      </w:r>
    </w:p>
    <w:p w14:paraId="48A1945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79C4E88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1. Master Data &amp; System Setup</w:t>
      </w:r>
    </w:p>
    <w:p w14:paraId="121A81B4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*(Chris flagged this as visibly missing — it is, and it matters: this is the foundation everything else depends on.)*</w:t>
      </w:r>
    </w:p>
    <w:p w14:paraId="1DEEA272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66DAB0E6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1.1 Chart of Accounts setup &amp; maintenance (add/edit/deactivate accounts, account types)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6EC15E50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1.2 Fiscal Year &amp; Accounting Period setup, with period lock/close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0B4C1F72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1.3 Opening balance / balance-brought-forward entry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 (Journal Voucher can be used informally, but there's no dedicated opening-balance screen)</w:t>
      </w:r>
    </w:p>
    <w:p w14:paraId="025F1FFA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1.4 Document numbering sequences (auto invoice no., bill no., JV no., receipt no.) — </w:t>
      </w:r>
      <w:r w:rsidRPr="00ED74B2">
        <w:rPr>
          <w:rFonts w:ascii="Segoe UI Emoji" w:hAnsi="Segoe UI Emoji" w:cs="Segoe UI Emoji"/>
        </w:rPr>
        <w:t>🟡</w:t>
      </w:r>
      <w:r w:rsidRPr="00ED74B2">
        <w:rPr>
          <w:rFonts w:ascii="Courier New" w:hAnsi="Courier New" w:cs="Courier New"/>
        </w:rPr>
        <w:t xml:space="preserve"> Partial (fields exist but are free-text, not auto-sequenced)</w:t>
      </w:r>
    </w:p>
    <w:p w14:paraId="165A58D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1.5 Currency &amp; exchange rate setup — </w:t>
      </w:r>
      <w:r w:rsidRPr="00ED74B2">
        <w:rPr>
          <w:rFonts w:ascii="Segoe UI Emoji" w:hAnsi="Segoe UI Emoji" w:cs="Segoe UI Emoji"/>
        </w:rPr>
        <w:t>🟡</w:t>
      </w:r>
      <w:r w:rsidRPr="00ED74B2">
        <w:rPr>
          <w:rFonts w:ascii="Courier New" w:hAnsi="Courier New" w:cs="Courier New"/>
        </w:rPr>
        <w:t xml:space="preserve"> Partial (single currency, MYR, hardcoded; no multi-currency support)</w:t>
      </w:r>
    </w:p>
    <w:p w14:paraId="230F1197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1.6 Tax code / tax rate setup (SST/GST/VAT)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1422A467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1.7 Approval workflow &amp; authorization limit setup (who approves what, at what amount)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1009AF0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1.8 Finance-specific user roles &amp; permissions (segregation of duties) — </w:t>
      </w:r>
      <w:r w:rsidRPr="00ED74B2">
        <w:rPr>
          <w:rFonts w:ascii="Segoe UI Emoji" w:hAnsi="Segoe UI Emoji" w:cs="Segoe UI Emoji"/>
        </w:rPr>
        <w:t>🟡</w:t>
      </w:r>
      <w:r w:rsidRPr="00ED74B2">
        <w:rPr>
          <w:rFonts w:ascii="Courier New" w:hAnsi="Courier New" w:cs="Courier New"/>
        </w:rPr>
        <w:t xml:space="preserve"> Partial (Admin-only gate exists; no maker-checker or granular finance roles)</w:t>
      </w:r>
    </w:p>
    <w:p w14:paraId="5E8C6E71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1.9 Entity / Fund / Cost-Center setup (per-temple books) — </w:t>
      </w:r>
      <w:r w:rsidRPr="00ED74B2">
        <w:rPr>
          <w:rFonts w:ascii="Segoe UI Emoji" w:hAnsi="Segoe UI Emoji" w:cs="Segoe UI Emoji"/>
        </w:rPr>
        <w:t>🟡</w:t>
      </w:r>
      <w:r w:rsidRPr="00ED74B2">
        <w:rPr>
          <w:rFonts w:ascii="Courier New" w:hAnsi="Courier New" w:cs="Courier New"/>
        </w:rPr>
        <w:t xml:space="preserve"> Partial (each temple's transactions are scoped, but there's no formal restricted-vs-unrestricted fund concept)</w:t>
      </w:r>
    </w:p>
    <w:p w14:paraId="4C75C92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1.10 Default account mapping (which GL account each transaction type posts to)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 (hardcoded core accounts + category-to-account mapping)</w:t>
      </w:r>
    </w:p>
    <w:p w14:paraId="5DB2D0C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1.11 Audit trail / change-log configuration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30006CE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1B5F01D6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2. Accounts Receivable (AR)</w:t>
      </w:r>
    </w:p>
    <w:p w14:paraId="26D62465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2.1 Customer/debtor master maintenance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003EEC45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2.2 Invoice creation (single line)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08FAC1AD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2.3 Multi-line invoices (multiple items per invoice)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 (one description/amount per invoice currently)</w:t>
      </w:r>
    </w:p>
    <w:p w14:paraId="16E4BC94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2.4 Recurring/scheduled invoices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60233A7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2.5 Credit notes / credit memos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4287E255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lastRenderedPageBreak/>
        <w:t xml:space="preserve">2.6 Customer payment receipt (full/partial)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72029DE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2.7 Customer statements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6970D4F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2.8 AR Aging report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28A752DD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2.9 Bad debt write-off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3622AC2C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2.10 Payment reminders / dunning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6B33DD30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2.11 Customer credit limit control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3FB9660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2.12 Deposit / advance payment handling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468C3AD1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0CB92BB6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3. Accounts Payable (AP)</w:t>
      </w:r>
    </w:p>
    <w:p w14:paraId="36CE990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3.1 Supplier/vendor master maintenance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2ED2101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3.2 Purchase order (with 3-way match to bill)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4BC10F90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3.3 Bill entry (single line)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487ED7C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3.4 Multi-line bills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45291701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3.5 Recurring bills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54646B2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3.6 Debit notes (return/adjustment against a bill) — </w:t>
      </w:r>
      <w:r w:rsidRPr="00ED74B2">
        <w:rPr>
          <w:rFonts w:ascii="Segoe UI Emoji" w:hAnsi="Segoe UI Emoji" w:cs="Segoe UI Emoji"/>
        </w:rPr>
        <w:t>🟡</w:t>
      </w:r>
      <w:r w:rsidRPr="00ED74B2">
        <w:rPr>
          <w:rFonts w:ascii="Courier New" w:hAnsi="Courier New" w:cs="Courier New"/>
        </w:rPr>
        <w:t xml:space="preserve"> Partial (database table and posting logic exist; needs a data-entry screen)</w:t>
      </w:r>
    </w:p>
    <w:p w14:paraId="2B6FF005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3.7 Bill payment (full/partial)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0057A76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3.8 AP Aging report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3DBE5EC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3.9 Payment approval workflow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4B47E1C0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3.10 Vendor statement reconciliation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1FAC4D9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3.11 Withholding tax on payments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3029F865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3.12 Staff expense claims as payables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552B004C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6DB759F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4. General Ledger (GL)</w:t>
      </w:r>
    </w:p>
    <w:p w14:paraId="2E04652D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4.1 Chart of Accounts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79AA4B95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4.2 Manual Journal Voucher entry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 (just added)</w:t>
      </w:r>
    </w:p>
    <w:p w14:paraId="152283F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4.3 Recurring journal entries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682DB036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4.4 Reversing entries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3BCDEFC5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4.5 Journal approval workflow (maker-checker)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66741E7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4.6 Trial Balance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0FC1F3D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4.7 General Ledger detail report (drill-down by account)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1EB4E19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4.8 Balance Sheet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1C4021B3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4.9 Profit &amp; Loss / Income &amp; Expenditure Statement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63598573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4.10 Statement of Cash Flows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7C617A2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4.11 Statement of Changes in Fund Balance (nonprofit equivalent of Statement of Equity)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4298CB51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4.12 Comparative reporting (period vs period, budget vs actual)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7ABCBA77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4.13 Consolidated reporting across multiple temples/entities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354A517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4.14 Period-end close / period lock (prevents backdated edits after close)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7F24A50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4.15 Year-end closing entries (roll forward balances into new fiscal year)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3BDC43C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0C22014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5. Fixed Assets</w:t>
      </w:r>
    </w:p>
    <w:p w14:paraId="0F984A5A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5.1 Asset register (add/view assets)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606929B2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5.2 Straight-line depreciation calculation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 (calculated for display)</w:t>
      </w:r>
    </w:p>
    <w:p w14:paraId="3D718B0C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lastRenderedPageBreak/>
        <w:t xml:space="preserve">5.3 Automatic monthly depreciation posting to GL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 (flagged earlier — Balance Sheet currently shows assets at full cost, not net of depreciation)</w:t>
      </w:r>
    </w:p>
    <w:p w14:paraId="47F02F17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5.4 Asset disposal / write-off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644B5620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5.5 Asset transfer between temples/locations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3934027C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5.6 Asset revaluation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1B50285D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5.7 Asset tagging / physical verification tracking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6D293F0A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5.8 Insurance / warranty tracking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626458D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3EB22EC4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6. Cash &amp; Bank Management</w:t>
      </w:r>
    </w:p>
    <w:p w14:paraId="54B8E12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6.1 Bank account master (multiple accounts per temple)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 (one implicit Cash account per temple; no multi-account support)</w:t>
      </w:r>
    </w:p>
    <w:p w14:paraId="53A3829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6.2 Bank Reconciliation (statement vs ledger)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 (MVP — logs the check, doesn't match line-by-line yet)</w:t>
      </w:r>
    </w:p>
    <w:p w14:paraId="42D5D5BD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6.3 Bank statement line import &amp; auto-matching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2075894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6.4 Cash flow forecasting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5821406A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6.5 Petty cash management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0EB0FC80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6.6 Inter-fund / inter-account transfers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36D373BF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690C378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7. Budgeting &amp; Forecasting</w:t>
      </w:r>
    </w:p>
    <w:p w14:paraId="14BB51BF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7.1 Annual budget setup by account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713BD11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7.2 Budget vs Actual reporting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1ED17537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7.3 Budget revision/amendment tracking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648A7D3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7.4 Multi-year budget planning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2FF3B18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32EF5BF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8. Tax &amp; Statutory Compliance</w:t>
      </w:r>
    </w:p>
    <w:p w14:paraId="23A8FD16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8.1 SST/GST/VAT tracking and reporting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2501F85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8.2 Withholding tax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57A179D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8.3 Tax return preparation exports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68CC5BE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8.4 Statutory reporting formats (e.g. Registrar of Societies filing format for nonprofits)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02EEF0EF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239DBAE5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9. Fund / Donor-Restricted Accounting</w:t>
      </w:r>
    </w:p>
    <w:p w14:paraId="7517B443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*(Standard for nonprofits — a temple's donations often come with donor-specified restrictions, e.g. "for building fund only," which is legally and accounting-wise different from general operating income.)*</w:t>
      </w:r>
    </w:p>
    <w:p w14:paraId="296B73B7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1A42F33F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9.1 Restricted vs unrestricted fund tracking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 (donations are recorded, but not tagged as restricted/unrestricted in the ledger)</w:t>
      </w:r>
    </w:p>
    <w:p w14:paraId="157A817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9.2 Donor-designated fund reporting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17C59A4F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9.3 Grant/donation compliance reporting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12BD87A4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9.4 Fund transfer between restricted/unrestricted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0C09683C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5FF08E7A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10. Cost Center / Project / Department Accounting</w:t>
      </w:r>
    </w:p>
    <w:p w14:paraId="2A96BF81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10.1 Cost center tagging on transactions — </w:t>
      </w:r>
      <w:r w:rsidRPr="00ED74B2">
        <w:rPr>
          <w:rFonts w:ascii="Segoe UI Emoji" w:hAnsi="Segoe UI Emoji" w:cs="Segoe UI Emoji"/>
        </w:rPr>
        <w:t>🟡</w:t>
      </w:r>
      <w:r w:rsidRPr="00ED74B2">
        <w:rPr>
          <w:rFonts w:ascii="Courier New" w:hAnsi="Courier New" w:cs="Courier New"/>
        </w:rPr>
        <w:t xml:space="preserve"> Partial (each temple is its own cost center; no sub-department tagging within one temple)</w:t>
      </w:r>
    </w:p>
    <w:p w14:paraId="743D81E4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10.2 Departmental P&amp;L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76ACF35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10.3 Project-based costing (e.g. a specific building fund or event)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6400905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04AE794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11. Financial Reporting &amp; Compliance</w:t>
      </w:r>
    </w:p>
    <w:p w14:paraId="346F758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11.1 Standard financial statements (Balance Sheet, P&amp;L)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32FD9D7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lastRenderedPageBreak/>
        <w:t xml:space="preserve">11.2 Statement of Functional Expenses (nonprofit-specific)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468F49C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11.3 Custom report builder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020F40AD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11.4 Export to Excel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 (all reports export to .xlsx)</w:t>
      </w:r>
    </w:p>
    <w:p w14:paraId="1E30E259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11.5 Multi-entity consolidated reporting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54683E55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11.6 Annual Report generation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 (separate CBE Annual Report module)</w:t>
      </w:r>
    </w:p>
    <w:p w14:paraId="3E2C371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414A62F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12. Audit Trail &amp; Internal Controls</w:t>
      </w:r>
    </w:p>
    <w:p w14:paraId="5DC48AD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12.1 Full transaction audit log (who/when/what changed)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 for finance specifically</w:t>
      </w:r>
    </w:p>
    <w:p w14:paraId="580FD291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12.2 Segregation of duties enforcement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720DEACD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12.3 Maker-checker approval on postings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1AF5AA6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12.4 Document/receipt attachment on transactions — </w:t>
      </w:r>
      <w:r w:rsidRPr="00ED74B2">
        <w:rPr>
          <w:rFonts w:ascii="Segoe UI Emoji" w:hAnsi="Segoe UI Emoji" w:cs="Segoe UI Emoji"/>
        </w:rPr>
        <w:t>🟡</w:t>
      </w:r>
      <w:r w:rsidRPr="00ED74B2">
        <w:rPr>
          <w:rFonts w:ascii="Courier New" w:hAnsi="Courier New" w:cs="Courier New"/>
        </w:rPr>
        <w:t xml:space="preserve"> Partial (bills support file attachment; invoices/JV do not)</w:t>
      </w:r>
    </w:p>
    <w:p w14:paraId="5D978CB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12.5 Void/reversal instead of hard delete — </w:t>
      </w:r>
      <w:r w:rsidRPr="00ED74B2">
        <w:rPr>
          <w:rFonts w:ascii="Segoe UI Emoji" w:hAnsi="Segoe UI Emoji" w:cs="Segoe UI Emoji"/>
        </w:rPr>
        <w:t>🟡</w:t>
      </w:r>
      <w:r w:rsidRPr="00ED74B2">
        <w:rPr>
          <w:rFonts w:ascii="Courier New" w:hAnsi="Courier New" w:cs="Courier New"/>
        </w:rPr>
        <w:t xml:space="preserve"> Partial (no delete UI exists at all yet, which is safe by omission, but there's also no formal void/reversal flow)</w:t>
      </w:r>
    </w:p>
    <w:p w14:paraId="19FED52D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6044E0C2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13. Integration &amp; Data Exchange</w:t>
      </w:r>
    </w:p>
    <w:p w14:paraId="4D6F6245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13.1 Generic journal CSV export for external accountants — </w:t>
      </w:r>
      <w:r w:rsidRPr="00ED74B2">
        <w:rPr>
          <w:rFonts w:ascii="Segoe UI Emoji" w:hAnsi="Segoe UI Emoji" w:cs="Segoe UI Emoji"/>
        </w:rPr>
        <w:t>✅</w:t>
      </w:r>
      <w:r w:rsidRPr="00ED74B2">
        <w:rPr>
          <w:rFonts w:ascii="Courier New" w:hAnsi="Courier New" w:cs="Courier New"/>
        </w:rPr>
        <w:t xml:space="preserve"> Built</w:t>
      </w:r>
    </w:p>
    <w:p w14:paraId="4519CB35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13.2 Bank feed integration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09957770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13.3 API for third-party integration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4613CC98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13.4 Bulk import from Excel/CSV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009CB2F2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1689AB95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### 14. Multi-Currency</w:t>
      </w:r>
    </w:p>
    <w:p w14:paraId="3A88396A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14.1 Multi-currency transaction entry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170F6506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14.2 Exchange rate management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44A35A51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 xml:space="preserve">14.3 Currency translation/revaluation — </w:t>
      </w:r>
      <w:r w:rsidRPr="00ED74B2">
        <w:rPr>
          <w:rFonts w:ascii="Segoe UI Emoji" w:hAnsi="Segoe UI Emoji" w:cs="Segoe UI Emoji"/>
        </w:rPr>
        <w:t>⬜</w:t>
      </w:r>
      <w:r w:rsidRPr="00ED74B2">
        <w:rPr>
          <w:rFonts w:ascii="Courier New" w:hAnsi="Courier New" w:cs="Courier New"/>
        </w:rPr>
        <w:t xml:space="preserve"> Not built</w:t>
      </w:r>
    </w:p>
    <w:p w14:paraId="49CCA5AC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*(Low priority unless GeneralLink expects temples to transact outside MYR.)*</w:t>
      </w:r>
    </w:p>
    <w:p w14:paraId="4AFCA5EE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59766B42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---</w:t>
      </w:r>
    </w:p>
    <w:p w14:paraId="2EFDADFA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p w14:paraId="550811FB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  <w:r w:rsidRPr="00ED74B2">
        <w:rPr>
          <w:rFonts w:ascii="Courier New" w:hAnsi="Courier New" w:cs="Courier New"/>
        </w:rPr>
        <w:t>**Note on this document:** I could not generate this as a Word (.docx) file tonight — the code-execution sandbox needed for that has been down all session (a known outage, not something I can fix from here). This Markdown file is the full content; I'll convert it to .docx as soon as the sandbox is back, or you can open this file directly (any text editor, or drag it into Word).</w:t>
      </w:r>
    </w:p>
    <w:p w14:paraId="31A6B2EF" w14:textId="77777777" w:rsidR="00ED74B2" w:rsidRPr="00ED74B2" w:rsidRDefault="00ED74B2" w:rsidP="00ED74B2">
      <w:pPr>
        <w:pStyle w:val="PlainText"/>
        <w:rPr>
          <w:rFonts w:ascii="Courier New" w:hAnsi="Courier New" w:cs="Courier New"/>
        </w:rPr>
      </w:pPr>
    </w:p>
    <w:sectPr w:rsidR="00ED74B2" w:rsidRPr="00ED74B2" w:rsidSect="00ED74B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B2"/>
    <w:rsid w:val="004E6124"/>
    <w:rsid w:val="00AC7E1F"/>
    <w:rsid w:val="00CD20F6"/>
    <w:rsid w:val="00ED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60C06"/>
  <w15:chartTrackingRefBased/>
  <w15:docId w15:val="{12637149-90E6-498C-B052-3FBC3DF1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526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526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1280</Words>
  <Characters>7296</Characters>
  <Application>Microsoft Office Word</Application>
  <DocSecurity>0</DocSecurity>
  <Lines>60</Lines>
  <Paragraphs>17</Paragraphs>
  <ScaleCrop>false</ScaleCrop>
  <Company/>
  <LinksUpToDate>false</LinksUpToDate>
  <CharactersWithSpaces>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Yap</dc:creator>
  <cp:keywords/>
  <dc:description/>
  <cp:lastModifiedBy>Chris Yap</cp:lastModifiedBy>
  <cp:revision>2</cp:revision>
  <dcterms:created xsi:type="dcterms:W3CDTF">2026-08-30T12:22:00Z</dcterms:created>
  <dcterms:modified xsi:type="dcterms:W3CDTF">2026-08-30T12:22:00Z</dcterms:modified>
</cp:coreProperties>
</file>