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6b7280"/>
          <w:sz w:val="20"/>
          <w:szCs w:val="20"/>
        </w:rPr>
        <w:t xml:space="preserve">GLADE</w:t>
      </w:r>
    </w:p>
    <w:p>
      <w:pPr>
        <w:spacing w:after="60"/>
        <w:jc w:val="center"/>
      </w:pPr>
      <w:r>
        <w:rPr>
          <w:b/>
          <w:bCs/>
          <w:color w:val="263238"/>
          <w:sz w:val="32"/>
          <w:szCs w:val="32"/>
        </w:rPr>
        <w:t xml:space="preserve">VENDOR REGISTRATION ACTIVATION AGREEMENT</w:t>
      </w:r>
    </w:p>
    <w:p>
      <w:pPr>
        <w:spacing w:after="220"/>
        <w:jc w:val="center"/>
      </w:pPr>
      <w:r>
        <w:rPr>
          <w:b/>
          <w:bCs/>
          <w:color w:val="1565C0"/>
          <w:sz w:val="19"/>
          <w:szCs w:val="19"/>
        </w:rPr>
        <w:t xml:space="preserve">EMAIL OTP ACCEPTANCE &amp; DIGITAL SIGNING</w:t>
      </w:r>
    </w:p>
    <w:p>
      <w:pPr>
        <w:pBdr>
          <w:bottom w:val="single" w:color="D1D5DB" w:sz="6" w:space="8"/>
        </w:pBdr>
        <w:spacing w:after="300"/>
        <w:jc w:val="center"/>
      </w:pPr>
      <w:r>
        <w:rPr>
          <w:i/>
          <w:iCs/>
          <w:color w:val="6b7280"/>
          <w:sz w:val="18"/>
          <w:szCs w:val="18"/>
        </w:rPr>
        <w:t xml:space="preserve">Agreement No: [AGREEMENT_NUMBER]   |   Version: [AGREEMENT_VERSION]   |   Date: [AGREEMENT_DATE]</w:t>
      </w:r>
    </w:p>
    <w:p>
      <w:pPr>
        <w:spacing w:after="120" w:line="276"/>
      </w:pPr>
      <w:r>
        <w:rPr>
          <w:color w:val="263238"/>
          <w:sz w:val="21"/>
          <w:szCs w:val="21"/>
        </w:rPr>
        <w:t xml:space="preserve">This Vendor Registration Activation Agreement ("Agreement") is made between:</w:t>
      </w:r>
    </w:p>
    <w:p>
      <w:pPr>
        <w:spacing w:after="120" w:line="276"/>
      </w:pPr>
      <w:r>
        <w:rPr>
          <w:b/>
          <w:bCs/>
          <w:color w:val="263238"/>
          <w:sz w:val="21"/>
          <w:szCs w:val="21"/>
        </w:rPr>
        <w:t xml:space="preserve">(1)  GLADE</w:t>
      </w:r>
      <w:r>
        <w:rPr>
          <w:color w:val="263238"/>
          <w:sz w:val="21"/>
          <w:szCs w:val="21"/>
        </w:rPr>
        <w:t xml:space="preserve">, operated by My Broadband Solution, of No 5, Jalan Aman Perdana 7C/KU5, Taman Aman Perdana, 41050 Meru, Kapar, Selangor ("GLADE"); and</w:t>
      </w:r>
    </w:p>
    <w:p>
      <w:pPr>
        <w:spacing w:after="120" w:line="276"/>
      </w:pPr>
      <w:r>
        <w:rPr>
          <w:b/>
          <w:bCs/>
          <w:color w:val="263238"/>
          <w:sz w:val="21"/>
          <w:szCs w:val="21"/>
        </w:rPr>
        <w:t xml:space="preserve">(2)  [VENDOR_NAME]</w:t>
      </w:r>
      <w:r>
        <w:rPr>
          <w:color w:val="263238"/>
          <w:sz w:val="21"/>
          <w:szCs w:val="21"/>
        </w:rPr>
        <w:t xml:space="preserve"> (Registration No: [VENDOR_REG_NO]), a vendor registered on the GLADE platform under Vendor ID [VENDOR_ID] ("Vendor"),</w:t>
      </w:r>
    </w:p>
    <w:p>
      <w:pPr>
        <w:spacing w:after="120" w:line="276"/>
      </w:pPr>
      <w:r>
        <w:rPr>
          <w:color w:val="263238"/>
          <w:sz w:val="21"/>
          <w:szCs w:val="21"/>
        </w:rPr>
        <w:t xml:space="preserve">collectively "the Parties", each a "Party".</w:t>
      </w:r>
    </w:p>
    <w:p>
      <w:pPr>
        <w:pStyle w:val="Heading2"/>
        <w:spacing w:after="120" w:before="260"/>
      </w:pPr>
      <w:r>
        <w:rPr>
          <w:b/>
          <w:bCs/>
          <w:color w:val="1565C0"/>
          <w:sz w:val="22"/>
          <w:szCs w:val="22"/>
        </w:rPr>
        <w:t xml:space="preserve">1. Purpose</w:t>
      </w:r>
    </w:p>
    <w:p>
      <w:pPr>
        <w:spacing w:after="120" w:line="276"/>
      </w:pPr>
      <w:r>
        <w:rPr>
          <w:color w:val="263238"/>
          <w:sz w:val="21"/>
          <w:szCs w:val="21"/>
        </w:rPr>
        <w:t xml:space="preserve">1.1  GLADE has reviewed and approved the Vendor's registration application submitted through the GLADE Vendor Onboarding and Communication Workflow. This Agreement sets out the terms on which the Vendor's account will be activated and the Vendor granted access to the GLADE platform.</w:t>
      </w:r>
    </w:p>
    <w:p>
      <w:pPr>
        <w:spacing w:after="120" w:line="276"/>
      </w:pPr>
      <w:r>
        <w:rPr>
          <w:color w:val="263238"/>
          <w:sz w:val="21"/>
          <w:szCs w:val="21"/>
        </w:rPr>
        <w:t xml:space="preserve">1.2  This Agreement takes effect upon the Vendor's digital acceptance in accordance with Clause 10 (Electronic Acceptance &amp; Digital Signing).</w:t>
      </w:r>
    </w:p>
    <w:p>
      <w:pPr>
        <w:pStyle w:val="Heading2"/>
        <w:spacing w:after="120" w:before="260"/>
      </w:pPr>
      <w:r>
        <w:rPr>
          <w:b/>
          <w:bCs/>
          <w:color w:val="1565C0"/>
          <w:sz w:val="22"/>
          <w:szCs w:val="22"/>
        </w:rPr>
        <w:t xml:space="preserve">2. Activation &amp; Support Fees</w:t>
      </w:r>
    </w:p>
    <w:p>
      <w:pPr>
        <w:spacing w:after="120" w:line="276"/>
      </w:pPr>
      <w:r>
        <w:rPr>
          <w:color w:val="263238"/>
          <w:sz w:val="21"/>
          <w:szCs w:val="21"/>
        </w:rPr>
        <w:t xml:space="preserve">2.1  In consideration of account activation and continued access to the GLADE platform, the Vendor shall pay GLADE the following fees: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500"/>
        <w:gridCol w:w="2500"/>
        <w:gridCol w:w="2500"/>
      </w:tblGrid>
      <w:tr>
        <w:tc>
          <w:tcPr>
            <w:tcW w:type="pct" w:w="33%"/>
            <w:shd w:fill="EAF3FB" w:val="clear"/>
            <w:vAlign w:val="center"/>
          </w:tcPr>
          <w:p>
            <w:r>
              <w:rPr>
                <w:b/>
                <w:bCs/>
                <w:color w:val="1565C0"/>
                <w:sz w:val="19"/>
                <w:szCs w:val="19"/>
              </w:rPr>
              <w:t xml:space="preserve">Fee Item</w:t>
            </w:r>
          </w:p>
        </w:tc>
        <w:tc>
          <w:tcPr>
            <w:tcW w:type="pct" w:w="33%"/>
            <w:shd w:fill="EAF3FB" w:val="clear"/>
            <w:vAlign w:val="center"/>
          </w:tcPr>
          <w:p>
            <w:r>
              <w:rPr>
                <w:b/>
                <w:bCs/>
                <w:color w:val="1565C0"/>
                <w:sz w:val="19"/>
                <w:szCs w:val="19"/>
              </w:rPr>
              <w:t xml:space="preserve">Amount (RM)</w:t>
            </w:r>
          </w:p>
        </w:tc>
        <w:tc>
          <w:tcPr>
            <w:tcW w:type="pct" w:w="33%"/>
            <w:shd w:fill="EAF3FB" w:val="clear"/>
            <w:vAlign w:val="center"/>
          </w:tcPr>
          <w:p>
            <w:r>
              <w:rPr>
                <w:b/>
                <w:bCs/>
                <w:color w:val="1565C0"/>
                <w:sz w:val="19"/>
                <w:szCs w:val="19"/>
              </w:rPr>
              <w:t xml:space="preserve">Frequency</w:t>
            </w:r>
          </w:p>
        </w:tc>
      </w:tr>
      <w:tr>
        <w:tc>
          <w:tcPr>
            <w:tcW w:type="pct" w:w="33%"/>
            <w:vAlign w:val="center"/>
          </w:tcPr>
          <w:p>
            <w:r>
              <w:rPr>
                <w:b w:val="false"/>
                <w:bCs w:val="false"/>
                <w:color w:val="263238"/>
                <w:sz w:val="20"/>
                <w:szCs w:val="20"/>
              </w:rPr>
              <w:t xml:space="preserve">Merchant Account Activation &amp; Setup Fee</w:t>
            </w:r>
          </w:p>
        </w:tc>
        <w:tc>
          <w:tcPr>
            <w:tcW w:type="pct" w:w="33%"/>
            <w:vAlign w:val="center"/>
          </w:tcPr>
          <w:p>
            <w:r>
              <w:rPr>
                <w:b/>
                <w:bCs/>
                <w:color w:val="263238"/>
                <w:sz w:val="20"/>
                <w:szCs w:val="20"/>
              </w:rPr>
              <w:t xml:space="preserve">RM 300.00</w:t>
            </w:r>
          </w:p>
        </w:tc>
        <w:tc>
          <w:tcPr>
            <w:tcW w:type="pct" w:w="33%"/>
            <w:vAlign w:val="center"/>
          </w:tcPr>
          <w:p>
            <w:r>
              <w:rPr>
                <w:b w:val="false"/>
                <w:bCs w:val="false"/>
                <w:color w:val="263238"/>
                <w:sz w:val="20"/>
                <w:szCs w:val="20"/>
              </w:rPr>
              <w:t xml:space="preserve">One-time</w:t>
            </w:r>
          </w:p>
        </w:tc>
      </w:tr>
      <w:tr>
        <w:tc>
          <w:tcPr>
            <w:tcW w:type="pct" w:w="33%"/>
            <w:vAlign w:val="center"/>
          </w:tcPr>
          <w:p>
            <w:r>
              <w:rPr>
                <w:b w:val="false"/>
                <w:bCs w:val="false"/>
                <w:color w:val="263238"/>
                <w:sz w:val="20"/>
                <w:szCs w:val="20"/>
              </w:rPr>
              <w:t xml:space="preserve">Platform Maintenance &amp; Support Fee</w:t>
            </w:r>
          </w:p>
        </w:tc>
        <w:tc>
          <w:tcPr>
            <w:tcW w:type="pct" w:w="33%"/>
            <w:vAlign w:val="center"/>
          </w:tcPr>
          <w:p>
            <w:r>
              <w:rPr>
                <w:b/>
                <w:bCs/>
                <w:color w:val="263238"/>
                <w:sz w:val="20"/>
                <w:szCs w:val="20"/>
              </w:rPr>
              <w:t xml:space="preserve">RM 1,200.00</w:t>
            </w:r>
          </w:p>
        </w:tc>
        <w:tc>
          <w:tcPr>
            <w:tcW w:type="pct" w:w="33%"/>
            <w:vAlign w:val="center"/>
          </w:tcPr>
          <w:p>
            <w:r>
              <w:rPr>
                <w:b w:val="false"/>
                <w:bCs w:val="false"/>
                <w:color w:val="263238"/>
                <w:sz w:val="20"/>
                <w:szCs w:val="20"/>
              </w:rPr>
              <w:t xml:space="preserve">Annual</w:t>
            </w:r>
          </w:p>
        </w:tc>
      </w:tr>
    </w:tbl>
    <w:p>
      <w:pPr>
        <w:spacing w:after="120" w:line="276"/>
      </w:pPr>
      <w:r>
        <w:rPr>
          <w:color w:val="263238"/>
          <w:sz w:val="21"/>
          <w:szCs w:val="21"/>
        </w:rPr>
        <w:t xml:space="default"/>
      </w:r>
    </w:p>
    <w:p>
      <w:pPr>
        <w:spacing w:after="120" w:line="276"/>
      </w:pPr>
      <w:r>
        <w:rPr>
          <w:color w:val="263238"/>
          <w:sz w:val="21"/>
          <w:szCs w:val="21"/>
        </w:rPr>
        <w:t xml:space="preserve">2.2  The Merchant Account Activation &amp; Setup Fee is payable once, upon acceptance of this Agreement. The Platform Maintenance &amp; Support Fee is payable annually, with the first year's fee due together with the activation fee and each subsequent year's fee due on the anniversary of activation.</w:t>
      </w:r>
    </w:p>
    <w:p>
      <w:pPr>
        <w:pStyle w:val="Heading2"/>
        <w:spacing w:after="120" w:before="260"/>
      </w:pPr>
      <w:r>
        <w:rPr>
          <w:b/>
          <w:bCs/>
          <w:color w:val="1565C0"/>
          <w:sz w:val="22"/>
          <w:szCs w:val="22"/>
        </w:rPr>
        <w:t xml:space="preserve">3. Payment Instructions</w:t>
      </w:r>
    </w:p>
    <w:p>
      <w:pPr>
        <w:spacing w:after="120" w:line="276"/>
      </w:pPr>
      <w:r>
        <w:rPr>
          <w:color w:val="263238"/>
          <w:sz w:val="21"/>
          <w:szCs w:val="21"/>
        </w:rPr>
        <w:t xml:space="preserve">3.1  Payment shall be made by bank transfer to the following account: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pct" w:w="50%"/>
            <w:shd w:fill="F7FAFC" w:val="clear"/>
            <w:vAlign w:val="center"/>
          </w:tcPr>
          <w:p>
            <w:r>
              <w:rPr>
                <w:b/>
                <w:bCs/>
                <w:color w:val="263238"/>
                <w:sz w:val="20"/>
                <w:szCs w:val="20"/>
              </w:rPr>
              <w:t xml:space="preserve">Account Name</w:t>
            </w:r>
          </w:p>
        </w:tc>
        <w:tc>
          <w:tcPr>
            <w:tcW w:type="pct" w:w="50%"/>
            <w:vAlign w:val="center"/>
          </w:tcPr>
          <w:p>
            <w:r>
              <w:rPr>
                <w:b w:val="false"/>
                <w:bCs w:val="false"/>
                <w:color w:val="263238"/>
                <w:sz w:val="20"/>
                <w:szCs w:val="20"/>
              </w:rPr>
              <w:t xml:space="preserve">My Broadband Solution</w:t>
            </w:r>
          </w:p>
        </w:tc>
      </w:tr>
      <w:tr>
        <w:tc>
          <w:tcPr>
            <w:tcW w:type="pct" w:w="50%"/>
            <w:shd w:fill="F7FAFC" w:val="clear"/>
            <w:vAlign w:val="center"/>
          </w:tcPr>
          <w:p>
            <w:r>
              <w:rPr>
                <w:b/>
                <w:bCs/>
                <w:color w:val="263238"/>
                <w:sz w:val="20"/>
                <w:szCs w:val="20"/>
              </w:rPr>
              <w:t xml:space="preserve">Bank</w:t>
            </w:r>
          </w:p>
        </w:tc>
        <w:tc>
          <w:tcPr>
            <w:tcW w:type="pct" w:w="50%"/>
            <w:vAlign w:val="center"/>
          </w:tcPr>
          <w:p>
            <w:r>
              <w:rPr>
                <w:b w:val="false"/>
                <w:bCs w:val="false"/>
                <w:color w:val="263238"/>
                <w:sz w:val="20"/>
                <w:szCs w:val="20"/>
              </w:rPr>
              <w:t xml:space="preserve">Maybank Berhad — Setia Alam Branch</w:t>
            </w:r>
          </w:p>
        </w:tc>
      </w:tr>
      <w:tr>
        <w:tc>
          <w:tcPr>
            <w:tcW w:type="pct" w:w="50%"/>
            <w:shd w:fill="F7FAFC" w:val="clear"/>
            <w:vAlign w:val="center"/>
          </w:tcPr>
          <w:p>
            <w:r>
              <w:rPr>
                <w:b/>
                <w:bCs/>
                <w:color w:val="263238"/>
                <w:sz w:val="20"/>
                <w:szCs w:val="20"/>
              </w:rPr>
              <w:t xml:space="preserve">Account Number</w:t>
            </w:r>
          </w:p>
        </w:tc>
        <w:tc>
          <w:tcPr>
            <w:tcW w:type="pct" w:w="50%"/>
            <w:vAlign w:val="center"/>
          </w:tcPr>
          <w:p>
            <w:r>
              <w:rPr>
                <w:b w:val="false"/>
                <w:bCs w:val="false"/>
                <w:color w:val="263238"/>
                <w:sz w:val="20"/>
                <w:szCs w:val="20"/>
              </w:rPr>
              <w:t xml:space="preserve">5128-4851-3226</w:t>
            </w:r>
          </w:p>
        </w:tc>
      </w:tr>
    </w:tbl>
    <w:p>
      <w:pPr>
        <w:spacing w:after="120" w:line="276"/>
      </w:pPr>
      <w:r>
        <w:rPr>
          <w:color w:val="263238"/>
          <w:sz w:val="21"/>
          <w:szCs w:val="21"/>
        </w:rPr>
        <w:t xml:space="default"/>
      </w:r>
    </w:p>
    <w:p>
      <w:pPr>
        <w:spacing w:after="120" w:line="276"/>
      </w:pPr>
      <w:r>
        <w:rPr>
          <w:color w:val="263238"/>
          <w:sz w:val="21"/>
          <w:szCs w:val="21"/>
        </w:rPr>
        <w:t xml:space="preserve">3.2  Upon making payment, the Vendor shall forward the bank-in slip or payment confirmation to chrisyap@mybbs.com.my for verification. GLADE will activate the Vendor's full account access upon receipt and verification of payment.</w:t>
      </w:r>
    </w:p>
    <w:p>
      <w:pPr>
        <w:pStyle w:val="Heading2"/>
        <w:spacing w:after="120" w:before="260"/>
      </w:pPr>
      <w:r>
        <w:rPr>
          <w:b/>
          <w:bCs/>
          <w:color w:val="1565C0"/>
          <w:sz w:val="22"/>
          <w:szCs w:val="22"/>
        </w:rPr>
        <w:t xml:space="preserve">4. Account Activation</w:t>
      </w:r>
    </w:p>
    <w:p>
      <w:pPr>
        <w:spacing w:after="120" w:line="276"/>
      </w:pPr>
      <w:r>
        <w:rPr>
          <w:color w:val="263238"/>
          <w:sz w:val="21"/>
          <w:szCs w:val="21"/>
        </w:rPr>
        <w:t xml:space="preserve">4.1  Prior to acceptance of this Agreement and verification of payment, the Vendor's account remains in restricted status: the Vendor may view its application status, communicate through the Vendor Onboarding and Communication Workflow, and upload requested documents, but shall not have access to the full Vendor Dashboard.</w:t>
      </w:r>
    </w:p>
    <w:p>
      <w:pPr>
        <w:spacing w:after="120" w:line="276"/>
      </w:pPr>
      <w:r>
        <w:rPr>
          <w:color w:val="263238"/>
          <w:sz w:val="21"/>
          <w:szCs w:val="21"/>
        </w:rPr>
        <w:t xml:space="preserve">4.2  Upon (i) digital acceptance of this Agreement and (ii) verification of payment under Clause 3, GLADE shall activate the Vendor's account and unlock full access to the Vendor Dashboard.</w:t>
      </w:r>
    </w:p>
    <w:p>
      <w:pPr>
        <w:pStyle w:val="Heading2"/>
        <w:spacing w:after="120" w:before="260"/>
      </w:pPr>
      <w:r>
        <w:rPr>
          <w:b/>
          <w:bCs/>
          <w:color w:val="1565C0"/>
          <w:sz w:val="22"/>
          <w:szCs w:val="22"/>
        </w:rPr>
        <w:t xml:space="preserve">5. Term &amp; Renewal</w:t>
      </w:r>
    </w:p>
    <w:p>
      <w:pPr>
        <w:spacing w:after="120" w:line="276"/>
      </w:pPr>
      <w:r>
        <w:rPr>
          <w:color w:val="263238"/>
          <w:sz w:val="21"/>
          <w:szCs w:val="21"/>
        </w:rPr>
        <w:t xml:space="preserve">5.1  This Agreement commences on the date of digital acceptance and continues for successive annual periods, renewing automatically upon payment of the Platform Maintenance &amp; Support Fee each year, unless terminated earlier under Clause 7.</w:t>
      </w:r>
    </w:p>
    <w:p>
      <w:pPr>
        <w:pStyle w:val="Heading2"/>
        <w:spacing w:after="120" w:before="260"/>
      </w:pPr>
      <w:r>
        <w:rPr>
          <w:b/>
          <w:bCs/>
          <w:color w:val="1565C0"/>
          <w:sz w:val="22"/>
          <w:szCs w:val="22"/>
        </w:rPr>
        <w:t xml:space="preserve">6. Vendor Obligations</w:t>
      </w:r>
    </w:p>
    <w:p>
      <w:pPr>
        <w:pStyle w:val="ListParagraph"/>
        <w:numPr>
          <w:ilvl w:val="0"/>
          <w:numId w:val="1"/>
        </w:numPr>
        <w:spacing w:after="60"/>
      </w:pPr>
      <w:r>
        <w:rPr>
          <w:color w:val="263238"/>
          <w:sz w:val="21"/>
          <w:szCs w:val="21"/>
        </w:rPr>
        <w:t xml:space="preserve">Provide true, accurate and current registration and business information, and promptly notify GLADE of any change.</w:t>
      </w:r>
    </w:p>
    <w:p>
      <w:pPr>
        <w:pStyle w:val="ListParagraph"/>
        <w:numPr>
          <w:ilvl w:val="0"/>
          <w:numId w:val="1"/>
        </w:numPr>
        <w:spacing w:after="60"/>
      </w:pPr>
      <w:r>
        <w:rPr>
          <w:color w:val="263238"/>
          <w:sz w:val="21"/>
          <w:szCs w:val="21"/>
        </w:rPr>
        <w:t xml:space="preserve">Maintain the confidentiality of its account login credentials.</w:t>
      </w:r>
    </w:p>
    <w:p>
      <w:pPr>
        <w:pStyle w:val="ListParagraph"/>
        <w:numPr>
          <w:ilvl w:val="0"/>
          <w:numId w:val="1"/>
        </w:numPr>
        <w:spacing w:after="60"/>
      </w:pPr>
      <w:r>
        <w:rPr>
          <w:color w:val="263238"/>
          <w:sz w:val="21"/>
          <w:szCs w:val="21"/>
        </w:rPr>
        <w:t xml:space="preserve">Comply with all applicable GLADE platform policies and Malaysian law in its dealings on the platform.</w:t>
      </w:r>
    </w:p>
    <w:p>
      <w:pPr>
        <w:pStyle w:val="ListParagraph"/>
        <w:numPr>
          <w:ilvl w:val="0"/>
          <w:numId w:val="1"/>
        </w:numPr>
        <w:spacing w:after="60"/>
      </w:pPr>
      <w:r>
        <w:rPr>
          <w:color w:val="263238"/>
          <w:sz w:val="21"/>
          <w:szCs w:val="21"/>
        </w:rPr>
        <w:t xml:space="preserve">Respond to GLADE's reasonable requests for documents or clarification through the Vendor Onboarding and Communication Workflow.</w:t>
      </w:r>
    </w:p>
    <w:p>
      <w:pPr>
        <w:pStyle w:val="Heading2"/>
        <w:spacing w:after="120" w:before="260"/>
      </w:pPr>
      <w:r>
        <w:rPr>
          <w:b/>
          <w:bCs/>
          <w:color w:val="1565C0"/>
          <w:sz w:val="22"/>
          <w:szCs w:val="22"/>
        </w:rPr>
        <w:t xml:space="preserve">7. GLADE Obligations &amp; Termination</w:t>
      </w:r>
    </w:p>
    <w:p>
      <w:pPr>
        <w:spacing w:after="120" w:line="276"/>
      </w:pPr>
      <w:r>
        <w:rPr>
          <w:color w:val="263238"/>
          <w:sz w:val="21"/>
          <w:szCs w:val="21"/>
        </w:rPr>
        <w:t xml:space="preserve">7.1  GLADE shall provide the Vendor with access to the GLADE platform and reasonable support in connection with its use, subject to this Agreement and GLADE's policies.</w:t>
      </w:r>
    </w:p>
    <w:p>
      <w:pPr>
        <w:spacing w:after="120" w:line="276"/>
      </w:pPr>
      <w:r>
        <w:rPr>
          <w:color w:val="263238"/>
          <w:sz w:val="21"/>
          <w:szCs w:val="21"/>
        </w:rPr>
        <w:t xml:space="preserve">7.2  Either Party may terminate this Agreement on 30 days' written notice. GLADE may suspend or terminate the Vendor's account immediately in the event of non-payment, breach of this Agreement, or provision of false information.</w:t>
      </w:r>
    </w:p>
    <w:p>
      <w:pPr>
        <w:pStyle w:val="Heading2"/>
        <w:spacing w:after="120" w:before="260"/>
      </w:pPr>
      <w:r>
        <w:rPr>
          <w:b/>
          <w:bCs/>
          <w:color w:val="1565C0"/>
          <w:sz w:val="22"/>
          <w:szCs w:val="22"/>
        </w:rPr>
        <w:t xml:space="preserve">8. Confidentiality</w:t>
      </w:r>
    </w:p>
    <w:p>
      <w:pPr>
        <w:spacing w:after="120" w:line="276"/>
      </w:pPr>
      <w:r>
        <w:rPr>
          <w:color w:val="263238"/>
          <w:sz w:val="21"/>
          <w:szCs w:val="21"/>
        </w:rPr>
        <w:t xml:space="preserve">8.1  Each Party shall keep confidential all non-public information disclosed by the other Party in connection with this Agreement, save as required by law or regulatory authority.</w:t>
      </w:r>
    </w:p>
    <w:p>
      <w:pPr>
        <w:pStyle w:val="Heading2"/>
        <w:spacing w:after="120" w:before="260"/>
      </w:pPr>
      <w:r>
        <w:rPr>
          <w:b/>
          <w:bCs/>
          <w:color w:val="1565C0"/>
          <w:sz w:val="22"/>
          <w:szCs w:val="22"/>
        </w:rPr>
        <w:t xml:space="preserve">9. Governing Law</w:t>
      </w:r>
    </w:p>
    <w:p>
      <w:pPr>
        <w:spacing w:after="120" w:line="276"/>
      </w:pPr>
      <w:r>
        <w:rPr>
          <w:color w:val="263238"/>
          <w:sz w:val="21"/>
          <w:szCs w:val="21"/>
        </w:rPr>
        <w:t xml:space="preserve">9.1  This Agreement is governed by the laws of Malaysia, and the Parties submit to the exclusive jurisdiction of the Malaysian courts.</w:t>
      </w:r>
    </w:p>
    <w:p>
      <w:pPr>
        <w:pStyle w:val="Heading2"/>
        <w:spacing w:after="120" w:before="260"/>
      </w:pPr>
      <w:r>
        <w:rPr>
          <w:b/>
          <w:bCs/>
          <w:color w:val="1565C0"/>
          <w:sz w:val="22"/>
          <w:szCs w:val="22"/>
        </w:rPr>
        <w:t xml:space="preserve">10. Electronic Acceptance &amp; Digital Signing</w:t>
      </w:r>
    </w:p>
    <w:p>
      <w:pPr>
        <w:spacing w:after="120" w:line="276"/>
      </w:pPr>
      <w:r>
        <w:rPr>
          <w:color w:val="263238"/>
          <w:sz w:val="21"/>
          <w:szCs w:val="21"/>
        </w:rPr>
        <w:t xml:space="preserve">10.1  This Agreement is presented to the Vendor for review and acceptance through the GLADE platform's digital acceptance workflow. The Vendor is not required to print, physically sign, scan, or upload a signature image to accept this Agreement.</w:t>
      </w:r>
    </w:p>
    <w:p>
      <w:pPr>
        <w:spacing w:after="120" w:line="276"/>
      </w:pPr>
      <w:r>
        <w:rPr>
          <w:color w:val="263238"/>
          <w:sz w:val="21"/>
          <w:szCs w:val="21"/>
        </w:rPr>
        <w:t xml:space="preserve">10.2  The Vendor accepts this Agreement by (i) authenticating using a One-Time Password ("OTP") sent to the Vendor's registered email address, and (ii) affirmatively clicking "Accept Agreement" after confirming it has reviewed and agrees to this Agreement's terms.</w:t>
      </w:r>
    </w:p>
    <w:p>
      <w:pPr>
        <w:spacing w:after="120" w:line="276"/>
      </w:pPr>
      <w:r>
        <w:rPr>
          <w:color w:val="263238"/>
          <w:sz w:val="21"/>
          <w:szCs w:val="21"/>
        </w:rPr>
        <w:t xml:space="preserve">10.3  The Parties agree that such electronic acceptance constitutes a valid and binding signature and acceptance of this Agreement, with the same legal effect as a handwritten signature, pursuant to the Electronic Commerce Act 2006 of Malaysia.</w:t>
      </w:r>
    </w:p>
    <w:p>
      <w:pPr>
        <w:spacing w:after="120" w:line="276"/>
      </w:pPr>
      <w:r>
        <w:rPr>
          <w:color w:val="263238"/>
          <w:sz w:val="21"/>
          <w:szCs w:val="21"/>
        </w:rPr>
        <w:t xml:space="preserve">10.4  GLADE shall retain a record of the acceptance, including the accepting user's identity, registered email, IP address, device information, OTP verification timestamp, acceptance timestamp, and a cryptographic hash of the accepted document, as evidence of acceptance.</w:t>
      </w:r>
    </w:p>
    <w:p>
      <w:r>
        <w:br w:type="page"/>
      </w:r>
    </w:p>
    <w:p>
      <w:pPr>
        <w:pStyle w:val="Heading2"/>
        <w:spacing w:after="120" w:before="260"/>
      </w:pPr>
      <w:r>
        <w:rPr>
          <w:b/>
          <w:bCs/>
          <w:color w:val="1565C0"/>
          <w:sz w:val="22"/>
          <w:szCs w:val="22"/>
        </w:rPr>
        <w:t xml:space="preserve">Signatures</w:t>
      </w:r>
    </w:p>
    <w:p>
      <w:pPr>
        <w:spacing w:after="120" w:line="276"/>
      </w:pPr>
      <w:r>
        <w:rPr>
          <w:color w:val="263238"/>
          <w:sz w:val="21"/>
          <w:szCs w:val="21"/>
        </w:rPr>
        <w:t xml:space="preserve">For and on behalf of GLADE (My Broadband Solution):</w:t>
      </w:r>
    </w:p>
    <w:p>
      <w:pPr>
        <w:spacing w:after="40" w:before="100"/>
      </w:pPr>
      <w:r>
        <w:drawing>
          <wp:inline distT="0" distB="0" distL="0" distR="0">
            <wp:extent cx="123825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38250" cy="714375"/>
                    </a:xfrm>
                    <a:prstGeom prst="rect">
                      <a:avLst/>
                    </a:prstGeom>
                  </pic:spPr>
                </pic:pic>
              </a:graphicData>
            </a:graphic>
          </wp:inline>
        </w:drawing>
      </w:r>
    </w:p>
    <w:p>
      <w:pPr>
        <w:spacing w:after="120" w:line="276"/>
      </w:pPr>
      <w:r>
        <w:rPr>
          <w:b/>
          <w:bCs/>
          <w:color w:val="263238"/>
          <w:sz w:val="21"/>
          <w:szCs w:val="21"/>
        </w:rPr>
        <w:t xml:space="preserve">Yap Wai Jyh</w:t>
      </w:r>
    </w:p>
    <w:p>
      <w:pPr>
        <w:spacing w:after="120" w:line="276"/>
      </w:pPr>
      <w:r>
        <w:rPr>
          <w:color w:val="263238"/>
          <w:sz w:val="21"/>
          <w:szCs w:val="21"/>
        </w:rPr>
        <w:t xml:space="preserve">Authorised Signatory — Admin Director, GLADE</w:t>
      </w:r>
    </w:p>
    <w:p>
      <w:pPr>
        <w:spacing w:after="120" w:line="276"/>
      </w:pPr>
      <w:r>
        <w:rPr>
          <w:color w:val="263238"/>
          <w:sz w:val="21"/>
          <w:szCs w:val="21"/>
        </w:rPr>
        <w:t xml:space="preserve">Email: chrisyap@mybbs.com.my</w:t>
      </w:r>
    </w:p>
    <w:p>
      <w:pPr>
        <w:spacing w:after="120" w:line="276"/>
      </w:pPr>
      <w:r>
        <w:rPr>
          <w:color w:val="263238"/>
          <w:sz w:val="21"/>
          <w:szCs w:val="21"/>
        </w:rPr>
        <w:t xml:space="preserve">HP: 012-2252275 / 016-6621311</w:t>
      </w:r>
    </w:p>
    <w:p>
      <w:pPr>
        <w:spacing w:after="120" w:line="276"/>
      </w:pPr>
      <w:r>
        <w:rPr>
          <w:color w:val="263238"/>
          <w:sz w:val="21"/>
          <w:szCs w:val="21"/>
        </w:rPr>
        <w:t xml:space="preserve">Date: [AGREEMENT_DATE]</w:t>
      </w:r>
    </w:p>
    <w:p>
      <w:pPr>
        <w:pBdr>
          <w:top w:val="single" w:color="D1D5DB" w:sz="4" w:space="8"/>
        </w:pBdr>
        <w:spacing w:after="40" w:before="200"/>
      </w:pPr>
    </w:p>
    <w:p>
      <w:pPr>
        <w:spacing w:after="120" w:line="276"/>
      </w:pPr>
      <w:r>
        <w:rPr>
          <w:color w:val="263238"/>
          <w:sz w:val="21"/>
          <w:szCs w:val="21"/>
        </w:rPr>
        <w:t xml:space="preserve">For and on behalf of the Vendor:</w:t>
      </w:r>
    </w:p>
    <w:p>
      <w:pPr>
        <w:spacing w:after="120" w:line="276"/>
      </w:pPr>
      <w:r>
        <w:rPr>
          <w:i/>
          <w:iCs/>
          <w:color w:val="6b7280"/>
          <w:sz w:val="20"/>
          <w:szCs w:val="20"/>
        </w:rPr>
        <w:t xml:space="preserve">Digitally accepted via Email OTP — see Acceptance Certificate on the following page.</w:t>
      </w:r>
    </w:p>
    <w:p>
      <w:pPr>
        <w:spacing w:after="120" w:line="276"/>
      </w:pPr>
      <w:r>
        <w:rPr>
          <w:color w:val="263238"/>
          <w:sz w:val="21"/>
          <w:szCs w:val="21"/>
        </w:rPr>
        <w:t xml:space="preserve">Name: [VENDOR_ACCEPTED_BY_NAME]</w:t>
      </w:r>
    </w:p>
    <w:p>
      <w:pPr>
        <w:spacing w:after="120" w:line="276"/>
      </w:pPr>
      <w:r>
        <w:rPr>
          <w:color w:val="263238"/>
          <w:sz w:val="21"/>
          <w:szCs w:val="21"/>
        </w:rPr>
        <w:t xml:space="preserve">Email: [VENDOR_ACCEPTED_BY_EMAIL]</w:t>
      </w:r>
    </w:p>
    <w:p>
      <w:pPr>
        <w:spacing w:after="120" w:line="276"/>
      </w:pPr>
      <w:r>
        <w:rPr>
          <w:color w:val="263238"/>
          <w:sz w:val="21"/>
          <w:szCs w:val="21"/>
        </w:rPr>
        <w:t xml:space="preserve">Accepted: [VENDOR_ACCEPTED_AT]</w:t>
      </w:r>
    </w:p>
    <w:p>
      <w:pPr>
        <w:spacing w:after="120" w:line="276"/>
      </w:pPr>
      <w:r>
        <w:rPr>
          <w:color w:val="263238"/>
          <w:sz w:val="21"/>
          <w:szCs w:val="21"/>
        </w:rPr>
        <w:t xml:space="preserve">Acceptance Method: Email OTP</w:t>
      </w:r>
    </w:p>
    <w:p>
      <w:pPr>
        <w:spacing w:after="120" w:line="276"/>
      </w:pPr>
      <w:r>
        <w:rPr>
          <w:color w:val="263238"/>
          <w:sz w:val="21"/>
          <w:szCs w:val="21"/>
        </w:rPr>
        <w:t xml:space="preserve">Document Hash (SHA-256): [DOCUMENT_HASH]</w:t>
      </w:r>
    </w:p>
    <w:p>
      <w:r>
        <w:br w:type="page"/>
      </w:r>
    </w:p>
    <w:p>
      <w:pPr>
        <w:pStyle w:val="Heading2"/>
        <w:spacing w:after="120" w:before="260"/>
      </w:pPr>
      <w:r>
        <w:rPr>
          <w:b/>
          <w:bCs/>
          <w:color w:val="1565C0"/>
          <w:sz w:val="22"/>
          <w:szCs w:val="22"/>
        </w:rPr>
        <w:t xml:space="preserve">Acceptance Certificate (auto-generated on acceptance)</w:t>
      </w:r>
    </w:p>
    <w:p>
      <w:pPr>
        <w:spacing w:after="120" w:line="276"/>
      </w:pPr>
      <w:r>
        <w:rPr>
          <w:color w:val="263238"/>
          <w:sz w:val="21"/>
          <w:szCs w:val="21"/>
        </w:rPr>
        <w:t xml:space="preserve">This page is appended automatically once the Vendor completes digital acceptance, and records the full evidence trail of that acceptance:</w:t>
      </w:r>
    </w:p>
    <w:p>
      <w:pPr>
        <w:pStyle w:val="ListParagraph"/>
        <w:numPr>
          <w:ilvl w:val="0"/>
          <w:numId w:val="1"/>
        </w:numPr>
        <w:spacing w:after="60"/>
      </w:pPr>
      <w:r>
        <w:rPr>
          <w:color w:val="263238"/>
          <w:sz w:val="21"/>
          <w:szCs w:val="21"/>
        </w:rPr>
        <w:t xml:space="preserve">Agreement ID / Number: [AGREEMENT_ID] / [AGREEMENT_NUMBER]</w:t>
      </w:r>
    </w:p>
    <w:p>
      <w:pPr>
        <w:pStyle w:val="ListParagraph"/>
        <w:numPr>
          <w:ilvl w:val="0"/>
          <w:numId w:val="1"/>
        </w:numPr>
        <w:spacing w:after="60"/>
      </w:pPr>
      <w:r>
        <w:rPr>
          <w:color w:val="263238"/>
          <w:sz w:val="21"/>
          <w:szCs w:val="21"/>
        </w:rPr>
        <w:t xml:space="preserve">Vendor: [VENDOR_NAME]</w:t>
      </w:r>
    </w:p>
    <w:p>
      <w:pPr>
        <w:pStyle w:val="ListParagraph"/>
        <w:numPr>
          <w:ilvl w:val="0"/>
          <w:numId w:val="1"/>
        </w:numPr>
        <w:spacing w:after="60"/>
      </w:pPr>
      <w:r>
        <w:rPr>
          <w:color w:val="263238"/>
          <w:sz w:val="21"/>
          <w:szCs w:val="21"/>
        </w:rPr>
        <w:t xml:space="preserve">Agreement Version: [AGREEMENT_VERSION]</w:t>
      </w:r>
    </w:p>
    <w:p>
      <w:pPr>
        <w:pStyle w:val="ListParagraph"/>
        <w:numPr>
          <w:ilvl w:val="0"/>
          <w:numId w:val="1"/>
        </w:numPr>
        <w:spacing w:after="60"/>
      </w:pPr>
      <w:r>
        <w:rPr>
          <w:color w:val="263238"/>
          <w:sz w:val="21"/>
          <w:szCs w:val="21"/>
        </w:rPr>
        <w:t xml:space="preserve">Accepted By: [VENDOR_ACCEPTED_BY_NAME] ([VENDOR_ACCEPTED_BY_EMAIL])</w:t>
      </w:r>
    </w:p>
    <w:p>
      <w:pPr>
        <w:pStyle w:val="ListParagraph"/>
        <w:numPr>
          <w:ilvl w:val="0"/>
          <w:numId w:val="1"/>
        </w:numPr>
        <w:spacing w:after="60"/>
      </w:pPr>
      <w:r>
        <w:rPr>
          <w:color w:val="263238"/>
          <w:sz w:val="21"/>
          <w:szCs w:val="21"/>
        </w:rPr>
        <w:t xml:space="preserve">Accepted Date/Time: [VENDOR_ACCEPTED_AT] (MYT)</w:t>
      </w:r>
    </w:p>
    <w:p>
      <w:pPr>
        <w:pStyle w:val="ListParagraph"/>
        <w:numPr>
          <w:ilvl w:val="0"/>
          <w:numId w:val="1"/>
        </w:numPr>
        <w:spacing w:after="60"/>
      </w:pPr>
      <w:r>
        <w:rPr>
          <w:color w:val="263238"/>
          <w:sz w:val="21"/>
          <w:szCs w:val="21"/>
        </w:rPr>
        <w:t xml:space="preserve">Acceptance Method: Email OTP</w:t>
      </w:r>
    </w:p>
    <w:p>
      <w:pPr>
        <w:pStyle w:val="ListParagraph"/>
        <w:numPr>
          <w:ilvl w:val="0"/>
          <w:numId w:val="1"/>
        </w:numPr>
        <w:spacing w:after="60"/>
      </w:pPr>
      <w:r>
        <w:rPr>
          <w:color w:val="263238"/>
          <w:sz w:val="21"/>
          <w:szCs w:val="21"/>
        </w:rPr>
        <w:t xml:space="preserve">OTP Verified At: [OTP_VERIFIED_AT]</w:t>
      </w:r>
    </w:p>
    <w:p>
      <w:pPr>
        <w:pStyle w:val="ListParagraph"/>
        <w:numPr>
          <w:ilvl w:val="0"/>
          <w:numId w:val="1"/>
        </w:numPr>
        <w:spacing w:after="60"/>
      </w:pPr>
      <w:r>
        <w:rPr>
          <w:color w:val="263238"/>
          <w:sz w:val="21"/>
          <w:szCs w:val="21"/>
        </w:rPr>
        <w:t xml:space="preserve">IP Address: [ACCEPTED_IP]</w:t>
      </w:r>
    </w:p>
    <w:p>
      <w:pPr>
        <w:pStyle w:val="ListParagraph"/>
        <w:numPr>
          <w:ilvl w:val="0"/>
          <w:numId w:val="1"/>
        </w:numPr>
        <w:spacing w:after="60"/>
      </w:pPr>
      <w:r>
        <w:rPr>
          <w:color w:val="263238"/>
          <w:sz w:val="21"/>
          <w:szCs w:val="21"/>
        </w:rPr>
        <w:t xml:space="preserve">Device: [ACCEPTED_DEVICE]</w:t>
      </w:r>
    </w:p>
    <w:p>
      <w:pPr>
        <w:pStyle w:val="ListParagraph"/>
        <w:numPr>
          <w:ilvl w:val="0"/>
          <w:numId w:val="1"/>
        </w:numPr>
        <w:spacing w:after="60"/>
      </w:pPr>
      <w:r>
        <w:rPr>
          <w:color w:val="263238"/>
          <w:sz w:val="21"/>
          <w:szCs w:val="21"/>
        </w:rPr>
        <w:t xml:space="preserve">Document Hash (SHA-256): [DOCUMENT_HASH]</w:t>
      </w:r>
    </w:p>
    <w:p>
      <w:pPr>
        <w:shd w:fill="FEF9C3" w:val="clear"/>
        <w:spacing w:before="320"/>
      </w:pPr>
      <w:r>
        <w:rPr>
          <w:i/>
          <w:iCs/>
          <w:color w:val="854d0e"/>
          <w:sz w:val="18"/>
          <w:szCs w:val="18"/>
        </w:rPr>
        <w:t xml:space="preserve">DRAFT FOR CHRIS'S REVIEW — This wording has not been reviewed by a licensed Malaysian legal counsel and should not be treated as final legal advice. Please confirm the commercial terms and have this reviewed by a qualified lawyer before it is sent to any vendor.</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75c0ebfc3014f0a07da36b1dde3d0687ca97995.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2026-08-13T05:43:08.762Z</dcterms:created>
  <dcterms:modified xsi:type="dcterms:W3CDTF">2026-08-13T05:43:08.773Z</dcterms:modified>
</cp:coreProperties>
</file>

<file path=docProps/custom.xml><?xml version="1.0" encoding="utf-8"?>
<Properties xmlns="http://schemas.openxmlformats.org/officeDocument/2006/custom-properties" xmlns:vt="http://schemas.openxmlformats.org/officeDocument/2006/docPropsVTypes"/>
</file>