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B57"/>
          <w:sz w:val="22"/>
          <w:szCs w:val="22"/>
        </w:rPr>
        <w:t xml:space="preserve">GENERALLINK</w:t>
      </w:r>
    </w:p>
    <w:p>
      <w:pPr>
        <w:spacing w:after="200"/>
        <w:jc w:val="center"/>
      </w:pPr>
      <w:r>
        <w:rPr>
          <w:b/>
          <w:bCs/>
          <w:color w:val="0F766E"/>
          <w:sz w:val="34"/>
          <w:szCs w:val="34"/>
        </w:rPr>
        <w:t xml:space="preserve">CBE Accounting System Integration — Evaluation &amp; Recommendation</w:t>
      </w:r>
    </w:p>
    <w:p>
      <w:pPr>
        <w:spacing w:after="400"/>
        <w:jc w:val="center"/>
      </w:pPr>
      <w:r>
        <w:rPr>
          <w:i/>
          <w:iCs/>
          <w:color w:val="6B7280"/>
          <w:sz w:val="19"/>
          <w:szCs w:val="19"/>
        </w:rPr>
        <w:t xml:space="preserve">Prepared for Chris Yap  |  28 August 2026  |  Task #138–#139</w:t>
      </w:r>
    </w:p>
    <w:p>
      <w:pPr>
        <w:pStyle w:val="Heading1"/>
        <w:spacing w:after="160" w:before="320"/>
      </w:pPr>
      <w:r>
        <w:rPr>
          <w:b/>
          <w:bCs/>
          <w:color w:val="1F3B57"/>
          <w:sz w:val="28"/>
          <w:szCs w:val="28"/>
        </w:rPr>
        <w:t xml:space="preserve">1. Executive Summary</w:t>
      </w:r>
    </w:p>
    <w:p>
      <w:pPr>
        <w:spacing w:after="160"/>
      </w:pPr>
      <w:r>
        <w:rPr>
          <w:sz w:val="21"/>
          <w:szCs w:val="21"/>
        </w:rPr>
        <w:t xml:space="preserve">GeneralLink's CBE module already has its own native double-entry accounting engine (general ledger, trial balance, balance sheet, profit &amp; loss, and a Suppliers/Purchase Bills AP workflow — all built and live). That changes the question this evaluation answers. It is no longer "which accounting system should GeneralLink connect to," but "do any of our members need to move data between GeneralLink and an external accounting system they already use, and if so, what's the cheapest, most reliable way to do that."</w:t>
      </w:r>
    </w:p>
    <w:p>
      <w:pPr>
        <w:spacing w:after="160"/>
      </w:pPr>
      <w:r>
        <w:rPr>
          <w:b w:val="false"/>
          <w:bCs w:val="false"/>
          <w:sz w:val="21"/>
          <w:szCs w:val="21"/>
        </w:rPr>
        <w:t xml:space="preserve">Short answer: build a one-way EXPORT feature (GeneralLink → each system's import format) before building any live two-way API sync. Three of the six candidate systems (AutoCount, SQL Account, Million) are desktop, on-premise software with no open API at all — a live sync isn't realistically buildable against them today. The two systems with genuinely good APIs (Xero, QuickBooks) are viable for a future live-sync build, but QuickBooks introduced metered API-read pricing in 2025 that turns a sync into a recurring cost, not a one-off engineering job.</w:t>
      </w:r>
    </w:p>
    <w:p>
      <w:pPr>
        <w:pStyle w:val="Heading1"/>
        <w:spacing w:after="160" w:before="320"/>
      </w:pPr>
      <w:r>
        <w:rPr>
          <w:b/>
          <w:bCs/>
          <w:color w:val="1F3B57"/>
          <w:sz w:val="28"/>
          <w:szCs w:val="28"/>
        </w:rPr>
        <w:t xml:space="preserve">2. Why This Matters Now</w:t>
      </w:r>
    </w:p>
    <w:p>
      <w:pPr>
        <w:spacing w:after="160"/>
      </w:pPr>
      <w:r>
        <w:rPr>
          <w:sz w:val="21"/>
          <w:szCs w:val="21"/>
        </w:rPr>
        <w:t xml:space="preserve">Most Malaysian NGOs, temples, and associations don't choose their own accounting software freely — their honorary treasurer or external auditor usually already has AutoCount, SQL Account, or Million installed, often because their accountant's firm standardised on one of these for statutory filing (LHDN e-Invoice, annual returns, audit). Forcing every CBE community onto GeneralLink's own accounting engine, with no bridge to what their auditor already uses, creates friction at exactly the point (year-end audit) where it matters most.</w:t>
      </w:r>
    </w:p>
    <w:p>
      <w:pPr>
        <w:spacing w:after="160"/>
      </w:pPr>
      <w:r>
        <w:rPr>
          <w:sz w:val="21"/>
          <w:szCs w:val="21"/>
        </w:rPr>
        <w:t xml:space="preserve">At the same time, GeneralLink's own accounting engine (Tasks #146–149) already gives every CBE community a free, built-in general ledger with no per-seat licence fee — a real advantage over all six systems below, every one of which charges per-organisation or per-user. The recommendation in Section 5 is designed to keep that advantage while still respecting that some treasurers will keep a second system for their auditor's sake.</w:t>
      </w:r>
    </w:p>
    <w:p>
      <w:pPr>
        <w:pStyle w:val="Heading1"/>
        <w:spacing w:after="160" w:before="320"/>
      </w:pPr>
      <w:r>
        <w:rPr>
          <w:b/>
          <w:bCs/>
          <w:color w:val="1F3B57"/>
          <w:sz w:val="28"/>
          <w:szCs w:val="28"/>
        </w:rPr>
        <w:t xml:space="preserve">3. The Six Options — Side by Side</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1700"/>
        <w:gridCol w:w="1750"/>
        <w:gridCol w:w="2400"/>
        <w:gridCol w:w="2100"/>
        <w:gridCol w:w="1600"/>
      </w:tblGrid>
      <w:tr>
        <w:tc>
          <w:tcPr>
            <w:tcW w:type="dxa" w:w="1700"/>
            <w:shd w:fill="1F3B57" w:val="clear"/>
            <w:tcMar>
              <w:top w:type="dxa" w:w="80"/>
              <w:left w:type="dxa" w:w="100"/>
              <w:bottom w:type="dxa" w:w="80"/>
              <w:right w:type="dxa" w:w="100"/>
            </w:tcMar>
          </w:tcPr>
          <w:p>
            <w:r>
              <w:rPr>
                <w:b/>
                <w:bCs/>
                <w:color w:val="FFFFFF"/>
                <w:sz w:val="18"/>
                <w:szCs w:val="18"/>
              </w:rPr>
              <w:t xml:space="preserve">System</w:t>
            </w:r>
          </w:p>
        </w:tc>
        <w:tc>
          <w:tcPr>
            <w:tcW w:type="dxa" w:w="1750"/>
            <w:shd w:fill="1F3B57" w:val="clear"/>
            <w:tcMar>
              <w:top w:type="dxa" w:w="80"/>
              <w:left w:type="dxa" w:w="100"/>
              <w:bottom w:type="dxa" w:w="80"/>
              <w:right w:type="dxa" w:w="100"/>
            </w:tcMar>
          </w:tcPr>
          <w:p>
            <w:r>
              <w:rPr>
                <w:b/>
                <w:bCs/>
                <w:color w:val="FFFFFF"/>
                <w:sz w:val="18"/>
                <w:szCs w:val="18"/>
              </w:rPr>
              <w:t xml:space="preserve">Pricing Model (MY, 2026)</w:t>
            </w:r>
          </w:p>
        </w:tc>
        <w:tc>
          <w:tcPr>
            <w:tcW w:type="dxa" w:w="2400"/>
            <w:shd w:fill="1F3B57" w:val="clear"/>
            <w:tcMar>
              <w:top w:type="dxa" w:w="80"/>
              <w:left w:type="dxa" w:w="100"/>
              <w:bottom w:type="dxa" w:w="80"/>
              <w:right w:type="dxa" w:w="100"/>
            </w:tcMar>
          </w:tcPr>
          <w:p>
            <w:r>
              <w:rPr>
                <w:b/>
                <w:bCs/>
                <w:color w:val="FFFFFF"/>
                <w:sz w:val="18"/>
                <w:szCs w:val="18"/>
              </w:rPr>
              <w:t xml:space="preserve">Integration Path Today</w:t>
            </w:r>
          </w:p>
        </w:tc>
        <w:tc>
          <w:tcPr>
            <w:tcW w:type="dxa" w:w="2100"/>
            <w:shd w:fill="1F3B57" w:val="clear"/>
            <w:tcMar>
              <w:top w:type="dxa" w:w="80"/>
              <w:left w:type="dxa" w:w="100"/>
              <w:bottom w:type="dxa" w:w="80"/>
              <w:right w:type="dxa" w:w="100"/>
            </w:tcMar>
          </w:tcPr>
          <w:p>
            <w:r>
              <w:rPr>
                <w:b/>
                <w:bCs/>
                <w:color w:val="FFFFFF"/>
                <w:sz w:val="18"/>
                <w:szCs w:val="18"/>
              </w:rPr>
              <w:t xml:space="preserve">Best Fit</w:t>
            </w:r>
          </w:p>
        </w:tc>
        <w:tc>
          <w:tcPr>
            <w:tcW w:type="dxa" w:w="1600"/>
            <w:shd w:fill="1F3B57" w:val="clear"/>
            <w:tcMar>
              <w:top w:type="dxa" w:w="80"/>
              <w:left w:type="dxa" w:w="100"/>
              <w:bottom w:type="dxa" w:w="80"/>
              <w:right w:type="dxa" w:w="100"/>
            </w:tcMar>
          </w:tcPr>
          <w:p>
            <w:r>
              <w:rPr>
                <w:b/>
                <w:bCs/>
                <w:color w:val="FFFFFF"/>
                <w:sz w:val="18"/>
                <w:szCs w:val="18"/>
              </w:rPr>
              <w:t xml:space="preserve">Verdict</w:t>
            </w:r>
          </w:p>
        </w:tc>
      </w:tr>
      <w:tr>
        <w:tc>
          <w:tcPr>
            <w:tcW w:type="dxa" w:w="1700"/>
            <w:tcMar>
              <w:top w:type="dxa" w:w="80"/>
              <w:left w:type="dxa" w:w="100"/>
              <w:bottom w:type="dxa" w:w="80"/>
              <w:right w:type="dxa" w:w="100"/>
            </w:tcMar>
          </w:tcPr>
          <w:p>
            <w:r>
              <w:rPr>
                <w:b w:val="false"/>
                <w:bCs w:val="false"/>
                <w:color w:val="111827"/>
                <w:sz w:val="18"/>
                <w:szCs w:val="18"/>
              </w:rPr>
              <w:t xml:space="preserve">QuickBooks Online</w:t>
            </w:r>
          </w:p>
        </w:tc>
        <w:tc>
          <w:tcPr>
            <w:tcW w:type="dxa" w:w="1750"/>
            <w:tcMar>
              <w:top w:type="dxa" w:w="80"/>
              <w:left w:type="dxa" w:w="100"/>
              <w:bottom w:type="dxa" w:w="80"/>
              <w:right w:type="dxa" w:w="100"/>
            </w:tcMar>
          </w:tcPr>
          <w:p>
            <w:r>
              <w:rPr>
                <w:b w:val="false"/>
                <w:bCs w:val="false"/>
                <w:color w:val="111827"/>
                <w:sz w:val="18"/>
                <w:szCs w:val="18"/>
              </w:rPr>
              <w:t xml:space="preserve">Subscription (USD-based tiers); API reads now metered under Intuit's 2025 App Partner Program ($0–$4,500/mo by volume)</w:t>
            </w:r>
          </w:p>
        </w:tc>
        <w:tc>
          <w:tcPr>
            <w:tcW w:type="dxa" w:w="2400"/>
            <w:tcMar>
              <w:top w:type="dxa" w:w="80"/>
              <w:left w:type="dxa" w:w="100"/>
              <w:bottom w:type="dxa" w:w="80"/>
              <w:right w:type="dxa" w:w="100"/>
            </w:tcMar>
          </w:tcPr>
          <w:p>
            <w:r>
              <w:rPr>
                <w:b w:val="false"/>
                <w:bCs w:val="false"/>
                <w:color w:val="111827"/>
                <w:sz w:val="18"/>
                <w:szCs w:val="18"/>
              </w:rPr>
              <w:t xml:space="preserve">Modern REST + OAuth2 API — technically the easiest to build against</w:t>
            </w:r>
          </w:p>
        </w:tc>
        <w:tc>
          <w:tcPr>
            <w:tcW w:type="dxa" w:w="2100"/>
            <w:tcMar>
              <w:top w:type="dxa" w:w="80"/>
              <w:left w:type="dxa" w:w="100"/>
              <w:bottom w:type="dxa" w:w="80"/>
              <w:right w:type="dxa" w:w="100"/>
            </w:tcMar>
          </w:tcPr>
          <w:p>
            <w:r>
              <w:rPr>
                <w:b w:val="false"/>
                <w:bCs w:val="false"/>
                <w:color w:val="111827"/>
                <w:sz w:val="18"/>
                <w:szCs w:val="18"/>
              </w:rPr>
              <w:t xml:space="preserve">Orgs already on QBO for statutory filing</w:t>
            </w:r>
          </w:p>
        </w:tc>
        <w:tc>
          <w:tcPr>
            <w:tcW w:type="dxa" w:w="1600"/>
            <w:tcMar>
              <w:top w:type="dxa" w:w="80"/>
              <w:left w:type="dxa" w:w="100"/>
              <w:bottom w:type="dxa" w:w="80"/>
              <w:right w:type="dxa" w:w="100"/>
            </w:tcMar>
          </w:tcPr>
          <w:p>
            <w:r>
              <w:rPr>
                <w:b w:val="false"/>
                <w:bCs w:val="false"/>
                <w:color w:val="111827"/>
                <w:sz w:val="18"/>
                <w:szCs w:val="18"/>
              </w:rPr>
              <w:t xml:space="preserve">Technically feasible, but ongoing API-read cost makes a live sync a recurring bill, not a one-off build</w:t>
            </w:r>
          </w:p>
        </w:tc>
      </w:tr>
      <w:tr>
        <w:tc>
          <w:tcPr>
            <w:tcW w:type="dxa" w:w="1700"/>
            <w:shd w:fill="F0F9F8" w:val="clear"/>
            <w:tcMar>
              <w:top w:type="dxa" w:w="80"/>
              <w:left w:type="dxa" w:w="100"/>
              <w:bottom w:type="dxa" w:w="80"/>
              <w:right w:type="dxa" w:w="100"/>
            </w:tcMar>
          </w:tcPr>
          <w:p>
            <w:r>
              <w:rPr>
                <w:b w:val="false"/>
                <w:bCs w:val="false"/>
                <w:color w:val="111827"/>
                <w:sz w:val="18"/>
                <w:szCs w:val="18"/>
              </w:rPr>
              <w:t xml:space="preserve">Xero</w:t>
            </w:r>
          </w:p>
        </w:tc>
        <w:tc>
          <w:tcPr>
            <w:tcW w:type="dxa" w:w="1750"/>
            <w:shd w:fill="F0F9F8" w:val="clear"/>
            <w:tcMar>
              <w:top w:type="dxa" w:w="80"/>
              <w:left w:type="dxa" w:w="100"/>
              <w:bottom w:type="dxa" w:w="80"/>
              <w:right w:type="dxa" w:w="100"/>
            </w:tcMar>
          </w:tcPr>
          <w:p>
            <w:r>
              <w:rPr>
                <w:b w:val="false"/>
                <w:bCs w:val="false"/>
                <w:color w:val="111827"/>
                <w:sz w:val="18"/>
                <w:szCs w:val="18"/>
              </w:rPr>
              <w:t xml:space="preserve">Subscription, ~$15–$78/mo per org (unlimited users), Malaysia promo pricing available</w:t>
            </w:r>
          </w:p>
        </w:tc>
        <w:tc>
          <w:tcPr>
            <w:tcW w:type="dxa" w:w="2400"/>
            <w:shd w:fill="F0F9F8" w:val="clear"/>
            <w:tcMar>
              <w:top w:type="dxa" w:w="80"/>
              <w:left w:type="dxa" w:w="100"/>
              <w:bottom w:type="dxa" w:w="80"/>
              <w:right w:type="dxa" w:w="100"/>
            </w:tcMar>
          </w:tcPr>
          <w:p>
            <w:r>
              <w:rPr>
                <w:b w:val="false"/>
                <w:bCs w:val="false"/>
                <w:color w:val="111827"/>
                <w:sz w:val="18"/>
                <w:szCs w:val="18"/>
              </w:rPr>
              <w:t xml:space="preserve">Modern REST + OAuth2 API, no extra metering found</w:t>
            </w:r>
          </w:p>
        </w:tc>
        <w:tc>
          <w:tcPr>
            <w:tcW w:type="dxa" w:w="2100"/>
            <w:shd w:fill="F0F9F8" w:val="clear"/>
            <w:tcMar>
              <w:top w:type="dxa" w:w="80"/>
              <w:left w:type="dxa" w:w="100"/>
              <w:bottom w:type="dxa" w:w="80"/>
              <w:right w:type="dxa" w:w="100"/>
            </w:tcMar>
          </w:tcPr>
          <w:p>
            <w:r>
              <w:rPr>
                <w:b w:val="false"/>
                <w:bCs w:val="false"/>
                <w:color w:val="111827"/>
                <w:sz w:val="18"/>
                <w:szCs w:val="18"/>
              </w:rPr>
              <w:t xml:space="preserve">Smaller NGOs wanting a simple cloud ledger alongside GeneralLink</w:t>
            </w:r>
          </w:p>
        </w:tc>
        <w:tc>
          <w:tcPr>
            <w:tcW w:type="dxa" w:w="1600"/>
            <w:shd w:fill="F0F9F8" w:val="clear"/>
            <w:tcMar>
              <w:top w:type="dxa" w:w="80"/>
              <w:left w:type="dxa" w:w="100"/>
              <w:bottom w:type="dxa" w:w="80"/>
              <w:right w:type="dxa" w:w="100"/>
            </w:tcMar>
          </w:tcPr>
          <w:p>
            <w:r>
              <w:rPr>
                <w:b w:val="false"/>
                <w:bCs w:val="false"/>
                <w:color w:val="111827"/>
                <w:sz w:val="18"/>
                <w:szCs w:val="18"/>
              </w:rPr>
              <w:t xml:space="preserve">Best-built API of the six — if we ever build ONE live sync, this is the one</w:t>
            </w:r>
          </w:p>
        </w:tc>
      </w:tr>
      <w:tr>
        <w:tc>
          <w:tcPr>
            <w:tcW w:type="dxa" w:w="1700"/>
            <w:tcMar>
              <w:top w:type="dxa" w:w="80"/>
              <w:left w:type="dxa" w:w="100"/>
              <w:bottom w:type="dxa" w:w="80"/>
              <w:right w:type="dxa" w:w="100"/>
            </w:tcMar>
          </w:tcPr>
          <w:p>
            <w:r>
              <w:rPr>
                <w:b w:val="false"/>
                <w:bCs w:val="false"/>
                <w:color w:val="111827"/>
                <w:sz w:val="18"/>
                <w:szCs w:val="18"/>
              </w:rPr>
              <w:t xml:space="preserve">Sage</w:t>
            </w:r>
          </w:p>
        </w:tc>
        <w:tc>
          <w:tcPr>
            <w:tcW w:type="dxa" w:w="1750"/>
            <w:tcMar>
              <w:top w:type="dxa" w:w="80"/>
              <w:left w:type="dxa" w:w="100"/>
              <w:bottom w:type="dxa" w:w="80"/>
              <w:right w:type="dxa" w:w="100"/>
            </w:tcMar>
          </w:tcPr>
          <w:p>
            <w:r>
              <w:rPr>
                <w:b w:val="false"/>
                <w:bCs w:val="false"/>
                <w:color w:val="111827"/>
                <w:sz w:val="18"/>
                <w:szCs w:val="18"/>
              </w:rPr>
              <w:t xml:space="preserve">Enterprise-oriented, quote-based licensing</w:t>
            </w:r>
          </w:p>
        </w:tc>
        <w:tc>
          <w:tcPr>
            <w:tcW w:type="dxa" w:w="2400"/>
            <w:tcMar>
              <w:top w:type="dxa" w:w="80"/>
              <w:left w:type="dxa" w:w="100"/>
              <w:bottom w:type="dxa" w:w="80"/>
              <w:right w:type="dxa" w:w="100"/>
            </w:tcMar>
          </w:tcPr>
          <w:p>
            <w:r>
              <w:rPr>
                <w:b w:val="false"/>
                <w:bCs w:val="false"/>
                <w:color w:val="111827"/>
                <w:sz w:val="18"/>
                <w:szCs w:val="18"/>
              </w:rPr>
              <w:t xml:space="preserve">OAuth2 + Client Credentials API exists but aimed at larger accounting practices</w:t>
            </w:r>
          </w:p>
        </w:tc>
        <w:tc>
          <w:tcPr>
            <w:tcW w:type="dxa" w:w="2100"/>
            <w:tcMar>
              <w:top w:type="dxa" w:w="80"/>
              <w:left w:type="dxa" w:w="100"/>
              <w:bottom w:type="dxa" w:w="80"/>
              <w:right w:type="dxa" w:w="100"/>
            </w:tcMar>
          </w:tcPr>
          <w:p>
            <w:r>
              <w:rPr>
                <w:b w:val="false"/>
                <w:bCs w:val="false"/>
                <w:color w:val="111827"/>
                <w:sz w:val="18"/>
                <w:szCs w:val="18"/>
              </w:rPr>
              <w:t xml:space="preserve">Larger federations / multi-branch CBE groups with existing Sage estate</w:t>
            </w:r>
          </w:p>
        </w:tc>
        <w:tc>
          <w:tcPr>
            <w:tcW w:type="dxa" w:w="1600"/>
            <w:tcMar>
              <w:top w:type="dxa" w:w="80"/>
              <w:left w:type="dxa" w:w="100"/>
              <w:bottom w:type="dxa" w:w="80"/>
              <w:right w:type="dxa" w:w="100"/>
            </w:tcMar>
          </w:tcPr>
          <w:p>
            <w:r>
              <w:rPr>
                <w:b w:val="false"/>
                <w:bCs w:val="false"/>
                <w:color w:val="111827"/>
                <w:sz w:val="18"/>
                <w:szCs w:val="18"/>
              </w:rPr>
              <w:t xml:space="preserve">Lowest priority — small user base among Malaysian NGOs/temples</w:t>
            </w:r>
          </w:p>
        </w:tc>
      </w:tr>
      <w:tr>
        <w:tc>
          <w:tcPr>
            <w:tcW w:type="dxa" w:w="1700"/>
            <w:shd w:fill="F0F9F8" w:val="clear"/>
            <w:tcMar>
              <w:top w:type="dxa" w:w="80"/>
              <w:left w:type="dxa" w:w="100"/>
              <w:bottom w:type="dxa" w:w="80"/>
              <w:right w:type="dxa" w:w="100"/>
            </w:tcMar>
          </w:tcPr>
          <w:p>
            <w:r>
              <w:rPr>
                <w:b w:val="false"/>
                <w:bCs w:val="false"/>
                <w:color w:val="111827"/>
                <w:sz w:val="18"/>
                <w:szCs w:val="18"/>
              </w:rPr>
              <w:t xml:space="preserve">AutoCount</w:t>
            </w:r>
          </w:p>
        </w:tc>
        <w:tc>
          <w:tcPr>
            <w:tcW w:type="dxa" w:w="1750"/>
            <w:shd w:fill="F0F9F8" w:val="clear"/>
            <w:tcMar>
              <w:top w:type="dxa" w:w="80"/>
              <w:left w:type="dxa" w:w="100"/>
              <w:bottom w:type="dxa" w:w="80"/>
              <w:right w:type="dxa" w:w="100"/>
            </w:tcMar>
          </w:tcPr>
          <w:p>
            <w:r>
              <w:rPr>
                <w:b w:val="false"/>
                <w:bCs w:val="false"/>
                <w:color w:val="111827"/>
                <w:sz w:val="18"/>
                <w:szCs w:val="18"/>
              </w:rPr>
              <w:t xml:space="preserve">One-time licence (~RM800/user list, promos to RM300–400/user) + annual support fee</w:t>
            </w:r>
          </w:p>
        </w:tc>
        <w:tc>
          <w:tcPr>
            <w:tcW w:type="dxa" w:w="2400"/>
            <w:shd w:fill="F0F9F8" w:val="clear"/>
            <w:tcMar>
              <w:top w:type="dxa" w:w="80"/>
              <w:left w:type="dxa" w:w="100"/>
              <w:bottom w:type="dxa" w:w="80"/>
              <w:right w:type="dxa" w:w="100"/>
            </w:tcMar>
          </w:tcPr>
          <w:p>
            <w:r>
              <w:rPr>
                <w:b w:val="false"/>
                <w:bCs w:val="false"/>
                <w:color w:val="111827"/>
                <w:sz w:val="18"/>
                <w:szCs w:val="18"/>
              </w:rPr>
              <w:t xml:space="preserve">Desktop/on-prem software; API access is a paid add-on module, not open by default</w:t>
            </w:r>
          </w:p>
        </w:tc>
        <w:tc>
          <w:tcPr>
            <w:tcW w:type="dxa" w:w="2100"/>
            <w:shd w:fill="F0F9F8" w:val="clear"/>
            <w:tcMar>
              <w:top w:type="dxa" w:w="80"/>
              <w:left w:type="dxa" w:w="100"/>
              <w:bottom w:type="dxa" w:w="80"/>
              <w:right w:type="dxa" w:w="100"/>
            </w:tcMar>
          </w:tcPr>
          <w:p>
            <w:r>
              <w:rPr>
                <w:b w:val="false"/>
                <w:bCs w:val="false"/>
                <w:color w:val="111827"/>
                <w:sz w:val="18"/>
                <w:szCs w:val="18"/>
              </w:rPr>
              <w:t xml:space="preserve">Very common with Malaysian SME/NGO treasurers already</w:t>
            </w:r>
          </w:p>
        </w:tc>
        <w:tc>
          <w:tcPr>
            <w:tcW w:type="dxa" w:w="1600"/>
            <w:shd w:fill="F0F9F8" w:val="clear"/>
            <w:tcMar>
              <w:top w:type="dxa" w:w="80"/>
              <w:left w:type="dxa" w:w="100"/>
              <w:bottom w:type="dxa" w:w="80"/>
              <w:right w:type="dxa" w:w="100"/>
            </w:tcMar>
          </w:tcPr>
          <w:p>
            <w:r>
              <w:rPr>
                <w:b w:val="false"/>
                <w:bCs w:val="false"/>
                <w:color w:val="111827"/>
                <w:sz w:val="18"/>
                <w:szCs w:val="18"/>
              </w:rPr>
              <w:t xml:space="preserve">High local familiarity, but no free API — a live sync would need a paid AutoCount API licence on their side too</w:t>
            </w:r>
          </w:p>
        </w:tc>
      </w:tr>
      <w:tr>
        <w:tc>
          <w:tcPr>
            <w:tcW w:type="dxa" w:w="1700"/>
            <w:tcMar>
              <w:top w:type="dxa" w:w="80"/>
              <w:left w:type="dxa" w:w="100"/>
              <w:bottom w:type="dxa" w:w="80"/>
              <w:right w:type="dxa" w:w="100"/>
            </w:tcMar>
          </w:tcPr>
          <w:p>
            <w:r>
              <w:rPr>
                <w:b w:val="false"/>
                <w:bCs w:val="false"/>
                <w:color w:val="111827"/>
                <w:sz w:val="18"/>
                <w:szCs w:val="18"/>
              </w:rPr>
              <w:t xml:space="preserve">SQL Account</w:t>
            </w:r>
          </w:p>
        </w:tc>
        <w:tc>
          <w:tcPr>
            <w:tcW w:type="dxa" w:w="1750"/>
            <w:tcMar>
              <w:top w:type="dxa" w:w="80"/>
              <w:left w:type="dxa" w:w="100"/>
              <w:bottom w:type="dxa" w:w="80"/>
              <w:right w:type="dxa" w:w="100"/>
            </w:tcMar>
          </w:tcPr>
          <w:p>
            <w:r>
              <w:rPr>
                <w:b w:val="false"/>
                <w:bCs w:val="false"/>
                <w:color w:val="111827"/>
                <w:sz w:val="18"/>
                <w:szCs w:val="18"/>
              </w:rPr>
              <w:t xml:space="preserve">One-time licence RM1,499–RM2,899 + annual support; 50% government matching grant available</w:t>
            </w:r>
          </w:p>
        </w:tc>
        <w:tc>
          <w:tcPr>
            <w:tcW w:type="dxa" w:w="2400"/>
            <w:tcMar>
              <w:top w:type="dxa" w:w="80"/>
              <w:left w:type="dxa" w:w="100"/>
              <w:bottom w:type="dxa" w:w="80"/>
              <w:right w:type="dxa" w:w="100"/>
            </w:tcMar>
          </w:tcPr>
          <w:p>
            <w:r>
              <w:rPr>
                <w:b w:val="false"/>
                <w:bCs w:val="false"/>
                <w:color w:val="111827"/>
                <w:sz w:val="18"/>
                <w:szCs w:val="18"/>
              </w:rPr>
              <w:t xml:space="preserve">Desktop/on-prem (Firebird DB); no public REST API — third-party bridges use local DB/file access</w:t>
            </w:r>
          </w:p>
        </w:tc>
        <w:tc>
          <w:tcPr>
            <w:tcW w:type="dxa" w:w="2100"/>
            <w:tcMar>
              <w:top w:type="dxa" w:w="80"/>
              <w:left w:type="dxa" w:w="100"/>
              <w:bottom w:type="dxa" w:w="80"/>
              <w:right w:type="dxa" w:w="100"/>
            </w:tcMar>
          </w:tcPr>
          <w:p>
            <w:r>
              <w:rPr>
                <w:b w:val="false"/>
                <w:bCs w:val="false"/>
                <w:color w:val="111827"/>
                <w:sz w:val="18"/>
                <w:szCs w:val="18"/>
              </w:rPr>
              <w:t xml:space="preserve">Very common with Malaysian SME/NGO treasurers already</w:t>
            </w:r>
          </w:p>
        </w:tc>
        <w:tc>
          <w:tcPr>
            <w:tcW w:type="dxa" w:w="1600"/>
            <w:tcMar>
              <w:top w:type="dxa" w:w="80"/>
              <w:left w:type="dxa" w:w="100"/>
              <w:bottom w:type="dxa" w:w="80"/>
              <w:right w:type="dxa" w:w="100"/>
            </w:tcMar>
          </w:tcPr>
          <w:p>
            <w:r>
              <w:rPr>
                <w:b w:val="false"/>
                <w:bCs w:val="false"/>
                <w:color w:val="111827"/>
                <w:sz w:val="18"/>
                <w:szCs w:val="18"/>
              </w:rPr>
              <w:t xml:space="preserve">Same story as AutoCount — high familiarity, near-zero realistic API path</w:t>
            </w:r>
          </w:p>
        </w:tc>
      </w:tr>
      <w:tr>
        <w:tc>
          <w:tcPr>
            <w:tcW w:type="dxa" w:w="1700"/>
            <w:shd w:fill="F0F9F8" w:val="clear"/>
            <w:tcMar>
              <w:top w:type="dxa" w:w="80"/>
              <w:left w:type="dxa" w:w="100"/>
              <w:bottom w:type="dxa" w:w="80"/>
              <w:right w:type="dxa" w:w="100"/>
            </w:tcMar>
          </w:tcPr>
          <w:p>
            <w:r>
              <w:rPr>
                <w:b w:val="false"/>
                <w:bCs w:val="false"/>
                <w:color w:val="111827"/>
                <w:sz w:val="18"/>
                <w:szCs w:val="18"/>
              </w:rPr>
              <w:t xml:space="preserve">Million Accounting</w:t>
            </w:r>
          </w:p>
        </w:tc>
        <w:tc>
          <w:tcPr>
            <w:tcW w:type="dxa" w:w="1750"/>
            <w:shd w:fill="F0F9F8" w:val="clear"/>
            <w:tcMar>
              <w:top w:type="dxa" w:w="80"/>
              <w:left w:type="dxa" w:w="100"/>
              <w:bottom w:type="dxa" w:w="80"/>
              <w:right w:type="dxa" w:w="100"/>
            </w:tcMar>
          </w:tcPr>
          <w:p>
            <w:r>
              <w:rPr>
                <w:b w:val="false"/>
                <w:bCs w:val="false"/>
                <w:color w:val="111827"/>
                <w:sz w:val="18"/>
                <w:szCs w:val="18"/>
              </w:rPr>
              <w:t xml:space="preserve">One-time licence from RM899, no recurring fee</w:t>
            </w:r>
          </w:p>
        </w:tc>
        <w:tc>
          <w:tcPr>
            <w:tcW w:type="dxa" w:w="2400"/>
            <w:shd w:fill="F0F9F8" w:val="clear"/>
            <w:tcMar>
              <w:top w:type="dxa" w:w="80"/>
              <w:left w:type="dxa" w:w="100"/>
              <w:bottom w:type="dxa" w:w="80"/>
              <w:right w:type="dxa" w:w="100"/>
            </w:tcMar>
          </w:tcPr>
          <w:p>
            <w:r>
              <w:rPr>
                <w:b w:val="false"/>
                <w:bCs w:val="false"/>
                <w:color w:val="111827"/>
                <w:sz w:val="18"/>
                <w:szCs w:val="18"/>
              </w:rPr>
              <w:t xml:space="preserve">Desktop/on-prem; no public API found</w:t>
            </w:r>
          </w:p>
        </w:tc>
        <w:tc>
          <w:tcPr>
            <w:tcW w:type="dxa" w:w="2100"/>
            <w:shd w:fill="F0F9F8" w:val="clear"/>
            <w:tcMar>
              <w:top w:type="dxa" w:w="80"/>
              <w:left w:type="dxa" w:w="100"/>
              <w:bottom w:type="dxa" w:w="80"/>
              <w:right w:type="dxa" w:w="100"/>
            </w:tcMar>
          </w:tcPr>
          <w:p>
            <w:r>
              <w:rPr>
                <w:b w:val="false"/>
                <w:bCs w:val="false"/>
                <w:color w:val="111827"/>
                <w:sz w:val="18"/>
                <w:szCs w:val="18"/>
              </w:rPr>
              <w:t xml:space="preserve">Budget-conscious smaller temples/associations</w:t>
            </w:r>
          </w:p>
        </w:tc>
        <w:tc>
          <w:tcPr>
            <w:tcW w:type="dxa" w:w="1600"/>
            <w:shd w:fill="F0F9F8" w:val="clear"/>
            <w:tcMar>
              <w:top w:type="dxa" w:w="80"/>
              <w:left w:type="dxa" w:w="100"/>
              <w:bottom w:type="dxa" w:w="80"/>
              <w:right w:type="dxa" w:w="100"/>
            </w:tcMar>
          </w:tcPr>
          <w:p>
            <w:r>
              <w:rPr>
                <w:b w:val="false"/>
                <w:bCs w:val="false"/>
                <w:color w:val="111827"/>
                <w:sz w:val="18"/>
                <w:szCs w:val="18"/>
              </w:rPr>
              <w:t xml:space="preserve">No realistic integration path today — export/import only</w:t>
            </w:r>
          </w:p>
        </w:tc>
      </w:tr>
    </w:tbl>
    <w:p>
      <w:pPr>
        <w:spacing w:before="200"/>
      </w:pPr>
      <w:r>
        <w:rPr>
          <w:i/>
          <w:iCs/>
          <w:color w:val="6B7280"/>
          <w:sz w:val="17"/>
          <w:szCs w:val="17"/>
        </w:rPr>
        <w:t xml:space="preserve">Note: pricing pulled from vendor sites and Malaysian reseller pages, August 2026 — see Sources at the end of this report. Vendors do not always publish list pricing; treat these as directional, not quotable.</w:t>
      </w:r>
    </w:p>
    <w:p>
      <w:pPr>
        <w:pStyle w:val="Heading1"/>
        <w:spacing w:after="160" w:before="320"/>
      </w:pPr>
      <w:r>
        <w:rPr>
          <w:b/>
          <w:bCs/>
          <w:color w:val="1F3B57"/>
          <w:sz w:val="28"/>
          <w:szCs w:val="28"/>
        </w:rPr>
        <w:t xml:space="preserve">4. Technical Reality Check</w:t>
      </w:r>
    </w:p>
    <w:p>
      <w:pPr>
        <w:pStyle w:val="Heading2"/>
        <w:spacing w:after="120" w:before="240"/>
      </w:pPr>
      <w:r>
        <w:rPr>
          <w:b/>
          <w:bCs/>
          <w:color w:val="0F766E"/>
          <w:sz w:val="24"/>
          <w:szCs w:val="24"/>
        </w:rPr>
        <w:t xml:space="preserve">4.1 The three desktop products (AutoCount, SQL Account, Million)</w:t>
      </w:r>
    </w:p>
    <w:p>
      <w:pPr>
        <w:spacing w:after="160"/>
      </w:pPr>
      <w:r>
        <w:rPr>
          <w:sz w:val="21"/>
          <w:szCs w:val="21"/>
        </w:rPr>
        <w:t xml:space="preserve">All three are installed Windows applications backed by a local database (SQL Account uses Firebird; the others use similar embedded/local engines). None expose a public, documented REST API by default. Third-party "integrations" that exist for these products almost always work by reading their local database file directly or by re-keying data through a bridge tool running on the same machine as the software — not a cloud-to-cloud API call GeneralLink could make from its own server. Building a live sync would mean either (a) paying for a proprietary API add-on module some of these vendors sell separately, with no guarantee of quality documentation, or (b) asking every treasurer to install and run a local bridge agent — a heavy support burden for a volunteer-run NGO.</w:t>
      </w:r>
    </w:p>
    <w:p>
      <w:pPr>
        <w:pStyle w:val="Heading2"/>
        <w:spacing w:after="120" w:before="240"/>
      </w:pPr>
      <w:r>
        <w:rPr>
          <w:b/>
          <w:bCs/>
          <w:color w:val="0F766E"/>
          <w:sz w:val="24"/>
          <w:szCs w:val="24"/>
        </w:rPr>
        <w:t xml:space="preserve">4.2 The two cloud products (Xero, QuickBooks Online)</w:t>
      </w:r>
    </w:p>
    <w:p>
      <w:pPr>
        <w:spacing w:after="160"/>
      </w:pPr>
      <w:r>
        <w:rPr>
          <w:sz w:val="21"/>
          <w:szCs w:val="21"/>
        </w:rPr>
        <w:t xml:space="preserve">Both have modern, well-documented OAuth2 REST APIs — this is genuinely buildable. Xero has no extra metering on top of the subscription. QuickBooks changed this in 2025: Intuit's App Partner Program now meters API read calls, scaling from free up to roughly $4,500/month at high volume. For an NGO-focused platform like GeneralLink, this converts "build once" into an ongoing per-integration cost that would need to be passed on to whichever community wants the sync, or absorbed centrally.</w:t>
      </w:r>
    </w:p>
    <w:p>
      <w:pPr>
        <w:pStyle w:val="Heading1"/>
        <w:spacing w:after="160" w:before="320"/>
      </w:pPr>
      <w:r>
        <w:rPr>
          <w:b/>
          <w:bCs/>
          <w:color w:val="1F3B57"/>
          <w:sz w:val="28"/>
          <w:szCs w:val="28"/>
        </w:rPr>
        <w:t xml:space="preserve">5. Recommendation</w:t>
      </w:r>
    </w:p>
    <w:p>
      <w:pPr>
        <w:pStyle w:val="ListParagraph"/>
        <w:numPr>
          <w:ilvl w:val="0"/>
          <w:numId w:val="1"/>
        </w:numPr>
        <w:spacing w:after="90"/>
      </w:pPr>
      <w:r>
        <w:rPr>
          <w:sz w:val="21"/>
          <w:szCs w:val="21"/>
        </w:rPr>
        <w:t xml:space="preserve">Do NOT build a live two-way API sync to any of the six systems in this first phase. The cost/benefit doesn't clear the bar yet — 3 of 6 have no real API, and the 2 good APIs bring either extra cost (QuickBooks) or a build effort better spent elsewhere given GeneralLink already has its own working ledger.</w:t>
      </w:r>
    </w:p>
    <w:p>
      <w:pPr>
        <w:pStyle w:val="ListParagraph"/>
        <w:numPr>
          <w:ilvl w:val="0"/>
          <w:numId w:val="1"/>
        </w:numPr>
        <w:spacing w:after="90"/>
      </w:pPr>
      <w:r>
        <w:rPr>
          <w:sz w:val="21"/>
          <w:szCs w:val="21"/>
        </w:rPr>
        <w:t xml:space="preserve">DO build a one-way "Export for Accountant" feature: from the existing GL/Trial Balance/P&amp;L/Balance Sheet reports (Task #149), add an export button that formats the data to match each system's known import template (CSV for AutoCount/SQL Account/Million, and Xero/QuickBooks each accept a standard CSV chart-of-accounts + journal import too). This is a small, well-scoped build — no OAuth, no ongoing API cost, no per-community subscription — and it directly solves the real problem (handing clean books to an external auditor who uses one of these tools).</w:t>
      </w:r>
    </w:p>
    <w:p>
      <w:pPr>
        <w:pStyle w:val="ListParagraph"/>
        <w:numPr>
          <w:ilvl w:val="0"/>
          <w:numId w:val="1"/>
        </w:numPr>
        <w:spacing w:after="90"/>
      </w:pPr>
      <w:r>
        <w:rPr>
          <w:sz w:val="21"/>
          <w:szCs w:val="21"/>
        </w:rPr>
        <w:t xml:space="preserve">Revisit Xero as a genuine live-sync candidate only if and when several CBE communities specifically ask for it — its API is the one on this list actually worth the engineering investment.</w:t>
      </w:r>
    </w:p>
    <w:p>
      <w:pPr>
        <w:pStyle w:val="ListParagraph"/>
        <w:numPr>
          <w:ilvl w:val="0"/>
          <w:numId w:val="1"/>
        </w:numPr>
        <w:spacing w:after="90"/>
      </w:pPr>
      <w:r>
        <w:rPr>
          <w:sz w:val="21"/>
          <w:szCs w:val="21"/>
        </w:rPr>
        <w:t xml:space="preserve">Leave QuickBooks, Sage, AutoCount, SQL Account, and Million as CSV-export-only targets for the foreseeable future; the Integration Hub UI (already built) can keep listing them as "Coming Soon" without over-promising a live connection.</w:t>
      </w:r>
    </w:p>
    <w:p>
      <w:pPr>
        <w:pStyle w:val="Heading1"/>
        <w:spacing w:after="160" w:before="320"/>
      </w:pPr>
      <w:r>
        <w:rPr>
          <w:b/>
          <w:bCs/>
          <w:color w:val="1F3B57"/>
          <w:sz w:val="28"/>
          <w:szCs w:val="28"/>
        </w:rPr>
        <w:t xml:space="preserve">6. Suggested Phased Roadmap</w:t>
      </w:r>
    </w:p>
    <w:p>
      <w:pPr>
        <w:pStyle w:val="ListParagraph"/>
        <w:numPr>
          <w:ilvl w:val="0"/>
          <w:numId w:val="1"/>
        </w:numPr>
        <w:spacing w:after="90"/>
      </w:pPr>
      <w:r>
        <w:rPr>
          <w:sz w:val="21"/>
          <w:szCs w:val="21"/>
        </w:rPr>
        <w:t xml:space="preserve">Phase A (small, high value): CSV/Excel export from existing GL &amp; report screens, using the SQL Account / AutoCount / Million standard import column layout. Reuses report data already computed by CbeAccountingService — no new schema needed.</w:t>
      </w:r>
    </w:p>
    <w:p>
      <w:pPr>
        <w:pStyle w:val="ListParagraph"/>
        <w:numPr>
          <w:ilvl w:val="0"/>
          <w:numId w:val="1"/>
        </w:numPr>
        <w:spacing w:after="90"/>
      </w:pPr>
      <w:r>
        <w:rPr>
          <w:sz w:val="21"/>
          <w:szCs w:val="21"/>
        </w:rPr>
        <w:t xml:space="preserve">Phase B (small): Xero-format and QuickBooks-format CSV export variants — same underlying data, different column mapping.</w:t>
      </w:r>
    </w:p>
    <w:p>
      <w:pPr>
        <w:pStyle w:val="ListParagraph"/>
        <w:numPr>
          <w:ilvl w:val="0"/>
          <w:numId w:val="1"/>
        </w:numPr>
        <w:spacing w:after="90"/>
      </w:pPr>
      <w:r>
        <w:rPr>
          <w:sz w:val="21"/>
          <w:szCs w:val="21"/>
        </w:rPr>
        <w:t xml:space="preserve">Phase C (larger, defer until requested): live Xero OAuth2 sync, only once real demand is confirmed from paying/active CBE communities.</w:t>
      </w:r>
    </w:p>
    <w:p>
      <w:pPr>
        <w:pStyle w:val="Heading1"/>
        <w:spacing w:after="160" w:before="320"/>
      </w:pPr>
      <w:r>
        <w:rPr>
          <w:b/>
          <w:bCs/>
          <w:color w:val="1F3B57"/>
          <w:sz w:val="28"/>
          <w:szCs w:val="28"/>
        </w:rPr>
        <w:t xml:space="preserve">Sources</w:t>
      </w:r>
    </w:p>
    <w:p>
      <w:pPr>
        <w:pStyle w:val="ListParagraph"/>
        <w:numPr>
          <w:ilvl w:val="0"/>
          <w:numId w:val="1"/>
        </w:numPr>
        <w:spacing w:after="90"/>
      </w:pPr>
      <w:r>
        <w:rPr>
          <w:sz w:val="21"/>
          <w:szCs w:val="21"/>
        </w:rPr>
        <w:t xml:space="preserve">AutoCount Malaysia pricing — https://agilex.my/autocount-accounting-price/ , https://kcgroup.biz/accounting-software-price-malaysia-2026/</w:t>
      </w:r>
    </w:p>
    <w:p>
      <w:pPr>
        <w:pStyle w:val="ListParagraph"/>
        <w:numPr>
          <w:ilvl w:val="0"/>
          <w:numId w:val="1"/>
        </w:numPr>
        <w:spacing w:after="90"/>
      </w:pPr>
      <w:r>
        <w:rPr>
          <w:sz w:val="21"/>
          <w:szCs w:val="21"/>
        </w:rPr>
        <w:t xml:space="preserve">SQL Account pricing — https://www.sql.com.my/pricing/ , https://www.estream.com.my/accounting-software-comparison</w:t>
      </w:r>
    </w:p>
    <w:p>
      <w:pPr>
        <w:pStyle w:val="ListParagraph"/>
        <w:numPr>
          <w:ilvl w:val="0"/>
          <w:numId w:val="1"/>
        </w:numPr>
        <w:spacing w:after="90"/>
      </w:pPr>
      <w:r>
        <w:rPr>
          <w:sz w:val="21"/>
          <w:szCs w:val="21"/>
        </w:rPr>
        <w:t xml:space="preserve">Million Accounting pricing — https://www.rockbell.com.my/million-software-the-all-in-one-accounting-and-inventory-solution-for-smes/ , https://synergysoftware.com.my/blog/accounting-software-price-malaysia-one-time-licence-and-total-cost-guide-for-smes/</w:t>
      </w:r>
    </w:p>
    <w:p>
      <w:pPr>
        <w:pStyle w:val="ListParagraph"/>
        <w:numPr>
          <w:ilvl w:val="0"/>
          <w:numId w:val="1"/>
        </w:numPr>
        <w:spacing w:after="90"/>
      </w:pPr>
      <w:r>
        <w:rPr>
          <w:sz w:val="21"/>
          <w:szCs w:val="21"/>
        </w:rPr>
        <w:t xml:space="preserve">Xero pricing — https://www.xero.com/my/pricing-plans/</w:t>
      </w:r>
    </w:p>
    <w:p>
      <w:pPr>
        <w:pStyle w:val="ListParagraph"/>
        <w:numPr>
          <w:ilvl w:val="0"/>
          <w:numId w:val="1"/>
        </w:numPr>
        <w:spacing w:after="90"/>
      </w:pPr>
      <w:r>
        <w:rPr>
          <w:sz w:val="21"/>
          <w:szCs w:val="21"/>
        </w:rPr>
        <w:t xml:space="preserve">QuickBooks Online pricing &amp; API metering — https://quickbooks.intuit.com/my/pricing/ , https://truto.one/blog/how-much-does-the-quickbooks-api-cost-2026-pricing-rate-limits/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2026-08-27T21:58:03.979Z</dcterms:created>
  <dcterms:modified xsi:type="dcterms:W3CDTF">2026-08-27T21:58:03.993Z</dcterms:modified>
</cp:coreProperties>
</file>

<file path=docProps/custom.xml><?xml version="1.0" encoding="utf-8"?>
<Properties xmlns="http://schemas.openxmlformats.org/officeDocument/2006/custom-properties" xmlns:vt="http://schemas.openxmlformats.org/officeDocument/2006/docPropsVTypes"/>
</file>